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FFE500" w14:textId="77777777" w:rsidR="009D0EC2" w:rsidRPr="00EC50FB" w:rsidRDefault="009D0EC2">
      <w:pPr>
        <w:pStyle w:val="CoverTitle"/>
        <w:rPr>
          <w:shd w:val="pct15" w:color="auto" w:fill="FFFFFF"/>
          <w:lang w:eastAsia="ja-JP"/>
        </w:rPr>
      </w:pPr>
    </w:p>
    <w:p w14:paraId="30FFE501" w14:textId="77777777" w:rsidR="009D0EC2" w:rsidRPr="006D66BF" w:rsidRDefault="009D0EC2">
      <w:pPr>
        <w:pStyle w:val="CoverTitle"/>
      </w:pPr>
      <w:r w:rsidRPr="006D66BF">
        <w:t>SIDS Initial Assessment Report</w:t>
      </w:r>
    </w:p>
    <w:p w14:paraId="30FFE502" w14:textId="77777777" w:rsidR="009D0EC2" w:rsidRPr="006D66BF" w:rsidRDefault="009D0EC2">
      <w:pPr>
        <w:pStyle w:val="CoverTitle"/>
      </w:pPr>
      <w:r w:rsidRPr="006D66BF">
        <w:t>For</w:t>
      </w:r>
    </w:p>
    <w:p w14:paraId="30FFE503" w14:textId="77777777" w:rsidR="009D0EC2" w:rsidRPr="006D66BF" w:rsidRDefault="00D23AF3">
      <w:pPr>
        <w:pStyle w:val="CoverTitle"/>
        <w:rPr>
          <w:lang w:eastAsia="ja-JP"/>
        </w:rPr>
      </w:pPr>
      <w:r w:rsidRPr="006D66BF">
        <w:rPr>
          <w:rFonts w:hint="eastAsia"/>
          <w:lang w:eastAsia="ja-JP"/>
        </w:rPr>
        <w:t>CoCAM1</w:t>
      </w:r>
    </w:p>
    <w:p w14:paraId="30FFE504" w14:textId="77777777" w:rsidR="009D0EC2" w:rsidRPr="00B16D8D" w:rsidRDefault="00B16D8D" w:rsidP="00B16D8D">
      <w:pPr>
        <w:spacing w:after="180"/>
        <w:jc w:val="center"/>
        <w:rPr>
          <w:b/>
        </w:rPr>
      </w:pPr>
      <w:r w:rsidRPr="00630B09">
        <w:rPr>
          <w:b/>
        </w:rPr>
        <w:t>Paris</w:t>
      </w:r>
      <w:r w:rsidRPr="00630B09">
        <w:rPr>
          <w:rFonts w:hint="eastAsia"/>
          <w:b/>
        </w:rPr>
        <w:t xml:space="preserve">, </w:t>
      </w:r>
      <w:r w:rsidRPr="00630B09">
        <w:rPr>
          <w:b/>
        </w:rPr>
        <w:t xml:space="preserve">France, </w:t>
      </w:r>
      <w:r w:rsidRPr="00630B09">
        <w:rPr>
          <w:rFonts w:hint="eastAsia"/>
          <w:b/>
          <w:lang w:eastAsia="ja-JP"/>
        </w:rPr>
        <w:t>10-12</w:t>
      </w:r>
      <w:r w:rsidRPr="00630B09">
        <w:rPr>
          <w:b/>
        </w:rPr>
        <w:t xml:space="preserve"> </w:t>
      </w:r>
      <w:r w:rsidRPr="00630B09">
        <w:rPr>
          <w:rFonts w:hint="eastAsia"/>
          <w:b/>
          <w:lang w:eastAsia="ja-JP"/>
        </w:rPr>
        <w:t>October</w:t>
      </w:r>
      <w:r w:rsidRPr="00630B09">
        <w:rPr>
          <w:b/>
        </w:rPr>
        <w:t>, 201</w:t>
      </w:r>
      <w:r w:rsidRPr="00630B09">
        <w:rPr>
          <w:rFonts w:hint="eastAsia"/>
          <w:b/>
          <w:lang w:eastAsia="ja-JP"/>
        </w:rPr>
        <w:t>1</w:t>
      </w:r>
    </w:p>
    <w:p w14:paraId="30FFE505" w14:textId="77777777" w:rsidR="009D0EC2" w:rsidRPr="006D66BF" w:rsidRDefault="009D0EC2">
      <w:pPr>
        <w:pStyle w:val="BodyText"/>
        <w:jc w:val="center"/>
      </w:pPr>
    </w:p>
    <w:tbl>
      <w:tblPr>
        <w:tblW w:w="0" w:type="auto"/>
        <w:tblLayout w:type="fixed"/>
        <w:tblLook w:val="0000" w:firstRow="0" w:lastRow="0" w:firstColumn="0" w:lastColumn="0" w:noHBand="0" w:noVBand="0"/>
      </w:tblPr>
      <w:tblGrid>
        <w:gridCol w:w="3348"/>
        <w:gridCol w:w="6507"/>
      </w:tblGrid>
      <w:tr w:rsidR="009D0EC2" w:rsidRPr="006D66BF" w14:paraId="30FFE508" w14:textId="77777777">
        <w:tc>
          <w:tcPr>
            <w:tcW w:w="3348" w:type="dxa"/>
          </w:tcPr>
          <w:p w14:paraId="30FFE506" w14:textId="77777777" w:rsidR="009D0EC2" w:rsidRPr="006D66BF" w:rsidRDefault="009D0EC2">
            <w:pPr>
              <w:pStyle w:val="BodyText"/>
              <w:tabs>
                <w:tab w:val="left" w:pos="360"/>
              </w:tabs>
              <w:jc w:val="left"/>
              <w:rPr>
                <w:b/>
                <w:bCs/>
              </w:rPr>
            </w:pPr>
            <w:r w:rsidRPr="006D66BF">
              <w:rPr>
                <w:b/>
                <w:bCs/>
              </w:rPr>
              <w:t>1.</w:t>
            </w:r>
            <w:r w:rsidRPr="006D66BF">
              <w:rPr>
                <w:b/>
                <w:bCs/>
              </w:rPr>
              <w:tab/>
              <w:t>Chemical Name:</w:t>
            </w:r>
          </w:p>
        </w:tc>
        <w:tc>
          <w:tcPr>
            <w:tcW w:w="6507" w:type="dxa"/>
          </w:tcPr>
          <w:p w14:paraId="30FFE507" w14:textId="77777777" w:rsidR="009D0EC2" w:rsidRPr="006D66BF" w:rsidRDefault="00D23AF3">
            <w:pPr>
              <w:pStyle w:val="BodyText2"/>
            </w:pPr>
            <w:r w:rsidRPr="006D66BF">
              <w:rPr>
                <w:rFonts w:hint="eastAsia"/>
                <w:szCs w:val="24"/>
              </w:rPr>
              <w:t>1,1,1-Tris(hydroxymethyl)ethane</w:t>
            </w:r>
          </w:p>
        </w:tc>
      </w:tr>
      <w:tr w:rsidR="009D0EC2" w:rsidRPr="006D66BF" w14:paraId="30FFE50B" w14:textId="77777777">
        <w:tc>
          <w:tcPr>
            <w:tcW w:w="3348" w:type="dxa"/>
          </w:tcPr>
          <w:p w14:paraId="30FFE509" w14:textId="77777777" w:rsidR="009D0EC2" w:rsidRPr="006D66BF" w:rsidRDefault="009D0EC2">
            <w:pPr>
              <w:pStyle w:val="BodyText"/>
              <w:tabs>
                <w:tab w:val="left" w:pos="360"/>
              </w:tabs>
              <w:jc w:val="left"/>
              <w:rPr>
                <w:b/>
                <w:bCs/>
              </w:rPr>
            </w:pPr>
            <w:r w:rsidRPr="006D66BF">
              <w:rPr>
                <w:b/>
                <w:bCs/>
              </w:rPr>
              <w:t>2.</w:t>
            </w:r>
            <w:r w:rsidRPr="006D66BF">
              <w:rPr>
                <w:b/>
                <w:bCs/>
              </w:rPr>
              <w:tab/>
              <w:t>CAS Number:</w:t>
            </w:r>
          </w:p>
        </w:tc>
        <w:tc>
          <w:tcPr>
            <w:tcW w:w="6507" w:type="dxa"/>
          </w:tcPr>
          <w:p w14:paraId="30FFE50A" w14:textId="77777777" w:rsidR="009D0EC2" w:rsidRPr="006D66BF" w:rsidRDefault="00D23AF3">
            <w:pPr>
              <w:pStyle w:val="BodyText2"/>
            </w:pPr>
            <w:r w:rsidRPr="006D66BF">
              <w:rPr>
                <w:rFonts w:hint="eastAsia"/>
                <w:szCs w:val="24"/>
                <w:lang w:eastAsia="ja-JP"/>
              </w:rPr>
              <w:t>77-85-0</w:t>
            </w:r>
          </w:p>
        </w:tc>
      </w:tr>
      <w:tr w:rsidR="009D0EC2" w:rsidRPr="006D66BF" w14:paraId="30FFE513" w14:textId="77777777">
        <w:tc>
          <w:tcPr>
            <w:tcW w:w="3348" w:type="dxa"/>
          </w:tcPr>
          <w:p w14:paraId="30FFE50C" w14:textId="77777777" w:rsidR="009D0EC2" w:rsidRPr="006D66BF" w:rsidRDefault="009D0EC2">
            <w:pPr>
              <w:pStyle w:val="BodyText"/>
              <w:tabs>
                <w:tab w:val="left" w:pos="360"/>
              </w:tabs>
              <w:jc w:val="left"/>
              <w:rPr>
                <w:b/>
                <w:bCs/>
              </w:rPr>
            </w:pPr>
            <w:r w:rsidRPr="006D66BF">
              <w:rPr>
                <w:b/>
                <w:bCs/>
              </w:rPr>
              <w:t>3.</w:t>
            </w:r>
            <w:r w:rsidRPr="006D66BF">
              <w:rPr>
                <w:b/>
                <w:bCs/>
              </w:rPr>
              <w:tab/>
              <w:t>Sponsor Country:</w:t>
            </w:r>
          </w:p>
        </w:tc>
        <w:tc>
          <w:tcPr>
            <w:tcW w:w="6507" w:type="dxa"/>
          </w:tcPr>
          <w:p w14:paraId="30FFE50D" w14:textId="77777777" w:rsidR="00D23AF3" w:rsidRPr="006D66BF" w:rsidRDefault="00D23AF3" w:rsidP="00D23AF3">
            <w:smartTag w:uri="urn:schemas-microsoft-com:office:smarttags" w:element="place">
              <w:smartTag w:uri="urn:schemas-microsoft-com:office:smarttags" w:element="country-region">
                <w:r w:rsidRPr="006D66BF">
                  <w:t>Japan</w:t>
                </w:r>
              </w:smartTag>
            </w:smartTag>
          </w:p>
          <w:p w14:paraId="30FFE50E" w14:textId="77777777" w:rsidR="00D23AF3" w:rsidRPr="006D66BF" w:rsidRDefault="00D23AF3" w:rsidP="00D23AF3">
            <w:r w:rsidRPr="006D66BF">
              <w:t xml:space="preserve">Contact Point: </w:t>
            </w:r>
          </w:p>
          <w:p w14:paraId="30FFE50F" w14:textId="77777777" w:rsidR="00D23AF3" w:rsidRPr="006D66BF" w:rsidRDefault="00D23AF3" w:rsidP="00D23AF3">
            <w:r w:rsidRPr="006D66BF">
              <w:t xml:space="preserve">Mr. Hiroshi Kamitsuji </w:t>
            </w:r>
          </w:p>
          <w:p w14:paraId="30FFE510" w14:textId="77777777" w:rsidR="00D23AF3" w:rsidRPr="006D66BF" w:rsidRDefault="00D23AF3" w:rsidP="00D23AF3">
            <w:r w:rsidRPr="006D66BF">
              <w:t>Deputy Director</w:t>
            </w:r>
          </w:p>
          <w:p w14:paraId="30FFE511" w14:textId="77777777" w:rsidR="00D23AF3" w:rsidRPr="006D66BF" w:rsidRDefault="00D23AF3" w:rsidP="00D23AF3">
            <w:r w:rsidRPr="006D66BF">
              <w:t>OECD Division</w:t>
            </w:r>
          </w:p>
          <w:p w14:paraId="30FFE512" w14:textId="77777777" w:rsidR="009D0EC2" w:rsidRPr="006D66BF" w:rsidRDefault="00D23AF3" w:rsidP="00D23AF3">
            <w:pPr>
              <w:pStyle w:val="BodyText2"/>
            </w:pPr>
            <w:r w:rsidRPr="006D66BF">
              <w:rPr>
                <w:szCs w:val="24"/>
              </w:rPr>
              <w:t xml:space="preserve">Ministry of Foreign Affairs, </w:t>
            </w:r>
            <w:smartTag w:uri="urn:schemas-microsoft-com:office:smarttags" w:element="place">
              <w:smartTag w:uri="urn:schemas-microsoft-com:office:smarttags" w:element="country-region">
                <w:r w:rsidRPr="006D66BF">
                  <w:rPr>
                    <w:szCs w:val="24"/>
                  </w:rPr>
                  <w:t>Japan</w:t>
                </w:r>
              </w:smartTag>
            </w:smartTag>
          </w:p>
        </w:tc>
      </w:tr>
      <w:tr w:rsidR="009D0EC2" w:rsidRPr="006D66BF" w14:paraId="30FFE516" w14:textId="77777777">
        <w:tc>
          <w:tcPr>
            <w:tcW w:w="3348" w:type="dxa"/>
          </w:tcPr>
          <w:p w14:paraId="30FFE514" w14:textId="77777777" w:rsidR="009D0EC2" w:rsidRPr="006D66BF" w:rsidRDefault="009D0EC2">
            <w:pPr>
              <w:pStyle w:val="BodyText"/>
              <w:tabs>
                <w:tab w:val="left" w:pos="360"/>
              </w:tabs>
              <w:ind w:left="360" w:hanging="360"/>
              <w:jc w:val="left"/>
              <w:rPr>
                <w:b/>
                <w:bCs/>
              </w:rPr>
            </w:pPr>
            <w:r w:rsidRPr="006D66BF">
              <w:rPr>
                <w:b/>
                <w:bCs/>
              </w:rPr>
              <w:t>4.</w:t>
            </w:r>
            <w:r w:rsidRPr="006D66BF">
              <w:rPr>
                <w:b/>
                <w:bCs/>
              </w:rPr>
              <w:tab/>
              <w:t>Shared Partnership with:</w:t>
            </w:r>
          </w:p>
        </w:tc>
        <w:tc>
          <w:tcPr>
            <w:tcW w:w="6507" w:type="dxa"/>
          </w:tcPr>
          <w:p w14:paraId="30FFE515" w14:textId="77777777" w:rsidR="009D0EC2" w:rsidRPr="006D66BF" w:rsidRDefault="009D0EC2">
            <w:pPr>
              <w:pStyle w:val="BodyText2"/>
            </w:pPr>
          </w:p>
        </w:tc>
      </w:tr>
      <w:tr w:rsidR="009D0EC2" w:rsidRPr="006D66BF" w14:paraId="30FFE519" w14:textId="77777777">
        <w:tc>
          <w:tcPr>
            <w:tcW w:w="3348" w:type="dxa"/>
          </w:tcPr>
          <w:p w14:paraId="30FFE517" w14:textId="77777777" w:rsidR="009D0EC2" w:rsidRPr="006D66BF" w:rsidRDefault="009D0EC2">
            <w:pPr>
              <w:pStyle w:val="BodyText"/>
              <w:tabs>
                <w:tab w:val="left" w:pos="360"/>
              </w:tabs>
              <w:ind w:left="360" w:hanging="360"/>
              <w:jc w:val="left"/>
              <w:rPr>
                <w:b/>
                <w:bCs/>
              </w:rPr>
            </w:pPr>
            <w:r w:rsidRPr="006D66BF">
              <w:rPr>
                <w:b/>
                <w:bCs/>
              </w:rPr>
              <w:t>5.</w:t>
            </w:r>
            <w:r w:rsidRPr="006D66BF">
              <w:rPr>
                <w:b/>
                <w:bCs/>
              </w:rPr>
              <w:tab/>
              <w:t>Roles/Responsibilities of the Partners:</w:t>
            </w:r>
          </w:p>
        </w:tc>
        <w:tc>
          <w:tcPr>
            <w:tcW w:w="6507" w:type="dxa"/>
          </w:tcPr>
          <w:p w14:paraId="30FFE518" w14:textId="77777777" w:rsidR="009D0EC2" w:rsidRPr="006D66BF" w:rsidRDefault="009D0EC2">
            <w:pPr>
              <w:pStyle w:val="BodyText2"/>
            </w:pPr>
          </w:p>
        </w:tc>
      </w:tr>
      <w:tr w:rsidR="009D0EC2" w:rsidRPr="006D66BF" w14:paraId="30FFE51C" w14:textId="77777777">
        <w:tc>
          <w:tcPr>
            <w:tcW w:w="3348" w:type="dxa"/>
          </w:tcPr>
          <w:p w14:paraId="30FFE51A" w14:textId="77777777" w:rsidR="009D0EC2" w:rsidRPr="006D66BF" w:rsidRDefault="009D0EC2">
            <w:pPr>
              <w:pStyle w:val="ListBullet"/>
              <w:spacing w:after="180"/>
              <w:jc w:val="left"/>
            </w:pPr>
            <w:r w:rsidRPr="006D66BF">
              <w:t>Name of industry sponsor /consortium</w:t>
            </w:r>
          </w:p>
        </w:tc>
        <w:tc>
          <w:tcPr>
            <w:tcW w:w="6507" w:type="dxa"/>
          </w:tcPr>
          <w:p w14:paraId="30FFE51B" w14:textId="77777777" w:rsidR="009D0EC2" w:rsidRPr="006D66BF" w:rsidRDefault="009D0EC2">
            <w:pPr>
              <w:pStyle w:val="BodyText2"/>
            </w:pPr>
          </w:p>
        </w:tc>
      </w:tr>
      <w:tr w:rsidR="009D0EC2" w:rsidRPr="006D66BF" w14:paraId="30FFE51F" w14:textId="77777777">
        <w:tc>
          <w:tcPr>
            <w:tcW w:w="3348" w:type="dxa"/>
          </w:tcPr>
          <w:p w14:paraId="30FFE51D" w14:textId="77777777" w:rsidR="009D0EC2" w:rsidRPr="006D66BF" w:rsidRDefault="009D0EC2">
            <w:pPr>
              <w:pStyle w:val="ListBullet"/>
              <w:spacing w:after="180"/>
            </w:pPr>
            <w:r w:rsidRPr="006D66BF">
              <w:t>Process used</w:t>
            </w:r>
          </w:p>
        </w:tc>
        <w:tc>
          <w:tcPr>
            <w:tcW w:w="6507" w:type="dxa"/>
          </w:tcPr>
          <w:p w14:paraId="30FFE51E" w14:textId="77777777" w:rsidR="009D0EC2" w:rsidRPr="006D66BF" w:rsidRDefault="009D0EC2">
            <w:pPr>
              <w:pStyle w:val="BodyText2"/>
            </w:pPr>
            <w:bookmarkStart w:id="0" w:name="_GoBack"/>
            <w:bookmarkEnd w:id="0"/>
          </w:p>
        </w:tc>
      </w:tr>
      <w:tr w:rsidR="009D0EC2" w:rsidRPr="006D66BF" w14:paraId="30FFE522" w14:textId="77777777">
        <w:tc>
          <w:tcPr>
            <w:tcW w:w="3348" w:type="dxa"/>
          </w:tcPr>
          <w:p w14:paraId="30FFE520" w14:textId="77777777" w:rsidR="009D0EC2" w:rsidRPr="006D66BF" w:rsidRDefault="009D0EC2">
            <w:pPr>
              <w:pStyle w:val="BodyText"/>
              <w:tabs>
                <w:tab w:val="left" w:pos="360"/>
              </w:tabs>
              <w:jc w:val="left"/>
              <w:rPr>
                <w:b/>
                <w:bCs/>
              </w:rPr>
            </w:pPr>
            <w:r w:rsidRPr="006D66BF">
              <w:rPr>
                <w:b/>
                <w:bCs/>
              </w:rPr>
              <w:t>6.</w:t>
            </w:r>
            <w:r w:rsidRPr="006D66BF">
              <w:rPr>
                <w:b/>
                <w:bCs/>
              </w:rPr>
              <w:tab/>
              <w:t>Sponsorship History</w:t>
            </w:r>
          </w:p>
        </w:tc>
        <w:tc>
          <w:tcPr>
            <w:tcW w:w="6507" w:type="dxa"/>
          </w:tcPr>
          <w:p w14:paraId="30FFE521" w14:textId="77777777" w:rsidR="009D0EC2" w:rsidRPr="006D66BF" w:rsidRDefault="009D0EC2">
            <w:pPr>
              <w:pStyle w:val="BodyText2"/>
            </w:pPr>
          </w:p>
        </w:tc>
      </w:tr>
      <w:tr w:rsidR="009D0EC2" w:rsidRPr="006D66BF" w14:paraId="30FFE527" w14:textId="77777777">
        <w:tc>
          <w:tcPr>
            <w:tcW w:w="3348" w:type="dxa"/>
          </w:tcPr>
          <w:p w14:paraId="30FFE523" w14:textId="77777777" w:rsidR="00E56A35" w:rsidRDefault="00BF3C2E" w:rsidP="00BF3C2E">
            <w:pPr>
              <w:rPr>
                <w:lang w:val="en-GB"/>
              </w:rPr>
            </w:pPr>
            <w:r>
              <w:t>•</w:t>
            </w:r>
            <w:r>
              <w:tab/>
            </w:r>
            <w:r w:rsidR="00E56A35">
              <w:rPr>
                <w:lang w:val="en-GB"/>
              </w:rPr>
              <w:t>How was the chemical or category brought into the OECD HPV Chemicals Programme?</w:t>
            </w:r>
          </w:p>
          <w:p w14:paraId="30FFE524" w14:textId="77777777" w:rsidR="009D0EC2" w:rsidRPr="00E56A35" w:rsidRDefault="009D0EC2" w:rsidP="002B7A74">
            <w:pPr>
              <w:rPr>
                <w:lang w:val="en-GB"/>
              </w:rPr>
            </w:pPr>
          </w:p>
        </w:tc>
        <w:tc>
          <w:tcPr>
            <w:tcW w:w="6507" w:type="dxa"/>
          </w:tcPr>
          <w:p w14:paraId="30FFE525" w14:textId="77777777" w:rsidR="009D0EC2" w:rsidRPr="00662844" w:rsidRDefault="00D23AF3">
            <w:pPr>
              <w:pStyle w:val="BodyText2"/>
              <w:rPr>
                <w:szCs w:val="24"/>
                <w:lang w:eastAsia="ja-JP"/>
              </w:rPr>
            </w:pPr>
            <w:r w:rsidRPr="00662844">
              <w:rPr>
                <w:rFonts w:hint="eastAsia"/>
                <w:szCs w:val="24"/>
              </w:rPr>
              <w:t>1,1,1-Tris(hydroxymethyl)ethane</w:t>
            </w:r>
            <w:r w:rsidRPr="00662844">
              <w:rPr>
                <w:szCs w:val="24"/>
              </w:rPr>
              <w:t xml:space="preserve"> is sponsored by Japan and is submitted for first discussion at </w:t>
            </w:r>
            <w:r w:rsidRPr="00662844">
              <w:rPr>
                <w:rFonts w:hint="eastAsia"/>
                <w:szCs w:val="24"/>
                <w:lang w:eastAsia="ja-JP"/>
              </w:rPr>
              <w:t>CoCAM1</w:t>
            </w:r>
          </w:p>
          <w:p w14:paraId="30FFE526" w14:textId="77777777" w:rsidR="002B7A74" w:rsidRPr="00662844" w:rsidRDefault="002B7A74">
            <w:pPr>
              <w:pStyle w:val="BodyText2"/>
              <w:rPr>
                <w:lang w:eastAsia="ja-JP"/>
              </w:rPr>
            </w:pPr>
            <w:r w:rsidRPr="00662844">
              <w:rPr>
                <w:rFonts w:hint="eastAsia"/>
                <w:lang w:eastAsia="ja-JP"/>
              </w:rPr>
              <w:t xml:space="preserve">Literature </w:t>
            </w:r>
            <w:r w:rsidRPr="00662844">
              <w:rPr>
                <w:lang w:eastAsia="ja-JP"/>
              </w:rPr>
              <w:t>search</w:t>
            </w:r>
            <w:r w:rsidRPr="00662844">
              <w:rPr>
                <w:rFonts w:hint="eastAsia"/>
                <w:lang w:eastAsia="ja-JP"/>
              </w:rPr>
              <w:t xml:space="preserve"> was conducted by on-line database such as CHRIP, TOXNET and RTECS. </w:t>
            </w:r>
          </w:p>
        </w:tc>
      </w:tr>
      <w:tr w:rsidR="00D23AF3" w:rsidRPr="006D66BF" w14:paraId="30FFE52A" w14:textId="77777777">
        <w:tc>
          <w:tcPr>
            <w:tcW w:w="3348" w:type="dxa"/>
          </w:tcPr>
          <w:p w14:paraId="30FFE528" w14:textId="77777777" w:rsidR="00D23AF3" w:rsidRPr="006D66BF" w:rsidRDefault="00D23AF3">
            <w:pPr>
              <w:pStyle w:val="BodyText"/>
              <w:tabs>
                <w:tab w:val="left" w:pos="360"/>
              </w:tabs>
              <w:ind w:left="360" w:hanging="360"/>
              <w:jc w:val="left"/>
              <w:rPr>
                <w:b/>
                <w:bCs/>
              </w:rPr>
            </w:pPr>
            <w:r w:rsidRPr="006D66BF">
              <w:rPr>
                <w:b/>
                <w:bCs/>
              </w:rPr>
              <w:t>7.</w:t>
            </w:r>
            <w:r w:rsidRPr="006D66BF">
              <w:rPr>
                <w:b/>
                <w:bCs/>
              </w:rPr>
              <w:tab/>
              <w:t xml:space="preserve">Review Process Prior to the </w:t>
            </w:r>
            <w:smartTag w:uri="urn:schemas-microsoft-com:office:smarttags" w:element="country-region">
              <w:smartTag w:uri="urn:schemas-microsoft-com:office:smarttags" w:element="place">
                <w:r w:rsidRPr="006D66BF">
                  <w:rPr>
                    <w:b/>
                    <w:bCs/>
                  </w:rPr>
                  <w:t>SIAM</w:t>
                </w:r>
              </w:smartTag>
            </w:smartTag>
            <w:r w:rsidRPr="006D66BF">
              <w:rPr>
                <w:b/>
                <w:bCs/>
              </w:rPr>
              <w:t>:</w:t>
            </w:r>
          </w:p>
        </w:tc>
        <w:tc>
          <w:tcPr>
            <w:tcW w:w="6507" w:type="dxa"/>
          </w:tcPr>
          <w:p w14:paraId="30FFE529" w14:textId="77777777" w:rsidR="00D23AF3" w:rsidRPr="00662844" w:rsidRDefault="00D23AF3" w:rsidP="00FC3A3D">
            <w:pPr>
              <w:pStyle w:val="BodyText"/>
              <w:tabs>
                <w:tab w:val="left" w:pos="978"/>
              </w:tabs>
              <w:spacing w:after="100" w:afterAutospacing="1"/>
              <w:rPr>
                <w:szCs w:val="24"/>
              </w:rPr>
            </w:pPr>
            <w:r w:rsidRPr="00662844">
              <w:rPr>
                <w:szCs w:val="24"/>
              </w:rPr>
              <w:t>Japanese government peer-reviewed the documents and audited selected studies.</w:t>
            </w:r>
          </w:p>
        </w:tc>
      </w:tr>
      <w:tr w:rsidR="00D23AF3" w:rsidRPr="006D66BF" w14:paraId="30FFE52D" w14:textId="77777777">
        <w:tc>
          <w:tcPr>
            <w:tcW w:w="3348" w:type="dxa"/>
          </w:tcPr>
          <w:p w14:paraId="30FFE52B" w14:textId="77777777" w:rsidR="00D23AF3" w:rsidRPr="006D66BF" w:rsidRDefault="00D23AF3">
            <w:pPr>
              <w:pStyle w:val="BodyText"/>
              <w:tabs>
                <w:tab w:val="left" w:pos="360"/>
              </w:tabs>
              <w:ind w:left="360" w:hanging="360"/>
              <w:jc w:val="left"/>
              <w:rPr>
                <w:b/>
                <w:bCs/>
              </w:rPr>
            </w:pPr>
            <w:r w:rsidRPr="006D66BF">
              <w:rPr>
                <w:b/>
                <w:bCs/>
              </w:rPr>
              <w:t>8.</w:t>
            </w:r>
            <w:r w:rsidRPr="006D66BF">
              <w:rPr>
                <w:b/>
                <w:bCs/>
              </w:rPr>
              <w:tab/>
              <w:t>Quality check process:</w:t>
            </w:r>
          </w:p>
        </w:tc>
        <w:tc>
          <w:tcPr>
            <w:tcW w:w="6507" w:type="dxa"/>
          </w:tcPr>
          <w:p w14:paraId="30FFE52C" w14:textId="77777777" w:rsidR="00D23AF3" w:rsidRPr="00662844" w:rsidRDefault="00D23AF3" w:rsidP="00FC3A3D">
            <w:pPr>
              <w:pStyle w:val="BodyText2"/>
              <w:rPr>
                <w:szCs w:val="24"/>
                <w:lang w:val="en-US"/>
              </w:rPr>
            </w:pPr>
            <w:r w:rsidRPr="00662844">
              <w:rPr>
                <w:szCs w:val="24"/>
              </w:rPr>
              <w:t>Japanese government peer-review committee performed spot checks on randomly selected endpoints and compared original studies with data in the SIDS Dossier.</w:t>
            </w:r>
          </w:p>
        </w:tc>
      </w:tr>
      <w:tr w:rsidR="00D23AF3" w:rsidRPr="006D66BF" w14:paraId="30FFE530" w14:textId="77777777">
        <w:tc>
          <w:tcPr>
            <w:tcW w:w="3348" w:type="dxa"/>
          </w:tcPr>
          <w:p w14:paraId="30FFE52E" w14:textId="77777777" w:rsidR="00D23AF3" w:rsidRPr="006D66BF" w:rsidRDefault="00D23AF3">
            <w:pPr>
              <w:pStyle w:val="BodyText"/>
              <w:tabs>
                <w:tab w:val="left" w:pos="360"/>
              </w:tabs>
              <w:jc w:val="left"/>
              <w:rPr>
                <w:b/>
                <w:bCs/>
              </w:rPr>
            </w:pPr>
            <w:r w:rsidRPr="006D66BF">
              <w:rPr>
                <w:b/>
                <w:bCs/>
              </w:rPr>
              <w:t>9.</w:t>
            </w:r>
            <w:r w:rsidRPr="006D66BF">
              <w:rPr>
                <w:b/>
                <w:bCs/>
              </w:rPr>
              <w:tab/>
              <w:t>Date of Submission:</w:t>
            </w:r>
          </w:p>
        </w:tc>
        <w:tc>
          <w:tcPr>
            <w:tcW w:w="6507" w:type="dxa"/>
          </w:tcPr>
          <w:p w14:paraId="30FFE52F" w14:textId="77777777" w:rsidR="00D23AF3" w:rsidRPr="00662844" w:rsidRDefault="00D23AF3">
            <w:pPr>
              <w:pStyle w:val="BodyText2"/>
            </w:pPr>
            <w:r w:rsidRPr="00662844">
              <w:rPr>
                <w:rFonts w:hint="eastAsia"/>
                <w:lang w:eastAsia="ja-JP"/>
              </w:rPr>
              <w:t>6</w:t>
            </w:r>
            <w:r w:rsidRPr="00662844">
              <w:rPr>
                <w:lang w:eastAsia="ja-JP"/>
              </w:rPr>
              <w:t xml:space="preserve">, </w:t>
            </w:r>
            <w:r w:rsidRPr="00662844">
              <w:rPr>
                <w:rFonts w:hint="eastAsia"/>
                <w:lang w:eastAsia="ja-JP"/>
              </w:rPr>
              <w:t>July</w:t>
            </w:r>
            <w:r w:rsidRPr="00662844">
              <w:t xml:space="preserve"> 20</w:t>
            </w:r>
            <w:r w:rsidRPr="00662844">
              <w:rPr>
                <w:rFonts w:hint="eastAsia"/>
                <w:lang w:eastAsia="ja-JP"/>
              </w:rPr>
              <w:t>11</w:t>
            </w:r>
          </w:p>
        </w:tc>
      </w:tr>
      <w:tr w:rsidR="00D23AF3" w:rsidRPr="006D66BF" w14:paraId="30FFE533" w14:textId="77777777">
        <w:tc>
          <w:tcPr>
            <w:tcW w:w="3348" w:type="dxa"/>
          </w:tcPr>
          <w:p w14:paraId="30FFE531" w14:textId="77777777" w:rsidR="00D23AF3" w:rsidRPr="006D66BF" w:rsidRDefault="00D23AF3">
            <w:pPr>
              <w:pStyle w:val="BodyText"/>
              <w:tabs>
                <w:tab w:val="left" w:pos="360"/>
              </w:tabs>
              <w:jc w:val="left"/>
              <w:rPr>
                <w:b/>
                <w:bCs/>
              </w:rPr>
            </w:pPr>
            <w:r w:rsidRPr="006D66BF">
              <w:rPr>
                <w:b/>
                <w:bCs/>
              </w:rPr>
              <w:t>10.</w:t>
            </w:r>
            <w:r w:rsidRPr="006D66BF">
              <w:rPr>
                <w:b/>
                <w:bCs/>
              </w:rPr>
              <w:tab/>
              <w:t>Date of last Update:</w:t>
            </w:r>
          </w:p>
        </w:tc>
        <w:tc>
          <w:tcPr>
            <w:tcW w:w="6507" w:type="dxa"/>
          </w:tcPr>
          <w:p w14:paraId="30FFE532" w14:textId="77777777" w:rsidR="00D23AF3" w:rsidRPr="00662844" w:rsidRDefault="00B632D3">
            <w:pPr>
              <w:pStyle w:val="BodyText2"/>
            </w:pPr>
            <w:r w:rsidRPr="00662844">
              <w:rPr>
                <w:rFonts w:hint="eastAsia"/>
                <w:lang w:eastAsia="ja-JP"/>
              </w:rPr>
              <w:t>30, November 2011</w:t>
            </w:r>
          </w:p>
        </w:tc>
      </w:tr>
      <w:tr w:rsidR="00D23AF3" w:rsidRPr="006D66BF" w14:paraId="30FFE53C" w14:textId="77777777">
        <w:tc>
          <w:tcPr>
            <w:tcW w:w="3348" w:type="dxa"/>
          </w:tcPr>
          <w:p w14:paraId="30FFE534" w14:textId="77777777" w:rsidR="00D23AF3" w:rsidRPr="006D66BF" w:rsidRDefault="00D23AF3">
            <w:pPr>
              <w:pStyle w:val="BodyText"/>
              <w:tabs>
                <w:tab w:val="left" w:pos="360"/>
              </w:tabs>
              <w:jc w:val="left"/>
              <w:rPr>
                <w:b/>
                <w:bCs/>
              </w:rPr>
            </w:pPr>
            <w:r w:rsidRPr="006D66BF">
              <w:rPr>
                <w:b/>
                <w:bCs/>
              </w:rPr>
              <w:t>11.</w:t>
            </w:r>
            <w:r w:rsidRPr="006D66BF">
              <w:rPr>
                <w:b/>
                <w:bCs/>
              </w:rPr>
              <w:tab/>
              <w:t>Comments:</w:t>
            </w:r>
          </w:p>
        </w:tc>
        <w:tc>
          <w:tcPr>
            <w:tcW w:w="6507" w:type="dxa"/>
          </w:tcPr>
          <w:p w14:paraId="30FFE535" w14:textId="77777777" w:rsidR="00BF3C2E" w:rsidRDefault="00BF3C2E" w:rsidP="00BF3C2E">
            <w:pPr>
              <w:jc w:val="both"/>
              <w:rPr>
                <w:lang w:val="en-GB"/>
              </w:rPr>
            </w:pPr>
            <w:r>
              <w:rPr>
                <w:lang w:val="en-GB"/>
              </w:rPr>
              <w:t xml:space="preserve">The summaries and evaluations contained in this assessment report may be based on unpublished proprietary data submitted for the purpose of the OECD assessment. In many cases, national/regional regulatory authorities will not accept a regulatory submission based on the summaries and evaluation of </w:t>
            </w:r>
            <w:r>
              <w:rPr>
                <w:lang w:val="en-GB"/>
              </w:rPr>
              <w:lastRenderedPageBreak/>
              <w:t>unpublished proprietary data contained in this [these] assessment report[s] unless they have received the data on which the summaries and evaluation are based, either from:</w:t>
            </w:r>
          </w:p>
          <w:p w14:paraId="30FFE536" w14:textId="77777777" w:rsidR="00BF3C2E" w:rsidRDefault="00BF3C2E" w:rsidP="00BF3C2E">
            <w:pPr>
              <w:numPr>
                <w:ilvl w:val="0"/>
                <w:numId w:val="12"/>
              </w:numPr>
              <w:jc w:val="both"/>
              <w:rPr>
                <w:rFonts w:eastAsia="Times New Roman"/>
                <w:lang w:val="en-GB"/>
              </w:rPr>
            </w:pPr>
            <w:r>
              <w:rPr>
                <w:rFonts w:eastAsia="Times New Roman"/>
                <w:lang w:val="en-GB"/>
              </w:rPr>
              <w:t>the owner of the data; or</w:t>
            </w:r>
          </w:p>
          <w:p w14:paraId="30FFE537" w14:textId="77777777" w:rsidR="00BF3C2E" w:rsidRDefault="00BF3C2E" w:rsidP="00BF3C2E">
            <w:pPr>
              <w:numPr>
                <w:ilvl w:val="0"/>
                <w:numId w:val="12"/>
              </w:numPr>
              <w:jc w:val="both"/>
              <w:rPr>
                <w:rFonts w:eastAsia="Times New Roman"/>
                <w:lang w:val="en-GB"/>
              </w:rPr>
            </w:pPr>
            <w:r>
              <w:rPr>
                <w:rFonts w:eastAsia="Times New Roman"/>
                <w:lang w:val="en-GB"/>
              </w:rPr>
              <w:t>a second party that has obtained permission from the owner of the data for this purpose; or alternatively</w:t>
            </w:r>
          </w:p>
          <w:p w14:paraId="30FFE538" w14:textId="77777777" w:rsidR="00BF3C2E" w:rsidRDefault="00BF3C2E" w:rsidP="00BF3C2E">
            <w:pPr>
              <w:numPr>
                <w:ilvl w:val="0"/>
                <w:numId w:val="12"/>
              </w:numPr>
              <w:jc w:val="both"/>
              <w:rPr>
                <w:rFonts w:eastAsia="Times New Roman"/>
                <w:lang w:val="en-GB"/>
              </w:rPr>
            </w:pPr>
            <w:r>
              <w:rPr>
                <w:rFonts w:eastAsia="Times New Roman"/>
                <w:lang w:val="en-GB"/>
              </w:rPr>
              <w:t>the applicant has received permission from the data owner that the summary and evaluation contained in this [these] assessment report[s] may be used in lieu of the data; or</w:t>
            </w:r>
          </w:p>
          <w:p w14:paraId="30FFE539" w14:textId="77777777" w:rsidR="00BF3C2E" w:rsidRDefault="00BF3C2E" w:rsidP="00BF3C2E">
            <w:pPr>
              <w:numPr>
                <w:ilvl w:val="0"/>
                <w:numId w:val="12"/>
              </w:numPr>
              <w:jc w:val="both"/>
              <w:rPr>
                <w:rFonts w:eastAsia="Times New Roman"/>
                <w:lang w:val="en-GB"/>
              </w:rPr>
            </w:pPr>
            <w:proofErr w:type="gramStart"/>
            <w:r>
              <w:rPr>
                <w:rFonts w:eastAsia="Times New Roman"/>
                <w:lang w:val="en-GB"/>
              </w:rPr>
              <w:t>following</w:t>
            </w:r>
            <w:proofErr w:type="gramEnd"/>
            <w:r>
              <w:rPr>
                <w:rFonts w:eastAsia="Times New Roman"/>
                <w:lang w:val="en-GB"/>
              </w:rPr>
              <w:t xml:space="preserve"> expiry of any period of exclusive use, mandatory compensation, where required, has been offered unless the period of protection for the proprietary data concerned has expired.</w:t>
            </w:r>
          </w:p>
          <w:p w14:paraId="30FFE53A" w14:textId="77777777" w:rsidR="00BF3C2E" w:rsidRDefault="00BF3C2E" w:rsidP="00BF3C2E">
            <w:pPr>
              <w:jc w:val="both"/>
              <w:rPr>
                <w:rFonts w:eastAsiaTheme="minorEastAsia"/>
                <w:lang w:val="en-AU"/>
              </w:rPr>
            </w:pPr>
            <w:r>
              <w:rPr>
                <w:lang w:val="en-AU"/>
              </w:rPr>
              <w:t>Applicants who wish to use data in this assessment report should ensure that the use is consistent with the legal requirements in the country/region in which it is proposed to use the data.</w:t>
            </w:r>
          </w:p>
          <w:p w14:paraId="30FFE53B" w14:textId="77777777" w:rsidR="00D23AF3" w:rsidRPr="00BF3C2E" w:rsidRDefault="00D23AF3">
            <w:pPr>
              <w:pStyle w:val="BodyText2"/>
              <w:rPr>
                <w:lang w:val="en-AU"/>
              </w:rPr>
            </w:pPr>
          </w:p>
        </w:tc>
      </w:tr>
    </w:tbl>
    <w:p w14:paraId="30FFE53D" w14:textId="77777777" w:rsidR="009D0EC2" w:rsidRPr="006D66BF" w:rsidRDefault="009D0EC2">
      <w:pPr>
        <w:pStyle w:val="BodyText"/>
        <w:jc w:val="center"/>
      </w:pPr>
    </w:p>
    <w:p w14:paraId="30FFE53F" w14:textId="2EEFD994" w:rsidR="00BF3C2E" w:rsidRDefault="00BF3C2E">
      <w:pPr>
        <w:rPr>
          <w:b/>
          <w:u w:val="single"/>
        </w:rPr>
      </w:pPr>
      <w:r>
        <w:rPr>
          <w:b/>
          <w:u w:val="single"/>
        </w:rPr>
        <w:br w:type="page"/>
      </w:r>
    </w:p>
    <w:p w14:paraId="30FFE540" w14:textId="77777777" w:rsidR="00E56A35" w:rsidRPr="009071B1" w:rsidRDefault="00E56A35" w:rsidP="00E56A35">
      <w:pPr>
        <w:jc w:val="center"/>
        <w:rPr>
          <w:b/>
          <w:u w:val="single"/>
        </w:rPr>
      </w:pPr>
      <w:r w:rsidRPr="009071B1">
        <w:rPr>
          <w:b/>
          <w:u w:val="single"/>
        </w:rPr>
        <w:lastRenderedPageBreak/>
        <w:t>SIDS INITIAL ASSESSMENT PROFILE</w:t>
      </w:r>
    </w:p>
    <w:p w14:paraId="30FFE541" w14:textId="77777777" w:rsidR="00E56A35" w:rsidRPr="009071B1" w:rsidRDefault="00E56A35" w:rsidP="00E56A35">
      <w:pPr>
        <w:jc w:val="center"/>
      </w:pPr>
    </w:p>
    <w:tbl>
      <w:tblPr>
        <w:tblW w:w="9639" w:type="dxa"/>
        <w:tblInd w:w="70" w:type="dxa"/>
        <w:tblLayout w:type="fixed"/>
        <w:tblCellMar>
          <w:left w:w="70" w:type="dxa"/>
          <w:right w:w="70" w:type="dxa"/>
        </w:tblCellMar>
        <w:tblLook w:val="0000" w:firstRow="0" w:lastRow="0" w:firstColumn="0" w:lastColumn="0" w:noHBand="0" w:noVBand="0"/>
      </w:tblPr>
      <w:tblGrid>
        <w:gridCol w:w="3261"/>
        <w:gridCol w:w="6378"/>
      </w:tblGrid>
      <w:tr w:rsidR="00E56A35" w:rsidRPr="009071B1" w14:paraId="30FFE544" w14:textId="77777777" w:rsidTr="00E56A35">
        <w:trPr>
          <w:trHeight w:hRule="exact" w:val="720"/>
        </w:trPr>
        <w:tc>
          <w:tcPr>
            <w:tcW w:w="3261" w:type="dxa"/>
            <w:tcBorders>
              <w:top w:val="double" w:sz="6" w:space="0" w:color="auto"/>
              <w:left w:val="double" w:sz="6" w:space="0" w:color="auto"/>
              <w:bottom w:val="single" w:sz="12" w:space="0" w:color="auto"/>
              <w:right w:val="double" w:sz="6" w:space="0" w:color="auto"/>
            </w:tcBorders>
            <w:shd w:val="pct10" w:color="auto" w:fill="auto"/>
          </w:tcPr>
          <w:p w14:paraId="30FFE542" w14:textId="77777777" w:rsidR="00E56A35" w:rsidRPr="009071B1" w:rsidRDefault="00E56A35" w:rsidP="00E56A35">
            <w:pPr>
              <w:spacing w:before="240"/>
              <w:ind w:left="284"/>
              <w:jc w:val="center"/>
              <w:rPr>
                <w:caps/>
              </w:rPr>
            </w:pPr>
            <w:r w:rsidRPr="009071B1">
              <w:rPr>
                <w:b/>
              </w:rPr>
              <w:t>CAS No.</w:t>
            </w:r>
          </w:p>
        </w:tc>
        <w:tc>
          <w:tcPr>
            <w:tcW w:w="6378" w:type="dxa"/>
            <w:tcBorders>
              <w:top w:val="double" w:sz="6" w:space="0" w:color="auto"/>
              <w:left w:val="double" w:sz="6" w:space="0" w:color="auto"/>
              <w:bottom w:val="single" w:sz="12" w:space="0" w:color="auto"/>
              <w:right w:val="double" w:sz="6" w:space="0" w:color="auto"/>
            </w:tcBorders>
            <w:vAlign w:val="center"/>
          </w:tcPr>
          <w:p w14:paraId="30FFE543" w14:textId="77777777" w:rsidR="00E56A35" w:rsidRPr="009071B1" w:rsidRDefault="00E56A35" w:rsidP="00E56A35">
            <w:pPr>
              <w:rPr>
                <w:lang w:eastAsia="ja-JP"/>
              </w:rPr>
            </w:pPr>
            <w:r w:rsidRPr="009071B1">
              <w:rPr>
                <w:rFonts w:ascii="Times" w:hAnsi="Times" w:hint="eastAsia"/>
                <w:lang w:eastAsia="ja-JP"/>
              </w:rPr>
              <w:t>77-85-0</w:t>
            </w:r>
          </w:p>
        </w:tc>
      </w:tr>
      <w:tr w:rsidR="00E56A35" w:rsidRPr="009071B1" w14:paraId="30FFE547" w14:textId="77777777" w:rsidTr="00E56A35">
        <w:trPr>
          <w:trHeight w:hRule="exact" w:val="788"/>
        </w:trPr>
        <w:tc>
          <w:tcPr>
            <w:tcW w:w="3261" w:type="dxa"/>
            <w:tcBorders>
              <w:top w:val="single" w:sz="12" w:space="0" w:color="auto"/>
              <w:left w:val="double" w:sz="6" w:space="0" w:color="auto"/>
              <w:bottom w:val="single" w:sz="12" w:space="0" w:color="auto"/>
              <w:right w:val="double" w:sz="6" w:space="0" w:color="auto"/>
            </w:tcBorders>
            <w:shd w:val="pct10" w:color="auto" w:fill="auto"/>
            <w:vAlign w:val="center"/>
          </w:tcPr>
          <w:p w14:paraId="30FFE545" w14:textId="77777777" w:rsidR="00E56A35" w:rsidRPr="009071B1" w:rsidRDefault="00E56A35" w:rsidP="00E56A35">
            <w:pPr>
              <w:jc w:val="center"/>
              <w:rPr>
                <w:caps/>
              </w:rPr>
            </w:pPr>
            <w:r w:rsidRPr="009071B1">
              <w:rPr>
                <w:b/>
              </w:rPr>
              <w:t>Chemical Name</w:t>
            </w:r>
          </w:p>
        </w:tc>
        <w:tc>
          <w:tcPr>
            <w:tcW w:w="6378" w:type="dxa"/>
            <w:tcBorders>
              <w:top w:val="single" w:sz="12" w:space="0" w:color="auto"/>
              <w:left w:val="double" w:sz="6" w:space="0" w:color="auto"/>
              <w:bottom w:val="single" w:sz="12" w:space="0" w:color="auto"/>
              <w:right w:val="double" w:sz="6" w:space="0" w:color="auto"/>
            </w:tcBorders>
            <w:vAlign w:val="center"/>
          </w:tcPr>
          <w:p w14:paraId="30FFE546" w14:textId="77777777" w:rsidR="00E56A35" w:rsidRPr="007C0722" w:rsidRDefault="00E56A35" w:rsidP="00E56A35">
            <w:pPr>
              <w:pStyle w:val="Heading2"/>
              <w:numPr>
                <w:ilvl w:val="0"/>
                <w:numId w:val="0"/>
              </w:numPr>
              <w:rPr>
                <w:bCs/>
                <w:caps/>
                <w:szCs w:val="22"/>
                <w:lang w:val="en-US" w:eastAsia="ja-JP"/>
              </w:rPr>
            </w:pPr>
            <w:r w:rsidRPr="007C0722">
              <w:rPr>
                <w:rFonts w:hint="eastAsia"/>
              </w:rPr>
              <w:t>1</w:t>
            </w:r>
            <w:proofErr w:type="gramStart"/>
            <w:r w:rsidRPr="007C0722">
              <w:rPr>
                <w:rFonts w:hint="eastAsia"/>
              </w:rPr>
              <w:t>,1,1</w:t>
            </w:r>
            <w:proofErr w:type="gramEnd"/>
            <w:r w:rsidRPr="007C0722">
              <w:rPr>
                <w:rFonts w:hint="eastAsia"/>
              </w:rPr>
              <w:t>-Tris(hydroxymethyl)ethane</w:t>
            </w:r>
          </w:p>
        </w:tc>
      </w:tr>
      <w:tr w:rsidR="00E56A35" w:rsidRPr="009071B1" w14:paraId="30FFE54B" w14:textId="77777777" w:rsidTr="00E56A35">
        <w:trPr>
          <w:trHeight w:val="618"/>
        </w:trPr>
        <w:tc>
          <w:tcPr>
            <w:tcW w:w="3261" w:type="dxa"/>
            <w:tcBorders>
              <w:top w:val="single" w:sz="12" w:space="0" w:color="auto"/>
              <w:left w:val="double" w:sz="6" w:space="0" w:color="auto"/>
              <w:bottom w:val="double" w:sz="6" w:space="0" w:color="auto"/>
              <w:right w:val="double" w:sz="6" w:space="0" w:color="auto"/>
            </w:tcBorders>
            <w:shd w:val="pct10" w:color="auto" w:fill="auto"/>
            <w:vAlign w:val="center"/>
          </w:tcPr>
          <w:p w14:paraId="30FFE548" w14:textId="77777777" w:rsidR="00E56A35" w:rsidRPr="009071B1" w:rsidRDefault="00E56A35" w:rsidP="00E56A35">
            <w:pPr>
              <w:jc w:val="center"/>
              <w:rPr>
                <w:b/>
              </w:rPr>
            </w:pPr>
            <w:r w:rsidRPr="009071B1">
              <w:rPr>
                <w:b/>
              </w:rPr>
              <w:t>Structural Formula</w:t>
            </w:r>
          </w:p>
        </w:tc>
        <w:tc>
          <w:tcPr>
            <w:tcW w:w="6378" w:type="dxa"/>
            <w:tcBorders>
              <w:top w:val="single" w:sz="12" w:space="0" w:color="auto"/>
              <w:left w:val="double" w:sz="6" w:space="0" w:color="auto"/>
              <w:bottom w:val="double" w:sz="6" w:space="0" w:color="auto"/>
              <w:right w:val="double" w:sz="6" w:space="0" w:color="auto"/>
            </w:tcBorders>
            <w:vAlign w:val="center"/>
          </w:tcPr>
          <w:p w14:paraId="30FFE549" w14:textId="77777777" w:rsidR="00E56A35" w:rsidRPr="009071B1" w:rsidRDefault="00E56A35" w:rsidP="00E56A35">
            <w:pPr>
              <w:rPr>
                <w:lang w:eastAsia="ja-JP"/>
              </w:rPr>
            </w:pPr>
          </w:p>
          <w:p w14:paraId="30FFE54A" w14:textId="77777777" w:rsidR="00E56A35" w:rsidRPr="009071B1" w:rsidRDefault="00E56A35" w:rsidP="00E56A35">
            <w:pPr>
              <w:pStyle w:val="BodyText2"/>
              <w:spacing w:after="100" w:afterAutospacing="1"/>
              <w:jc w:val="center"/>
              <w:rPr>
                <w:sz w:val="20"/>
              </w:rPr>
            </w:pPr>
            <w:r>
              <w:rPr>
                <w:noProof/>
                <w:sz w:val="20"/>
                <w:lang w:eastAsia="en-GB"/>
              </w:rPr>
              <w:drawing>
                <wp:inline distT="0" distB="0" distL="0" distR="0" wp14:anchorId="30FFE733" wp14:editId="30FFE734">
                  <wp:extent cx="1219200" cy="1266825"/>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219200" cy="1266825"/>
                          </a:xfrm>
                          <a:prstGeom prst="rect">
                            <a:avLst/>
                          </a:prstGeom>
                          <a:noFill/>
                          <a:ln w="9525">
                            <a:noFill/>
                            <a:miter lim="800000"/>
                            <a:headEnd/>
                            <a:tailEnd/>
                          </a:ln>
                        </pic:spPr>
                      </pic:pic>
                    </a:graphicData>
                  </a:graphic>
                </wp:inline>
              </w:drawing>
            </w:r>
          </w:p>
        </w:tc>
      </w:tr>
      <w:tr w:rsidR="00E56A35" w:rsidRPr="009071B1" w14:paraId="30FFE576" w14:textId="77777777" w:rsidTr="00E56A35">
        <w:trPr>
          <w:trHeight w:val="443"/>
        </w:trPr>
        <w:tc>
          <w:tcPr>
            <w:tcW w:w="9639" w:type="dxa"/>
            <w:gridSpan w:val="2"/>
            <w:tcBorders>
              <w:top w:val="single" w:sz="12" w:space="0" w:color="auto"/>
              <w:left w:val="double" w:sz="6" w:space="0" w:color="auto"/>
              <w:bottom w:val="single" w:sz="12" w:space="0" w:color="auto"/>
              <w:right w:val="double" w:sz="6" w:space="0" w:color="auto"/>
            </w:tcBorders>
          </w:tcPr>
          <w:p w14:paraId="30FFE54C" w14:textId="77777777" w:rsidR="00E56A35" w:rsidRDefault="00E56A35" w:rsidP="00E56A35">
            <w:pPr>
              <w:pStyle w:val="BodyText"/>
              <w:spacing w:after="0"/>
              <w:ind w:left="159" w:right="210"/>
              <w:jc w:val="center"/>
              <w:rPr>
                <w:b/>
                <w:sz w:val="20"/>
                <w:lang w:eastAsia="ja-JP"/>
              </w:rPr>
            </w:pPr>
          </w:p>
          <w:p w14:paraId="30FFE54D" w14:textId="77777777" w:rsidR="00E56A35" w:rsidRDefault="00E56A35" w:rsidP="00E56A35">
            <w:pPr>
              <w:pStyle w:val="BodyText"/>
              <w:spacing w:after="0"/>
              <w:ind w:left="159" w:right="210"/>
              <w:jc w:val="center"/>
              <w:rPr>
                <w:b/>
                <w:sz w:val="20"/>
                <w:lang w:eastAsia="ja-JP"/>
              </w:rPr>
            </w:pPr>
            <w:r w:rsidRPr="009071B1">
              <w:rPr>
                <w:b/>
                <w:sz w:val="20"/>
                <w:lang w:eastAsia="ja-JP"/>
              </w:rPr>
              <w:t>SUMMARY CONCLUSIONS OF THE SIAR</w:t>
            </w:r>
          </w:p>
          <w:p w14:paraId="30FFE54E" w14:textId="77777777" w:rsidR="00E56A35" w:rsidRPr="009071B1" w:rsidRDefault="00E56A35" w:rsidP="00E56A35">
            <w:pPr>
              <w:pStyle w:val="BodyText"/>
              <w:spacing w:after="0"/>
              <w:ind w:left="159" w:right="210"/>
              <w:jc w:val="center"/>
              <w:rPr>
                <w:b/>
                <w:sz w:val="20"/>
                <w:lang w:eastAsia="ja-JP"/>
              </w:rPr>
            </w:pPr>
          </w:p>
          <w:p w14:paraId="30FFE54F" w14:textId="77777777" w:rsidR="00E56A35" w:rsidRPr="00676A0A" w:rsidRDefault="00E56A35" w:rsidP="00E56A35">
            <w:pPr>
              <w:pStyle w:val="BodyText"/>
              <w:ind w:left="159" w:right="210"/>
              <w:rPr>
                <w:b/>
                <w:sz w:val="20"/>
                <w:lang w:eastAsia="ja-JP"/>
              </w:rPr>
            </w:pPr>
            <w:r w:rsidRPr="00676A0A">
              <w:rPr>
                <w:b/>
                <w:sz w:val="20"/>
                <w:lang w:eastAsia="ja-JP"/>
              </w:rPr>
              <w:t>Physical-chemical properties</w:t>
            </w:r>
          </w:p>
          <w:p w14:paraId="30FFE550" w14:textId="77777777" w:rsidR="00E56A35" w:rsidRPr="00676A0A" w:rsidRDefault="00E56A35" w:rsidP="00E56A35">
            <w:pPr>
              <w:pStyle w:val="BodyText"/>
              <w:ind w:left="159" w:right="210"/>
              <w:rPr>
                <w:sz w:val="20"/>
              </w:rPr>
            </w:pPr>
            <w:r w:rsidRPr="00676A0A">
              <w:rPr>
                <w:sz w:val="20"/>
                <w:lang w:eastAsia="ja-JP"/>
              </w:rPr>
              <w:t>1</w:t>
            </w:r>
            <w:proofErr w:type="gramStart"/>
            <w:r w:rsidRPr="00676A0A">
              <w:rPr>
                <w:sz w:val="20"/>
                <w:lang w:eastAsia="ja-JP"/>
              </w:rPr>
              <w:t>,1,1</w:t>
            </w:r>
            <w:proofErr w:type="gramEnd"/>
            <w:r w:rsidRPr="00676A0A">
              <w:rPr>
                <w:sz w:val="20"/>
                <w:lang w:eastAsia="ja-JP"/>
              </w:rPr>
              <w:t>-Tris(hydroxymethyl)ethane</w:t>
            </w:r>
            <w:r w:rsidRPr="00676A0A">
              <w:rPr>
                <w:sz w:val="20"/>
              </w:rPr>
              <w:t xml:space="preserve"> is a white powder with no odour at standard temperature.  Melting point and boiling point are 204 °C and 286.7 °C respectively. Vapour pressure is 1.82 x 10</w:t>
            </w:r>
            <w:r w:rsidRPr="00676A0A">
              <w:rPr>
                <w:sz w:val="20"/>
                <w:vertAlign w:val="superscript"/>
              </w:rPr>
              <w:t>-5</w:t>
            </w:r>
            <w:r w:rsidRPr="00676A0A">
              <w:rPr>
                <w:sz w:val="20"/>
              </w:rPr>
              <w:t xml:space="preserve"> Pa at 25 °C</w:t>
            </w:r>
            <w:r>
              <w:rPr>
                <w:sz w:val="20"/>
              </w:rPr>
              <w:t>,</w:t>
            </w:r>
            <w:r w:rsidRPr="00676A0A">
              <w:rPr>
                <w:sz w:val="20"/>
              </w:rPr>
              <w:t xml:space="preserve"> extrapolated from the experimental value</w:t>
            </w:r>
            <w:r w:rsidRPr="00676A0A">
              <w:rPr>
                <w:sz w:val="20"/>
                <w:lang w:eastAsia="ja-JP"/>
              </w:rPr>
              <w:t>.</w:t>
            </w:r>
            <w:r w:rsidRPr="00676A0A">
              <w:rPr>
                <w:sz w:val="20"/>
              </w:rPr>
              <w:t xml:space="preserve"> </w:t>
            </w:r>
            <w:r w:rsidRPr="00676A0A">
              <w:rPr>
                <w:sz w:val="20"/>
                <w:lang w:eastAsia="ja-JP"/>
              </w:rPr>
              <w:t>P</w:t>
            </w:r>
            <w:r w:rsidRPr="00676A0A">
              <w:rPr>
                <w:sz w:val="20"/>
              </w:rPr>
              <w:t>artition coefficient between octanol and water (log K</w:t>
            </w:r>
            <w:r w:rsidRPr="00676A0A">
              <w:rPr>
                <w:sz w:val="20"/>
                <w:vertAlign w:val="subscript"/>
              </w:rPr>
              <w:t>ow</w:t>
            </w:r>
            <w:r w:rsidRPr="00676A0A">
              <w:rPr>
                <w:sz w:val="20"/>
              </w:rPr>
              <w:t xml:space="preserve">) is </w:t>
            </w:r>
            <w:r w:rsidRPr="00676A0A">
              <w:rPr>
                <w:sz w:val="20"/>
                <w:lang w:eastAsia="ja-JP"/>
              </w:rPr>
              <w:t>-0.95 and</w:t>
            </w:r>
            <w:r w:rsidRPr="00676A0A">
              <w:rPr>
                <w:sz w:val="20"/>
              </w:rPr>
              <w:t xml:space="preserve"> </w:t>
            </w:r>
            <w:r w:rsidRPr="00676A0A">
              <w:rPr>
                <w:sz w:val="20"/>
                <w:lang w:eastAsia="ja-JP"/>
              </w:rPr>
              <w:t>w</w:t>
            </w:r>
            <w:r w:rsidRPr="00676A0A">
              <w:rPr>
                <w:sz w:val="20"/>
              </w:rPr>
              <w:t xml:space="preserve">ater solubility is more than 300 g/L at 20 °C. </w:t>
            </w:r>
          </w:p>
          <w:p w14:paraId="30FFE551" w14:textId="77777777" w:rsidR="00E56A35" w:rsidRPr="00676A0A" w:rsidRDefault="00E56A35" w:rsidP="00E56A35">
            <w:pPr>
              <w:pStyle w:val="BodyText"/>
              <w:ind w:left="159" w:right="210"/>
              <w:rPr>
                <w:b/>
                <w:sz w:val="20"/>
                <w:lang w:eastAsia="ja-JP"/>
              </w:rPr>
            </w:pPr>
            <w:r w:rsidRPr="00676A0A">
              <w:rPr>
                <w:b/>
                <w:sz w:val="20"/>
                <w:lang w:eastAsia="ja-JP"/>
              </w:rPr>
              <w:t>Human Health</w:t>
            </w:r>
          </w:p>
          <w:p w14:paraId="30FFE552" w14:textId="77777777" w:rsidR="00E56A35" w:rsidRPr="00676A0A" w:rsidRDefault="00E56A35" w:rsidP="00E56A35">
            <w:pPr>
              <w:pStyle w:val="BodyText"/>
              <w:ind w:left="159" w:right="210"/>
              <w:rPr>
                <w:sz w:val="20"/>
                <w:highlight w:val="yellow"/>
                <w:lang w:eastAsia="ja-JP"/>
              </w:rPr>
            </w:pPr>
            <w:r w:rsidRPr="00676A0A">
              <w:rPr>
                <w:sz w:val="20"/>
              </w:rPr>
              <w:t>No specific study on toxicokinetics, metabolism and distribution has been identified. The slight liver toxicity seen in rats given 1000 mg/kg bw/day (in the combined repeated dose and reproductive/developmental toxicity screening test) indicates that 1</w:t>
            </w:r>
            <w:proofErr w:type="gramStart"/>
            <w:r w:rsidRPr="00676A0A">
              <w:rPr>
                <w:sz w:val="20"/>
              </w:rPr>
              <w:t>,1,1</w:t>
            </w:r>
            <w:proofErr w:type="gramEnd"/>
            <w:r w:rsidRPr="00676A0A">
              <w:rPr>
                <w:sz w:val="20"/>
              </w:rPr>
              <w:t>-tris-(hydroxymethyl)ethane is absorbed through the gastrointestinal tract to some degree.</w:t>
            </w:r>
          </w:p>
          <w:p w14:paraId="30FFE553" w14:textId="77777777" w:rsidR="00E56A35" w:rsidRPr="00676A0A" w:rsidRDefault="00E56A35" w:rsidP="00E56A35">
            <w:pPr>
              <w:pStyle w:val="BodyText"/>
              <w:ind w:left="159" w:right="210"/>
              <w:rPr>
                <w:sz w:val="20"/>
                <w:lang w:eastAsia="ja-JP"/>
              </w:rPr>
            </w:pPr>
            <w:r w:rsidRPr="00676A0A">
              <w:rPr>
                <w:sz w:val="20"/>
                <w:lang w:eastAsia="ja-JP"/>
              </w:rPr>
              <w:t>In an acute oral study conducted in accordance with OECD TG 401, no deaths or signs of toxicity were observed at 2,000 mg/kg bw in rats. Therefore, the oral LD</w:t>
            </w:r>
            <w:r w:rsidRPr="00676A0A">
              <w:rPr>
                <w:sz w:val="20"/>
                <w:vertAlign w:val="subscript"/>
                <w:lang w:eastAsia="ja-JP"/>
              </w:rPr>
              <w:t>50</w:t>
            </w:r>
            <w:r w:rsidRPr="00676A0A">
              <w:rPr>
                <w:sz w:val="20"/>
                <w:lang w:eastAsia="ja-JP"/>
              </w:rPr>
              <w:t xml:space="preserve"> value of 1</w:t>
            </w:r>
            <w:proofErr w:type="gramStart"/>
            <w:r w:rsidRPr="00676A0A">
              <w:rPr>
                <w:sz w:val="20"/>
                <w:lang w:eastAsia="ja-JP"/>
              </w:rPr>
              <w:t>,1,1</w:t>
            </w:r>
            <w:proofErr w:type="gramEnd"/>
            <w:r w:rsidRPr="00676A0A">
              <w:rPr>
                <w:sz w:val="20"/>
                <w:lang w:eastAsia="ja-JP"/>
              </w:rPr>
              <w:t xml:space="preserve">-tris(hydroxymethyl)ethane was concluded to be &gt; 2,000 mg/kg bw. </w:t>
            </w:r>
          </w:p>
          <w:p w14:paraId="30FFE554" w14:textId="77777777" w:rsidR="00E56A35" w:rsidRPr="00676A0A" w:rsidRDefault="00E56A35" w:rsidP="00E56A35">
            <w:pPr>
              <w:pStyle w:val="BodyText"/>
              <w:ind w:left="159" w:right="210"/>
              <w:rPr>
                <w:sz w:val="20"/>
                <w:lang w:eastAsia="ja-JP"/>
              </w:rPr>
            </w:pPr>
            <w:r w:rsidRPr="00676A0A">
              <w:rPr>
                <w:sz w:val="20"/>
                <w:lang w:eastAsia="ja-JP"/>
              </w:rPr>
              <w:t>D</w:t>
            </w:r>
            <w:r w:rsidRPr="00676A0A">
              <w:rPr>
                <w:sz w:val="20"/>
              </w:rPr>
              <w:t xml:space="preserve">ata on </w:t>
            </w:r>
            <w:r w:rsidRPr="00676A0A">
              <w:rPr>
                <w:sz w:val="20"/>
                <w:lang w:eastAsia="ja-JP"/>
              </w:rPr>
              <w:t xml:space="preserve">acute </w:t>
            </w:r>
            <w:r w:rsidRPr="00676A0A">
              <w:rPr>
                <w:sz w:val="20"/>
              </w:rPr>
              <w:t xml:space="preserve">dermal toxicity </w:t>
            </w:r>
            <w:r w:rsidRPr="00676A0A">
              <w:rPr>
                <w:sz w:val="20"/>
                <w:lang w:eastAsia="ja-JP"/>
              </w:rPr>
              <w:t>are not available. The limited information on dermal toxicity (LD</w:t>
            </w:r>
            <w:r w:rsidRPr="00676A0A">
              <w:rPr>
                <w:sz w:val="20"/>
                <w:vertAlign w:val="subscript"/>
                <w:lang w:eastAsia="ja-JP"/>
              </w:rPr>
              <w:t>50</w:t>
            </w:r>
            <w:r w:rsidRPr="00676A0A">
              <w:rPr>
                <w:sz w:val="20"/>
                <w:lang w:eastAsia="ja-JP"/>
              </w:rPr>
              <w:t xml:space="preserve"> &gt; 500 mg/kg bw) in rat of the structurally similar analogue of </w:t>
            </w:r>
            <w:proofErr w:type="gramStart"/>
            <w:r w:rsidRPr="00676A0A">
              <w:rPr>
                <w:sz w:val="20"/>
                <w:lang w:eastAsia="ja-JP"/>
              </w:rPr>
              <w:t>tris(</w:t>
            </w:r>
            <w:proofErr w:type="gramEnd"/>
            <w:r w:rsidRPr="00676A0A">
              <w:rPr>
                <w:sz w:val="20"/>
                <w:lang w:eastAsia="ja-JP"/>
              </w:rPr>
              <w:t xml:space="preserve">hydroxymethyl)propane (CAS 77-99-6 assessed at </w:t>
            </w:r>
            <w:smartTag w:uri="urn:schemas-microsoft-com:office:smarttags" w:element="country-region">
              <w:smartTag w:uri="urn:schemas-microsoft-com:office:smarttags" w:element="place">
                <w:r w:rsidRPr="00676A0A">
                  <w:rPr>
                    <w:sz w:val="20"/>
                    <w:lang w:eastAsia="ja-JP"/>
                  </w:rPr>
                  <w:t>SIAM</w:t>
                </w:r>
              </w:smartTag>
            </w:smartTag>
            <w:r w:rsidRPr="00676A0A">
              <w:rPr>
                <w:sz w:val="20"/>
                <w:lang w:eastAsia="ja-JP"/>
              </w:rPr>
              <w:t>) suggested to be of low acute dermal toxicity.</w:t>
            </w:r>
          </w:p>
          <w:p w14:paraId="30FFE555" w14:textId="77777777" w:rsidR="00E56A35" w:rsidRPr="00676A0A" w:rsidRDefault="00E56A35" w:rsidP="00E56A35">
            <w:pPr>
              <w:pStyle w:val="BodyText"/>
              <w:ind w:left="159" w:right="210"/>
              <w:rPr>
                <w:sz w:val="20"/>
                <w:lang w:eastAsia="ja-JP"/>
              </w:rPr>
            </w:pPr>
            <w:r w:rsidRPr="00676A0A">
              <w:rPr>
                <w:sz w:val="20"/>
                <w:lang w:eastAsia="ja-JP"/>
              </w:rPr>
              <w:t xml:space="preserve">Data on </w:t>
            </w:r>
            <w:r w:rsidRPr="00676A0A">
              <w:rPr>
                <w:sz w:val="20"/>
              </w:rPr>
              <w:t>inhalation toxicity are not available</w:t>
            </w:r>
            <w:r w:rsidRPr="00676A0A">
              <w:rPr>
                <w:sz w:val="20"/>
                <w:lang w:eastAsia="ja-JP"/>
              </w:rPr>
              <w:t xml:space="preserve">. The limited information on inhalation studies in rats, mice, rabbits and guinea pigs of the structurally similar analogue </w:t>
            </w:r>
            <w:proofErr w:type="gramStart"/>
            <w:r w:rsidRPr="00676A0A">
              <w:rPr>
                <w:sz w:val="20"/>
                <w:lang w:eastAsia="ja-JP"/>
              </w:rPr>
              <w:t>tris(</w:t>
            </w:r>
            <w:proofErr w:type="gramEnd"/>
            <w:r w:rsidRPr="00676A0A">
              <w:rPr>
                <w:sz w:val="20"/>
                <w:lang w:eastAsia="ja-JP"/>
              </w:rPr>
              <w:t>hydroxymethyl)propane suggested that LC</w:t>
            </w:r>
            <w:r w:rsidRPr="00676A0A">
              <w:rPr>
                <w:sz w:val="20"/>
                <w:vertAlign w:val="subscript"/>
                <w:lang w:eastAsia="ja-JP"/>
              </w:rPr>
              <w:t>50</w:t>
            </w:r>
            <w:r w:rsidRPr="00676A0A">
              <w:rPr>
                <w:sz w:val="20"/>
                <w:lang w:eastAsia="ja-JP"/>
              </w:rPr>
              <w:t xml:space="preserve"> is higher than 0.29 mg/L/4h.</w:t>
            </w:r>
          </w:p>
          <w:p w14:paraId="30FFE556" w14:textId="77777777" w:rsidR="00E56A35" w:rsidRPr="00676A0A" w:rsidRDefault="00E56A35" w:rsidP="00E56A35">
            <w:pPr>
              <w:pStyle w:val="BodyText"/>
              <w:ind w:left="159" w:right="210"/>
              <w:rPr>
                <w:sz w:val="20"/>
                <w:lang w:val="en-US" w:eastAsia="ja-JP"/>
              </w:rPr>
            </w:pPr>
            <w:r w:rsidRPr="00676A0A">
              <w:rPr>
                <w:sz w:val="20"/>
                <w:lang w:eastAsia="ja-JP"/>
              </w:rPr>
              <w:t>No r</w:t>
            </w:r>
            <w:r w:rsidRPr="00676A0A">
              <w:rPr>
                <w:sz w:val="20"/>
              </w:rPr>
              <w:t>eliable</w:t>
            </w:r>
            <w:r w:rsidRPr="00676A0A">
              <w:rPr>
                <w:sz w:val="20"/>
                <w:lang w:eastAsia="ja-JP"/>
              </w:rPr>
              <w:t xml:space="preserve"> </w:t>
            </w:r>
            <w:r w:rsidRPr="00676A0A">
              <w:rPr>
                <w:sz w:val="20"/>
              </w:rPr>
              <w:t>stud</w:t>
            </w:r>
            <w:r w:rsidRPr="00676A0A">
              <w:rPr>
                <w:sz w:val="20"/>
                <w:lang w:eastAsia="ja-JP"/>
              </w:rPr>
              <w:t>ies are available</w:t>
            </w:r>
            <w:r w:rsidRPr="00676A0A">
              <w:rPr>
                <w:sz w:val="20"/>
              </w:rPr>
              <w:t xml:space="preserve"> on</w:t>
            </w:r>
            <w:r w:rsidRPr="00676A0A">
              <w:rPr>
                <w:sz w:val="20"/>
                <w:lang w:eastAsia="ja-JP"/>
              </w:rPr>
              <w:t xml:space="preserve"> </w:t>
            </w:r>
            <w:r w:rsidRPr="00676A0A">
              <w:rPr>
                <w:sz w:val="20"/>
              </w:rPr>
              <w:t>skin</w:t>
            </w:r>
            <w:r w:rsidRPr="00676A0A">
              <w:rPr>
                <w:sz w:val="20"/>
                <w:lang w:eastAsia="ja-JP"/>
              </w:rPr>
              <w:t xml:space="preserve"> </w:t>
            </w:r>
            <w:r w:rsidRPr="00676A0A">
              <w:rPr>
                <w:sz w:val="20"/>
              </w:rPr>
              <w:t>irritation</w:t>
            </w:r>
            <w:r w:rsidRPr="00676A0A">
              <w:rPr>
                <w:sz w:val="20"/>
                <w:lang w:eastAsia="ja-JP"/>
              </w:rPr>
              <w:t xml:space="preserve"> or sensitisation</w:t>
            </w:r>
            <w:r w:rsidRPr="00676A0A">
              <w:rPr>
                <w:sz w:val="20"/>
              </w:rPr>
              <w:t>.</w:t>
            </w:r>
            <w:r w:rsidRPr="00676A0A">
              <w:rPr>
                <w:sz w:val="20"/>
                <w:lang w:eastAsia="ja-JP"/>
              </w:rPr>
              <w:t xml:space="preserve"> The limited information on skin irritation in rabbits of the structurally similar analogue of </w:t>
            </w:r>
            <w:proofErr w:type="gramStart"/>
            <w:r w:rsidRPr="00676A0A">
              <w:rPr>
                <w:sz w:val="20"/>
                <w:lang w:eastAsia="ja-JP"/>
              </w:rPr>
              <w:t>tris(</w:t>
            </w:r>
            <w:proofErr w:type="gramEnd"/>
            <w:r w:rsidRPr="00676A0A">
              <w:rPr>
                <w:sz w:val="20"/>
                <w:lang w:eastAsia="ja-JP"/>
              </w:rPr>
              <w:t>hydroxymethyl)propane suggests that there is no irritation.</w:t>
            </w:r>
          </w:p>
          <w:p w14:paraId="30FFE557" w14:textId="77777777" w:rsidR="00E56A35" w:rsidRPr="00676A0A" w:rsidRDefault="00E56A35" w:rsidP="00E56A35">
            <w:pPr>
              <w:pStyle w:val="BodyText"/>
              <w:ind w:left="159" w:right="210"/>
              <w:rPr>
                <w:sz w:val="20"/>
                <w:lang w:eastAsia="ja-JP"/>
              </w:rPr>
            </w:pPr>
            <w:r w:rsidRPr="00676A0A">
              <w:rPr>
                <w:sz w:val="20"/>
                <w:lang w:eastAsia="ja-JP"/>
              </w:rPr>
              <w:t>There is one reliable study for repeated dose toxicity of 1</w:t>
            </w:r>
            <w:proofErr w:type="gramStart"/>
            <w:r w:rsidRPr="00676A0A">
              <w:rPr>
                <w:sz w:val="20"/>
                <w:lang w:eastAsia="ja-JP"/>
              </w:rPr>
              <w:t>,1,1</w:t>
            </w:r>
            <w:proofErr w:type="gramEnd"/>
            <w:r w:rsidRPr="00676A0A">
              <w:rPr>
                <w:sz w:val="20"/>
                <w:lang w:eastAsia="ja-JP"/>
              </w:rPr>
              <w:t>-tris(hydroxymethyl)ethane. This study was conducted in accordance with OECD TG 422 except for the limited haematological and clinical chemistry examination in males</w:t>
            </w:r>
            <w:r>
              <w:rPr>
                <w:sz w:val="20"/>
                <w:lang w:eastAsia="ja-JP"/>
              </w:rPr>
              <w:t xml:space="preserve"> </w:t>
            </w:r>
            <w:r w:rsidRPr="00676A0A">
              <w:rPr>
                <w:sz w:val="20"/>
                <w:lang w:eastAsia="ja-JP"/>
              </w:rPr>
              <w:t xml:space="preserve">only. The substance was administered via gavage </w:t>
            </w:r>
            <w:proofErr w:type="gramStart"/>
            <w:r w:rsidRPr="00676A0A">
              <w:rPr>
                <w:sz w:val="20"/>
                <w:lang w:eastAsia="ja-JP"/>
              </w:rPr>
              <w:t>to 13 rats/sex/dose at 0, 100, 300 and 1,000 mg/kg bw/day</w:t>
            </w:r>
            <w:proofErr w:type="gramEnd"/>
            <w:r w:rsidRPr="00676A0A">
              <w:rPr>
                <w:sz w:val="20"/>
                <w:lang w:eastAsia="ja-JP"/>
              </w:rPr>
              <w:t xml:space="preserve"> for 42 days (staring from 14 days before mating) in males and the 14 days pre-mating, mating and gestation periods and the days until day 3 of lactation in females (a total of 49 days). No treatment-related effects were observed in clinical signs, food consumption, hematology (examined only in males), organ weight and</w:t>
            </w:r>
            <w:r w:rsidRPr="00676A0A">
              <w:rPr>
                <w:sz w:val="18"/>
                <w:lang w:eastAsia="ja-JP"/>
              </w:rPr>
              <w:t xml:space="preserve"> </w:t>
            </w:r>
            <w:r w:rsidRPr="00676A0A">
              <w:rPr>
                <w:sz w:val="20"/>
              </w:rPr>
              <w:t>the histopathological appearance of tissues from the major organs including the liver</w:t>
            </w:r>
            <w:r w:rsidRPr="00676A0A">
              <w:rPr>
                <w:sz w:val="20"/>
                <w:lang w:eastAsia="ja-JP"/>
              </w:rPr>
              <w:t>. In clinical chemistry (examined only in males), significant but slight increases in GOT and GPT,</w:t>
            </w:r>
            <w:r w:rsidRPr="00676A0A">
              <w:rPr>
                <w:sz w:val="20"/>
              </w:rPr>
              <w:t xml:space="preserve"> reflecting an effect on liver function</w:t>
            </w:r>
            <w:r w:rsidRPr="00676A0A">
              <w:rPr>
                <w:sz w:val="20"/>
                <w:lang w:eastAsia="ja-JP"/>
              </w:rPr>
              <w:t xml:space="preserve">, and a slight decrease in glucose were observed at 1,000 mg/kg bw/day. Based on no histopathological changes in the liver, these changes in clinical chemistry were not considered to be toxicologically important. A significant but slight decrease in body weight gain was observed in pregnant females at 1,000 mg/kg bw/day. However this change was observed only in the late period of pregnancy. Based on the above findings, the </w:t>
            </w:r>
            <w:r w:rsidRPr="00676A0A">
              <w:rPr>
                <w:sz w:val="20"/>
                <w:lang w:eastAsia="ja-JP"/>
              </w:rPr>
              <w:lastRenderedPageBreak/>
              <w:t>NOAEL was considered to be 1000 mg/kg bw/day in both sexes.</w:t>
            </w:r>
          </w:p>
          <w:p w14:paraId="30FFE558" w14:textId="77777777" w:rsidR="00E56A35" w:rsidRPr="00676A0A" w:rsidRDefault="00E56A35" w:rsidP="00E56A35">
            <w:pPr>
              <w:pStyle w:val="BodyText"/>
              <w:ind w:left="159" w:right="210"/>
              <w:rPr>
                <w:sz w:val="20"/>
                <w:lang w:eastAsia="ja-JP"/>
              </w:rPr>
            </w:pPr>
            <w:r w:rsidRPr="00676A0A">
              <w:rPr>
                <w:sz w:val="20"/>
              </w:rPr>
              <w:t>In a</w:t>
            </w:r>
            <w:r w:rsidRPr="00676A0A">
              <w:rPr>
                <w:sz w:val="20"/>
                <w:lang w:eastAsia="ja-JP"/>
              </w:rPr>
              <w:t>n</w:t>
            </w:r>
            <w:r w:rsidRPr="00676A0A">
              <w:rPr>
                <w:sz w:val="20"/>
              </w:rPr>
              <w:t xml:space="preserve"> </w:t>
            </w:r>
            <w:smartTag w:uri="urn:schemas-microsoft-com:office:smarttags" w:element="City">
              <w:smartTag w:uri="urn:schemas-microsoft-com:office:smarttags" w:element="place">
                <w:r w:rsidRPr="00676A0A">
                  <w:rPr>
                    <w:sz w:val="20"/>
                  </w:rPr>
                  <w:t>Ames</w:t>
                </w:r>
              </w:smartTag>
            </w:smartTag>
            <w:r w:rsidRPr="00676A0A">
              <w:rPr>
                <w:sz w:val="20"/>
              </w:rPr>
              <w:t xml:space="preserve"> test with multiple strains of </w:t>
            </w:r>
            <w:r w:rsidRPr="00676A0A">
              <w:rPr>
                <w:i/>
                <w:sz w:val="20"/>
              </w:rPr>
              <w:t>Salmonella typhimurium</w:t>
            </w:r>
            <w:r w:rsidRPr="00676A0A">
              <w:rPr>
                <w:sz w:val="20"/>
              </w:rPr>
              <w:t xml:space="preserve"> and </w:t>
            </w:r>
            <w:r w:rsidRPr="00676A0A">
              <w:rPr>
                <w:i/>
                <w:sz w:val="20"/>
              </w:rPr>
              <w:t>Escherichia coli</w:t>
            </w:r>
            <w:r w:rsidRPr="00676A0A">
              <w:rPr>
                <w:sz w:val="20"/>
              </w:rPr>
              <w:t xml:space="preserve"> </w:t>
            </w:r>
            <w:r w:rsidRPr="00676A0A">
              <w:rPr>
                <w:sz w:val="20"/>
                <w:lang w:eastAsia="ja-JP"/>
              </w:rPr>
              <w:t>[</w:t>
            </w:r>
            <w:r w:rsidRPr="00676A0A">
              <w:rPr>
                <w:sz w:val="20"/>
              </w:rPr>
              <w:t>OECD TG 471 and 472</w:t>
            </w:r>
            <w:r w:rsidRPr="00676A0A">
              <w:rPr>
                <w:sz w:val="20"/>
                <w:lang w:eastAsia="ja-JP"/>
              </w:rPr>
              <w:t>]</w:t>
            </w:r>
            <w:r w:rsidRPr="00676A0A">
              <w:rPr>
                <w:sz w:val="20"/>
              </w:rPr>
              <w:t xml:space="preserve">, </w:t>
            </w:r>
            <w:r w:rsidRPr="00676A0A">
              <w:rPr>
                <w:sz w:val="20"/>
                <w:lang w:eastAsia="ja-JP"/>
              </w:rPr>
              <w:t>1</w:t>
            </w:r>
            <w:proofErr w:type="gramStart"/>
            <w:r w:rsidRPr="00676A0A">
              <w:rPr>
                <w:sz w:val="20"/>
                <w:lang w:eastAsia="ja-JP"/>
              </w:rPr>
              <w:t>,1,1</w:t>
            </w:r>
            <w:proofErr w:type="gramEnd"/>
            <w:r w:rsidRPr="00676A0A">
              <w:rPr>
                <w:sz w:val="20"/>
                <w:lang w:eastAsia="ja-JP"/>
              </w:rPr>
              <w:t>-tris(hydroxymethyl)ethane</w:t>
            </w:r>
            <w:r w:rsidRPr="00676A0A">
              <w:rPr>
                <w:sz w:val="20"/>
              </w:rPr>
              <w:t xml:space="preserve"> was negative both with and without metabolic activation. An </w:t>
            </w:r>
            <w:r w:rsidRPr="00676A0A">
              <w:rPr>
                <w:i/>
                <w:sz w:val="20"/>
              </w:rPr>
              <w:t>in vitro</w:t>
            </w:r>
            <w:r w:rsidRPr="00676A0A">
              <w:rPr>
                <w:sz w:val="20"/>
              </w:rPr>
              <w:t xml:space="preserve"> chromosome aberration test using cultured Chinese hamster lung (CHL/IU) cells </w:t>
            </w:r>
            <w:r w:rsidRPr="00676A0A">
              <w:rPr>
                <w:sz w:val="20"/>
                <w:lang w:eastAsia="ja-JP"/>
              </w:rPr>
              <w:t>[</w:t>
            </w:r>
            <w:r w:rsidRPr="00676A0A">
              <w:rPr>
                <w:sz w:val="20"/>
              </w:rPr>
              <w:t>OECD TG 473</w:t>
            </w:r>
            <w:r w:rsidRPr="00676A0A">
              <w:rPr>
                <w:sz w:val="20"/>
                <w:lang w:eastAsia="ja-JP"/>
              </w:rPr>
              <w:t xml:space="preserve">] </w:t>
            </w:r>
            <w:r w:rsidRPr="00676A0A">
              <w:rPr>
                <w:sz w:val="20"/>
              </w:rPr>
              <w:t xml:space="preserve">was </w:t>
            </w:r>
            <w:r w:rsidRPr="00676A0A">
              <w:rPr>
                <w:sz w:val="20"/>
                <w:lang w:eastAsia="ja-JP"/>
              </w:rPr>
              <w:t>negative</w:t>
            </w:r>
            <w:r w:rsidRPr="00676A0A">
              <w:rPr>
                <w:sz w:val="20"/>
              </w:rPr>
              <w:t xml:space="preserve"> </w:t>
            </w:r>
            <w:r w:rsidRPr="00676A0A">
              <w:rPr>
                <w:sz w:val="20"/>
                <w:lang w:eastAsia="ja-JP"/>
              </w:rPr>
              <w:t xml:space="preserve">both </w:t>
            </w:r>
            <w:r w:rsidRPr="00676A0A">
              <w:rPr>
                <w:sz w:val="20"/>
              </w:rPr>
              <w:t>with and without metabolic activation. Based</w:t>
            </w:r>
            <w:r w:rsidRPr="00676A0A">
              <w:rPr>
                <w:sz w:val="20"/>
                <w:lang w:eastAsia="ja-JP"/>
              </w:rPr>
              <w:t xml:space="preserve"> </w:t>
            </w:r>
            <w:r w:rsidRPr="00676A0A">
              <w:rPr>
                <w:sz w:val="20"/>
              </w:rPr>
              <w:t>on</w:t>
            </w:r>
            <w:r w:rsidRPr="00676A0A">
              <w:rPr>
                <w:sz w:val="20"/>
                <w:lang w:eastAsia="ja-JP"/>
              </w:rPr>
              <w:t xml:space="preserve"> </w:t>
            </w:r>
            <w:r w:rsidRPr="00676A0A">
              <w:rPr>
                <w:sz w:val="20"/>
              </w:rPr>
              <w:t>these</w:t>
            </w:r>
            <w:r w:rsidRPr="00676A0A">
              <w:rPr>
                <w:sz w:val="20"/>
                <w:lang w:eastAsia="ja-JP"/>
              </w:rPr>
              <w:t xml:space="preserve"> </w:t>
            </w:r>
            <w:r w:rsidRPr="00676A0A">
              <w:rPr>
                <w:sz w:val="20"/>
              </w:rPr>
              <w:t>results,</w:t>
            </w:r>
            <w:r w:rsidRPr="00676A0A">
              <w:rPr>
                <w:sz w:val="20"/>
                <w:lang w:eastAsia="ja-JP"/>
              </w:rPr>
              <w:t xml:space="preserve"> 1</w:t>
            </w:r>
            <w:proofErr w:type="gramStart"/>
            <w:r w:rsidRPr="00676A0A">
              <w:rPr>
                <w:sz w:val="20"/>
                <w:lang w:eastAsia="ja-JP"/>
              </w:rPr>
              <w:t>,1,1</w:t>
            </w:r>
            <w:proofErr w:type="gramEnd"/>
            <w:r w:rsidRPr="00676A0A">
              <w:rPr>
                <w:sz w:val="20"/>
                <w:lang w:eastAsia="ja-JP"/>
              </w:rPr>
              <w:t>-tris(hydroxymethyl)ethane</w:t>
            </w:r>
            <w:r w:rsidRPr="00676A0A">
              <w:rPr>
                <w:sz w:val="20"/>
              </w:rPr>
              <w:t xml:space="preserve"> is</w:t>
            </w:r>
            <w:r w:rsidRPr="00676A0A">
              <w:rPr>
                <w:sz w:val="20"/>
                <w:lang w:eastAsia="ja-JP"/>
              </w:rPr>
              <w:t xml:space="preserve"> </w:t>
            </w:r>
            <w:r w:rsidRPr="00676A0A">
              <w:rPr>
                <w:sz w:val="20"/>
              </w:rPr>
              <w:t>considered</w:t>
            </w:r>
            <w:r w:rsidRPr="00676A0A">
              <w:rPr>
                <w:sz w:val="20"/>
                <w:lang w:eastAsia="ja-JP"/>
              </w:rPr>
              <w:t xml:space="preserve"> </w:t>
            </w:r>
            <w:r w:rsidRPr="00676A0A">
              <w:rPr>
                <w:sz w:val="20"/>
              </w:rPr>
              <w:t>non</w:t>
            </w:r>
            <w:r w:rsidRPr="00676A0A">
              <w:rPr>
                <w:sz w:val="20"/>
                <w:lang w:eastAsia="ja-JP"/>
              </w:rPr>
              <w:t xml:space="preserve"> </w:t>
            </w:r>
            <w:r w:rsidRPr="00676A0A">
              <w:rPr>
                <w:sz w:val="20"/>
              </w:rPr>
              <w:t>genotoxic</w:t>
            </w:r>
            <w:r w:rsidRPr="00676A0A">
              <w:rPr>
                <w:sz w:val="20"/>
                <w:lang w:eastAsia="ja-JP"/>
              </w:rPr>
              <w:t xml:space="preserve"> </w:t>
            </w:r>
            <w:r w:rsidRPr="00676A0A">
              <w:rPr>
                <w:i/>
                <w:sz w:val="20"/>
              </w:rPr>
              <w:t>in vi</w:t>
            </w:r>
            <w:r w:rsidRPr="00676A0A">
              <w:rPr>
                <w:i/>
                <w:sz w:val="20"/>
                <w:lang w:eastAsia="ja-JP"/>
              </w:rPr>
              <w:t>tro</w:t>
            </w:r>
            <w:r w:rsidRPr="00676A0A">
              <w:rPr>
                <w:sz w:val="20"/>
              </w:rPr>
              <w:t>.</w:t>
            </w:r>
          </w:p>
          <w:p w14:paraId="30FFE559" w14:textId="77777777" w:rsidR="00E56A35" w:rsidRPr="00676A0A" w:rsidRDefault="00E56A35" w:rsidP="00E56A35">
            <w:pPr>
              <w:pStyle w:val="BodyText"/>
              <w:ind w:left="159" w:right="210"/>
              <w:rPr>
                <w:sz w:val="20"/>
                <w:lang w:eastAsia="ja-JP"/>
              </w:rPr>
            </w:pPr>
            <w:r w:rsidRPr="00676A0A">
              <w:rPr>
                <w:sz w:val="20"/>
                <w:lang w:eastAsia="ja-JP"/>
              </w:rPr>
              <w:t>No data are available</w:t>
            </w:r>
            <w:r w:rsidRPr="00676A0A" w:rsidDel="000622DC">
              <w:rPr>
                <w:sz w:val="20"/>
                <w:lang w:eastAsia="ja-JP"/>
              </w:rPr>
              <w:t xml:space="preserve"> </w:t>
            </w:r>
            <w:r w:rsidRPr="00676A0A">
              <w:rPr>
                <w:sz w:val="20"/>
                <w:lang w:eastAsia="ja-JP"/>
              </w:rPr>
              <w:t>for the carcinogenicity of 1</w:t>
            </w:r>
            <w:proofErr w:type="gramStart"/>
            <w:r w:rsidRPr="00676A0A">
              <w:rPr>
                <w:sz w:val="20"/>
                <w:lang w:eastAsia="ja-JP"/>
              </w:rPr>
              <w:t>,1,1</w:t>
            </w:r>
            <w:proofErr w:type="gramEnd"/>
            <w:r w:rsidRPr="00676A0A">
              <w:rPr>
                <w:sz w:val="20"/>
                <w:lang w:eastAsia="ja-JP"/>
              </w:rPr>
              <w:t>-tris(hydroxymethyl)ethane.</w:t>
            </w:r>
          </w:p>
          <w:p w14:paraId="30FFE55A" w14:textId="77777777" w:rsidR="00E56A35" w:rsidRPr="00676A0A" w:rsidRDefault="00E56A35" w:rsidP="00E56A35">
            <w:pPr>
              <w:pStyle w:val="BodyText"/>
              <w:ind w:left="159" w:right="210"/>
              <w:rPr>
                <w:sz w:val="20"/>
                <w:lang w:eastAsia="ja-JP"/>
              </w:rPr>
            </w:pPr>
            <w:r w:rsidRPr="00676A0A">
              <w:rPr>
                <w:sz w:val="20"/>
              </w:rPr>
              <w:t xml:space="preserve">The reproductive toxicity of the </w:t>
            </w:r>
            <w:r w:rsidRPr="00676A0A">
              <w:rPr>
                <w:sz w:val="20"/>
                <w:lang w:eastAsia="ja-JP"/>
              </w:rPr>
              <w:t>1,1,1-tris(hydroxymethyl)ethane</w:t>
            </w:r>
            <w:r w:rsidRPr="00676A0A">
              <w:rPr>
                <w:sz w:val="20"/>
              </w:rPr>
              <w:t xml:space="preserve"> has been investigated in </w:t>
            </w:r>
            <w:r w:rsidRPr="00676A0A">
              <w:rPr>
                <w:sz w:val="20"/>
                <w:lang w:eastAsia="ja-JP"/>
              </w:rPr>
              <w:t>the above-mentioned</w:t>
            </w:r>
            <w:r w:rsidRPr="00676A0A">
              <w:rPr>
                <w:sz w:val="20"/>
              </w:rPr>
              <w:t xml:space="preserve"> </w:t>
            </w:r>
            <w:r w:rsidRPr="00676A0A">
              <w:rPr>
                <w:sz w:val="20"/>
                <w:lang w:eastAsia="ja-JP"/>
              </w:rPr>
              <w:t>combined repeated oral gavage dose toxicity study with the</w:t>
            </w:r>
            <w:r w:rsidRPr="00676A0A">
              <w:rPr>
                <w:sz w:val="20"/>
              </w:rPr>
              <w:t xml:space="preserve"> reproductive</w:t>
            </w:r>
            <w:r w:rsidRPr="00676A0A">
              <w:rPr>
                <w:sz w:val="20"/>
                <w:lang w:eastAsia="ja-JP"/>
              </w:rPr>
              <w:t>/</w:t>
            </w:r>
            <w:r w:rsidRPr="00676A0A">
              <w:rPr>
                <w:sz w:val="20"/>
              </w:rPr>
              <w:t>developmental toxicity screening test in rats (OECD TG 422). No adverse effects on reproductive parameters (copulation, fertility, gestation and delivery index, etc.)</w:t>
            </w:r>
            <w:r w:rsidRPr="00676A0A">
              <w:rPr>
                <w:sz w:val="20"/>
                <w:lang w:eastAsia="ja-JP"/>
              </w:rPr>
              <w:t xml:space="preserve"> and on reproductive organ (weight or histopathological changes) </w:t>
            </w:r>
            <w:r w:rsidRPr="00676A0A">
              <w:rPr>
                <w:sz w:val="20"/>
              </w:rPr>
              <w:t>were observed, and therefore the oral NOAEL for reproductive toxicity was the maximum tested dose of 1,000 mg/kg bw/day</w:t>
            </w:r>
            <w:r w:rsidRPr="00676A0A">
              <w:rPr>
                <w:sz w:val="20"/>
                <w:lang w:eastAsia="ja-JP"/>
              </w:rPr>
              <w:t xml:space="preserve">. For developmental effects, there were no treatment-related changes in the number of live pups born, viability index on postnatal day 4, body weight on postnatal day 0 and day 4, and number of external anomalies. The NOAEL for developmental toxicity was considered to be 1,000 mg/kg bw/day (the highest dose). </w:t>
            </w:r>
          </w:p>
          <w:p w14:paraId="30FFE55B" w14:textId="77777777" w:rsidR="00E56A35" w:rsidRDefault="00E56A35" w:rsidP="00E56A35">
            <w:pPr>
              <w:pStyle w:val="BodyText"/>
              <w:spacing w:after="0"/>
              <w:ind w:left="159" w:right="210"/>
              <w:rPr>
                <w:b/>
                <w:bCs/>
                <w:sz w:val="20"/>
                <w:lang w:val="en-US"/>
              </w:rPr>
            </w:pPr>
            <w:r w:rsidRPr="00676A0A">
              <w:rPr>
                <w:b/>
                <w:sz w:val="20"/>
                <w:lang w:eastAsia="ja-JP"/>
              </w:rPr>
              <w:t>1</w:t>
            </w:r>
            <w:proofErr w:type="gramStart"/>
            <w:r w:rsidRPr="00676A0A">
              <w:rPr>
                <w:b/>
                <w:sz w:val="20"/>
                <w:lang w:eastAsia="ja-JP"/>
              </w:rPr>
              <w:t>,1,1</w:t>
            </w:r>
            <w:proofErr w:type="gramEnd"/>
            <w:r w:rsidRPr="00676A0A">
              <w:rPr>
                <w:b/>
                <w:sz w:val="20"/>
                <w:lang w:eastAsia="ja-JP"/>
              </w:rPr>
              <w:t>-tris(hydroxymethyl)ethane</w:t>
            </w:r>
            <w:r w:rsidRPr="00676A0A">
              <w:rPr>
                <w:b/>
                <w:bCs/>
                <w:sz w:val="20"/>
                <w:lang w:val="en-US" w:eastAsia="ja-JP"/>
              </w:rPr>
              <w:t xml:space="preserve"> </w:t>
            </w:r>
            <w:r w:rsidRPr="00676A0A">
              <w:rPr>
                <w:b/>
                <w:sz w:val="20"/>
              </w:rPr>
              <w:t>has a low hazard profile for human health.</w:t>
            </w:r>
            <w:r w:rsidRPr="00676A0A">
              <w:rPr>
                <w:b/>
                <w:bCs/>
                <w:sz w:val="20"/>
                <w:lang w:val="en-US"/>
              </w:rPr>
              <w:t xml:space="preserve"> Adequate screening level data are available to characterize the human health hazard for the purposes of the </w:t>
            </w:r>
            <w:r>
              <w:rPr>
                <w:b/>
                <w:bCs/>
                <w:sz w:val="20"/>
                <w:lang w:val="en-US"/>
              </w:rPr>
              <w:t>Cooperative Chemicals Assessment Programme</w:t>
            </w:r>
            <w:r w:rsidRPr="00676A0A">
              <w:rPr>
                <w:b/>
                <w:bCs/>
                <w:sz w:val="20"/>
                <w:lang w:val="en-US"/>
              </w:rPr>
              <w:t>.</w:t>
            </w:r>
          </w:p>
          <w:p w14:paraId="30FFE55C" w14:textId="77777777" w:rsidR="00E56A35" w:rsidRPr="00676A0A" w:rsidRDefault="00E56A35" w:rsidP="00E56A35">
            <w:pPr>
              <w:pStyle w:val="BodyText"/>
              <w:spacing w:after="0"/>
              <w:ind w:left="159" w:right="210"/>
              <w:rPr>
                <w:b/>
                <w:bCs/>
                <w:sz w:val="20"/>
                <w:lang w:val="en-US" w:eastAsia="ja-JP"/>
              </w:rPr>
            </w:pPr>
          </w:p>
          <w:p w14:paraId="30FFE55D" w14:textId="77777777" w:rsidR="00E56A35" w:rsidRPr="00676A0A" w:rsidRDefault="00E56A35" w:rsidP="00E56A35">
            <w:pPr>
              <w:pStyle w:val="BodyText"/>
              <w:ind w:left="159" w:right="210"/>
              <w:rPr>
                <w:b/>
                <w:sz w:val="20"/>
                <w:lang w:eastAsia="ja-JP"/>
              </w:rPr>
            </w:pPr>
            <w:r w:rsidRPr="00676A0A">
              <w:rPr>
                <w:b/>
                <w:sz w:val="20"/>
                <w:lang w:eastAsia="ja-JP"/>
              </w:rPr>
              <w:t>Environment</w:t>
            </w:r>
          </w:p>
          <w:p w14:paraId="30FFE55E" w14:textId="77777777" w:rsidR="00E56A35" w:rsidRPr="00676A0A" w:rsidRDefault="00E56A35" w:rsidP="00E56A35">
            <w:pPr>
              <w:pStyle w:val="BodyText"/>
              <w:ind w:left="159" w:right="210"/>
              <w:rPr>
                <w:sz w:val="20"/>
                <w:lang w:eastAsia="ja-JP"/>
              </w:rPr>
            </w:pPr>
            <w:r w:rsidRPr="00676A0A">
              <w:rPr>
                <w:sz w:val="20"/>
                <w:lang w:eastAsia="ja-JP"/>
              </w:rPr>
              <w:t>In the atmosphere, 1</w:t>
            </w:r>
            <w:proofErr w:type="gramStart"/>
            <w:r w:rsidRPr="00676A0A">
              <w:rPr>
                <w:sz w:val="20"/>
                <w:lang w:eastAsia="ja-JP"/>
              </w:rPr>
              <w:t>,1,1</w:t>
            </w:r>
            <w:proofErr w:type="gramEnd"/>
            <w:r w:rsidRPr="00676A0A">
              <w:rPr>
                <w:sz w:val="20"/>
                <w:lang w:eastAsia="ja-JP"/>
              </w:rPr>
              <w:t>-tris(hydroxymethyl)ethane</w:t>
            </w:r>
            <w:r w:rsidRPr="00676A0A">
              <w:rPr>
                <w:sz w:val="20"/>
                <w:lang w:val="en-US" w:eastAsia="ja-JP"/>
              </w:rPr>
              <w:t xml:space="preserve"> </w:t>
            </w:r>
            <w:r w:rsidRPr="00676A0A">
              <w:rPr>
                <w:sz w:val="20"/>
                <w:lang w:eastAsia="ja-JP"/>
              </w:rPr>
              <w:t xml:space="preserve">is expected to be degraded by hydroxyl radicals. A calculated half-life time of 0.85 days is obtained by AOPWIN (version 1.92a) for the indirect photo-oxidation by reaction with hydroxyl radicals in air. </w:t>
            </w:r>
          </w:p>
          <w:p w14:paraId="30FFE55F" w14:textId="77777777" w:rsidR="00E56A35" w:rsidRPr="00676A0A" w:rsidRDefault="00E56A35" w:rsidP="00E56A35">
            <w:pPr>
              <w:pStyle w:val="BodyText"/>
              <w:ind w:left="159" w:right="210"/>
              <w:rPr>
                <w:sz w:val="20"/>
                <w:lang w:eastAsia="ja-JP"/>
              </w:rPr>
            </w:pPr>
            <w:r w:rsidRPr="00676A0A">
              <w:rPr>
                <w:sz w:val="20"/>
                <w:lang w:eastAsia="ja-JP"/>
              </w:rPr>
              <w:t>1</w:t>
            </w:r>
            <w:proofErr w:type="gramStart"/>
            <w:r w:rsidRPr="00676A0A">
              <w:rPr>
                <w:sz w:val="20"/>
                <w:lang w:eastAsia="ja-JP"/>
              </w:rPr>
              <w:t>,1,1</w:t>
            </w:r>
            <w:proofErr w:type="gramEnd"/>
            <w:r w:rsidRPr="00676A0A">
              <w:rPr>
                <w:sz w:val="20"/>
                <w:lang w:eastAsia="ja-JP"/>
              </w:rPr>
              <w:t>-Tris(hydroxymethyl)ethane is not hydrolysed due to the lack of hydrolysable functional groups. A hydrolysis test according to OECD test guideline 111 showed no hydrolysis of 1,1,1-</w:t>
            </w:r>
            <w:r>
              <w:rPr>
                <w:rFonts w:hint="eastAsia"/>
                <w:sz w:val="20"/>
                <w:lang w:eastAsia="ja-JP"/>
              </w:rPr>
              <w:t>t</w:t>
            </w:r>
            <w:r w:rsidRPr="00676A0A">
              <w:rPr>
                <w:sz w:val="20"/>
                <w:lang w:eastAsia="ja-JP"/>
              </w:rPr>
              <w:t xml:space="preserve">ris(hydroxymethyl)ethane in water at pH 4, 7 and 9 in 50 °C after five days. </w:t>
            </w:r>
          </w:p>
          <w:p w14:paraId="30FFE560" w14:textId="77777777" w:rsidR="00E56A35" w:rsidRPr="00676A0A" w:rsidRDefault="00E56A35" w:rsidP="00E56A35">
            <w:pPr>
              <w:pStyle w:val="BodyText"/>
              <w:ind w:left="159" w:right="210"/>
              <w:rPr>
                <w:sz w:val="20"/>
              </w:rPr>
            </w:pPr>
            <w:r w:rsidRPr="00676A0A">
              <w:rPr>
                <w:sz w:val="20"/>
              </w:rPr>
              <w:t>An OECD test guideline 301C test was conducted with 1</w:t>
            </w:r>
            <w:proofErr w:type="gramStart"/>
            <w:r w:rsidRPr="00676A0A">
              <w:rPr>
                <w:sz w:val="20"/>
              </w:rPr>
              <w:t>,1,1</w:t>
            </w:r>
            <w:proofErr w:type="gramEnd"/>
            <w:r w:rsidRPr="00676A0A">
              <w:rPr>
                <w:sz w:val="20"/>
              </w:rPr>
              <w:t>-tris(hydroxymethyl)ethane with activated sludge for four weeks. The concentration of the test substance was 100 mg/L and the concentration of the activated sludge was 30 mg/L as suspended solid matters. The test result showed 3-6 % degradation by BOD. According to the result, 1</w:t>
            </w:r>
            <w:proofErr w:type="gramStart"/>
            <w:r w:rsidRPr="00676A0A">
              <w:rPr>
                <w:sz w:val="20"/>
              </w:rPr>
              <w:t>,1,1</w:t>
            </w:r>
            <w:proofErr w:type="gramEnd"/>
            <w:r w:rsidRPr="00676A0A">
              <w:rPr>
                <w:sz w:val="20"/>
              </w:rPr>
              <w:t>-tris(hydroxymethyl)ethane is considered to be not</w:t>
            </w:r>
            <w:r>
              <w:rPr>
                <w:sz w:val="20"/>
              </w:rPr>
              <w:t xml:space="preserve"> </w:t>
            </w:r>
            <w:r w:rsidRPr="00676A0A">
              <w:rPr>
                <w:sz w:val="20"/>
              </w:rPr>
              <w:t xml:space="preserve">readily biodegradable. </w:t>
            </w:r>
          </w:p>
          <w:p w14:paraId="30FFE561" w14:textId="77777777" w:rsidR="00E56A35" w:rsidRPr="00676A0A" w:rsidRDefault="00E56A35" w:rsidP="00E56A35">
            <w:pPr>
              <w:pStyle w:val="BodyText"/>
              <w:ind w:left="159" w:right="210"/>
              <w:rPr>
                <w:sz w:val="20"/>
              </w:rPr>
            </w:pPr>
            <w:r w:rsidRPr="00676A0A">
              <w:rPr>
                <w:sz w:val="20"/>
              </w:rPr>
              <w:t>No information was available on the bio-concentration on 1</w:t>
            </w:r>
            <w:proofErr w:type="gramStart"/>
            <w:r w:rsidRPr="00676A0A">
              <w:rPr>
                <w:sz w:val="20"/>
              </w:rPr>
              <w:t>,1,1</w:t>
            </w:r>
            <w:proofErr w:type="gramEnd"/>
            <w:r w:rsidRPr="00676A0A">
              <w:rPr>
                <w:sz w:val="20"/>
              </w:rPr>
              <w:t>-tris(hydroxymethyl)ethane. Using an octanol-water partition coefficient (log K</w:t>
            </w:r>
            <w:r w:rsidRPr="00BF0DB8">
              <w:rPr>
                <w:sz w:val="20"/>
                <w:vertAlign w:val="subscript"/>
              </w:rPr>
              <w:t>ow</w:t>
            </w:r>
            <w:r w:rsidRPr="00676A0A">
              <w:rPr>
                <w:sz w:val="20"/>
              </w:rPr>
              <w:t>) of -0.95, a bio-concentration factor of 3.2 was calculated with BCFBAF</w:t>
            </w:r>
            <w:r w:rsidRPr="00676A0A">
              <w:rPr>
                <w:sz w:val="20"/>
                <w:lang w:eastAsia="ja-JP"/>
              </w:rPr>
              <w:t xml:space="preserve"> (</w:t>
            </w:r>
            <w:r w:rsidRPr="00676A0A">
              <w:rPr>
                <w:sz w:val="20"/>
              </w:rPr>
              <w:t>version 3.00</w:t>
            </w:r>
            <w:r w:rsidRPr="00676A0A">
              <w:rPr>
                <w:sz w:val="20"/>
                <w:lang w:eastAsia="ja-JP"/>
              </w:rPr>
              <w:t>)</w:t>
            </w:r>
            <w:r w:rsidRPr="00676A0A">
              <w:rPr>
                <w:sz w:val="20"/>
              </w:rPr>
              <w:t xml:space="preserve">. This chemical is not expected to bioaccumulate. </w:t>
            </w:r>
          </w:p>
          <w:p w14:paraId="30FFE562" w14:textId="77777777" w:rsidR="00E56A35" w:rsidRPr="00676A0A" w:rsidRDefault="00E56A35" w:rsidP="00E56A35">
            <w:pPr>
              <w:pStyle w:val="BodyText"/>
              <w:ind w:left="159" w:right="210" w:hanging="1"/>
              <w:rPr>
                <w:sz w:val="20"/>
                <w:lang w:eastAsia="ja-JP"/>
              </w:rPr>
            </w:pPr>
            <w:r w:rsidRPr="00676A0A">
              <w:rPr>
                <w:sz w:val="20"/>
              </w:rPr>
              <w:t xml:space="preserve">Fugacity level III calculations show that 1,1,1-tris(hydroxymethyl)ethane is mainly distributed to the </w:t>
            </w:r>
            <w:r w:rsidRPr="00676A0A">
              <w:rPr>
                <w:sz w:val="20"/>
                <w:lang w:eastAsia="ja-JP"/>
              </w:rPr>
              <w:t xml:space="preserve">soil </w:t>
            </w:r>
            <w:r w:rsidRPr="00676A0A">
              <w:rPr>
                <w:sz w:val="20"/>
              </w:rPr>
              <w:t>compartment (</w:t>
            </w:r>
            <w:r w:rsidRPr="00676A0A">
              <w:rPr>
                <w:sz w:val="20"/>
                <w:lang w:eastAsia="ja-JP"/>
              </w:rPr>
              <w:t>61</w:t>
            </w:r>
            <w:r w:rsidRPr="00676A0A">
              <w:rPr>
                <w:sz w:val="20"/>
              </w:rPr>
              <w:t xml:space="preserve">.0 %) and </w:t>
            </w:r>
            <w:r w:rsidRPr="00676A0A">
              <w:rPr>
                <w:sz w:val="20"/>
                <w:lang w:eastAsia="ja-JP"/>
              </w:rPr>
              <w:t>water</w:t>
            </w:r>
            <w:r w:rsidRPr="00676A0A">
              <w:rPr>
                <w:sz w:val="20"/>
              </w:rPr>
              <w:t xml:space="preserve"> compartment (</w:t>
            </w:r>
            <w:r w:rsidRPr="00676A0A">
              <w:rPr>
                <w:sz w:val="20"/>
                <w:lang w:eastAsia="ja-JP"/>
              </w:rPr>
              <w:t>38.7</w:t>
            </w:r>
            <w:r w:rsidRPr="00676A0A">
              <w:rPr>
                <w:sz w:val="20"/>
              </w:rPr>
              <w:t xml:space="preserve"> %) if equally and continuously released to the air, soil and water. A Henry’s law constant of </w:t>
            </w:r>
            <w:r w:rsidRPr="00676A0A">
              <w:rPr>
                <w:sz w:val="20"/>
                <w:lang w:eastAsia="ja-JP"/>
              </w:rPr>
              <w:t>1.13</w:t>
            </w:r>
            <w:r w:rsidRPr="00676A0A">
              <w:rPr>
                <w:sz w:val="20"/>
              </w:rPr>
              <w:t>×10</w:t>
            </w:r>
            <w:r w:rsidRPr="00676A0A">
              <w:rPr>
                <w:sz w:val="20"/>
                <w:vertAlign w:val="superscript"/>
                <w:lang w:eastAsia="ja-JP"/>
              </w:rPr>
              <w:t>-</w:t>
            </w:r>
            <w:r w:rsidRPr="00676A0A">
              <w:rPr>
                <w:sz w:val="20"/>
                <w:vertAlign w:val="superscript"/>
              </w:rPr>
              <w:t>3</w:t>
            </w:r>
            <w:r w:rsidRPr="00676A0A">
              <w:rPr>
                <w:sz w:val="20"/>
              </w:rPr>
              <w:t xml:space="preserve"> Pa.m</w:t>
            </w:r>
            <w:r w:rsidRPr="00676A0A">
              <w:rPr>
                <w:sz w:val="20"/>
                <w:vertAlign w:val="superscript"/>
              </w:rPr>
              <w:t>3</w:t>
            </w:r>
            <w:r w:rsidRPr="00676A0A">
              <w:rPr>
                <w:sz w:val="20"/>
              </w:rPr>
              <w:t>/mole at 25 °C suggests that</w:t>
            </w:r>
            <w:r w:rsidRPr="00676A0A">
              <w:rPr>
                <w:sz w:val="20"/>
                <w:lang w:eastAsia="ja-JP"/>
              </w:rPr>
              <w:t xml:space="preserve"> </w:t>
            </w:r>
            <w:r w:rsidRPr="00676A0A">
              <w:rPr>
                <w:sz w:val="20"/>
              </w:rPr>
              <w:t>1</w:t>
            </w:r>
            <w:proofErr w:type="gramStart"/>
            <w:r w:rsidRPr="00676A0A">
              <w:rPr>
                <w:sz w:val="20"/>
              </w:rPr>
              <w:t>,1,1</w:t>
            </w:r>
            <w:proofErr w:type="gramEnd"/>
            <w:r w:rsidRPr="00676A0A">
              <w:rPr>
                <w:sz w:val="20"/>
              </w:rPr>
              <w:t xml:space="preserve">-tris(hydroxymethyl)ethane </w:t>
            </w:r>
            <w:r w:rsidRPr="00676A0A">
              <w:rPr>
                <w:sz w:val="20"/>
                <w:lang w:eastAsia="ja-JP"/>
              </w:rPr>
              <w:t>is non</w:t>
            </w:r>
            <w:r>
              <w:rPr>
                <w:sz w:val="20"/>
                <w:lang w:eastAsia="ja-JP"/>
              </w:rPr>
              <w:t xml:space="preserve"> </w:t>
            </w:r>
            <w:r w:rsidRPr="00676A0A">
              <w:rPr>
                <w:sz w:val="20"/>
                <w:lang w:eastAsia="ja-JP"/>
              </w:rPr>
              <w:t xml:space="preserve">volatile </w:t>
            </w:r>
            <w:r w:rsidRPr="00676A0A">
              <w:rPr>
                <w:sz w:val="20"/>
              </w:rPr>
              <w:t>from wate</w:t>
            </w:r>
            <w:r w:rsidRPr="00676A0A">
              <w:rPr>
                <w:sz w:val="20"/>
                <w:lang w:eastAsia="ja-JP"/>
              </w:rPr>
              <w:t>r</w:t>
            </w:r>
            <w:r w:rsidRPr="00676A0A">
              <w:rPr>
                <w:sz w:val="20"/>
              </w:rPr>
              <w:t>. A soil adsorption coefficient of Log K</w:t>
            </w:r>
            <w:r w:rsidRPr="00676A0A">
              <w:rPr>
                <w:sz w:val="20"/>
                <w:vertAlign w:val="subscript"/>
              </w:rPr>
              <w:t>oc</w:t>
            </w:r>
            <w:r w:rsidRPr="00676A0A">
              <w:rPr>
                <w:sz w:val="20"/>
              </w:rPr>
              <w:t xml:space="preserve"> = </w:t>
            </w:r>
            <w:r w:rsidRPr="00676A0A">
              <w:rPr>
                <w:sz w:val="20"/>
                <w:lang w:eastAsia="ja-JP"/>
              </w:rPr>
              <w:t>-0.4</w:t>
            </w:r>
            <w:r w:rsidRPr="00676A0A">
              <w:rPr>
                <w:sz w:val="20"/>
              </w:rPr>
              <w:t xml:space="preserve"> indicates </w:t>
            </w:r>
            <w:r w:rsidRPr="00676A0A">
              <w:rPr>
                <w:sz w:val="20"/>
                <w:lang w:val="en-US"/>
              </w:rPr>
              <w:t>1</w:t>
            </w:r>
            <w:proofErr w:type="gramStart"/>
            <w:r w:rsidRPr="00676A0A">
              <w:rPr>
                <w:sz w:val="20"/>
                <w:lang w:val="en-US"/>
              </w:rPr>
              <w:t>,1,1</w:t>
            </w:r>
            <w:proofErr w:type="gramEnd"/>
            <w:r w:rsidRPr="00676A0A">
              <w:rPr>
                <w:sz w:val="20"/>
                <w:lang w:val="en-US"/>
              </w:rPr>
              <w:t>-tris(hydroxymethyl)ethane</w:t>
            </w:r>
            <w:r w:rsidRPr="00676A0A">
              <w:rPr>
                <w:sz w:val="20"/>
              </w:rPr>
              <w:t xml:space="preserve"> has </w:t>
            </w:r>
            <w:r w:rsidRPr="00676A0A">
              <w:rPr>
                <w:sz w:val="20"/>
                <w:lang w:eastAsia="ja-JP"/>
              </w:rPr>
              <w:t>low</w:t>
            </w:r>
            <w:r w:rsidRPr="00676A0A">
              <w:rPr>
                <w:sz w:val="20"/>
              </w:rPr>
              <w:t xml:space="preserve"> </w:t>
            </w:r>
            <w:r w:rsidRPr="00676A0A">
              <w:rPr>
                <w:sz w:val="20"/>
                <w:lang w:eastAsia="ja-JP"/>
              </w:rPr>
              <w:t>adsorption</w:t>
            </w:r>
            <w:r w:rsidRPr="00676A0A">
              <w:rPr>
                <w:sz w:val="20"/>
              </w:rPr>
              <w:t xml:space="preserve"> to soil and sediment.</w:t>
            </w:r>
          </w:p>
          <w:p w14:paraId="30FFE563" w14:textId="77777777" w:rsidR="00E56A35" w:rsidRPr="00676A0A" w:rsidRDefault="00E56A35" w:rsidP="00E56A35">
            <w:pPr>
              <w:pStyle w:val="BodyText"/>
              <w:ind w:left="159" w:right="210"/>
              <w:rPr>
                <w:sz w:val="20"/>
                <w:lang w:eastAsia="ja-JP"/>
              </w:rPr>
            </w:pPr>
            <w:r w:rsidRPr="00676A0A">
              <w:rPr>
                <w:sz w:val="20"/>
                <w:lang w:eastAsia="ja-JP"/>
              </w:rPr>
              <w:t>The following acute and prolonged toxicity test results have been determined for aquatic species;</w:t>
            </w:r>
          </w:p>
          <w:p w14:paraId="30FFE564" w14:textId="77777777" w:rsidR="00E56A35" w:rsidRPr="00676A0A" w:rsidRDefault="00E56A35" w:rsidP="00E56A35">
            <w:pPr>
              <w:pStyle w:val="BodyText"/>
              <w:spacing w:after="0"/>
              <w:ind w:left="159" w:right="210"/>
              <w:rPr>
                <w:sz w:val="20"/>
                <w:lang w:eastAsia="ja-JP"/>
              </w:rPr>
            </w:pPr>
            <w:r w:rsidRPr="00676A0A">
              <w:rPr>
                <w:sz w:val="20"/>
                <w:lang w:eastAsia="ja-JP"/>
              </w:rPr>
              <w:t>Fish [</w:t>
            </w:r>
            <w:r w:rsidRPr="00676A0A">
              <w:rPr>
                <w:i/>
                <w:sz w:val="20"/>
                <w:lang w:eastAsia="ja-JP"/>
              </w:rPr>
              <w:t>Oryzias latipes,</w:t>
            </w:r>
            <w:r w:rsidRPr="00676A0A">
              <w:rPr>
                <w:sz w:val="20"/>
                <w:lang w:eastAsia="ja-JP"/>
              </w:rPr>
              <w:t xml:space="preserve"> OECD-TG 203]:                 96</w:t>
            </w:r>
            <w:r>
              <w:rPr>
                <w:sz w:val="20"/>
                <w:lang w:eastAsia="ja-JP"/>
              </w:rPr>
              <w:t xml:space="preserve"> </w:t>
            </w:r>
            <w:r w:rsidRPr="00676A0A">
              <w:rPr>
                <w:sz w:val="20"/>
                <w:lang w:eastAsia="ja-JP"/>
              </w:rPr>
              <w:t>h LC</w:t>
            </w:r>
            <w:r w:rsidRPr="00676A0A">
              <w:rPr>
                <w:sz w:val="20"/>
                <w:vertAlign w:val="subscript"/>
                <w:lang w:eastAsia="ja-JP"/>
              </w:rPr>
              <w:t>50</w:t>
            </w:r>
            <w:r w:rsidRPr="00676A0A">
              <w:rPr>
                <w:sz w:val="20"/>
                <w:lang w:eastAsia="ja-JP"/>
              </w:rPr>
              <w:t xml:space="preserve"> &gt; 100 mg/L (nominal)</w:t>
            </w:r>
          </w:p>
          <w:p w14:paraId="30FFE565" w14:textId="77777777" w:rsidR="00E56A35" w:rsidRPr="00676A0A" w:rsidRDefault="00E56A35" w:rsidP="00E56A35">
            <w:pPr>
              <w:pStyle w:val="BodyText"/>
              <w:spacing w:after="0"/>
              <w:ind w:left="159" w:right="210"/>
              <w:rPr>
                <w:sz w:val="20"/>
                <w:lang w:eastAsia="ja-JP"/>
              </w:rPr>
            </w:pPr>
            <w:r w:rsidRPr="00676A0A">
              <w:rPr>
                <w:sz w:val="20"/>
                <w:lang w:eastAsia="ja-JP"/>
              </w:rPr>
              <w:t>Fish [</w:t>
            </w:r>
            <w:r w:rsidRPr="00676A0A">
              <w:rPr>
                <w:i/>
                <w:sz w:val="20"/>
                <w:lang w:eastAsia="ja-JP"/>
              </w:rPr>
              <w:t>Oryzias latipes,</w:t>
            </w:r>
            <w:r w:rsidRPr="00676A0A">
              <w:rPr>
                <w:sz w:val="20"/>
                <w:lang w:eastAsia="ja-JP"/>
              </w:rPr>
              <w:t xml:space="preserve"> OECD-TG 204]:                 14 d LC</w:t>
            </w:r>
            <w:r w:rsidRPr="00676A0A">
              <w:rPr>
                <w:sz w:val="20"/>
                <w:vertAlign w:val="subscript"/>
                <w:lang w:eastAsia="ja-JP"/>
              </w:rPr>
              <w:t>50</w:t>
            </w:r>
            <w:r w:rsidRPr="00676A0A">
              <w:rPr>
                <w:sz w:val="20"/>
                <w:lang w:eastAsia="ja-JP"/>
              </w:rPr>
              <w:t xml:space="preserve"> &gt; 99.8 mg/L (nominal)</w:t>
            </w:r>
          </w:p>
          <w:p w14:paraId="30FFE566" w14:textId="77777777" w:rsidR="00E56A35" w:rsidRPr="00676A0A" w:rsidRDefault="00E56A35" w:rsidP="00E56A35">
            <w:pPr>
              <w:pStyle w:val="BodyText"/>
              <w:spacing w:after="0"/>
              <w:ind w:left="159" w:right="210"/>
              <w:rPr>
                <w:sz w:val="20"/>
                <w:lang w:eastAsia="ja-JP"/>
              </w:rPr>
            </w:pPr>
            <w:r w:rsidRPr="00676A0A">
              <w:rPr>
                <w:sz w:val="20"/>
                <w:lang w:eastAsia="ja-JP"/>
              </w:rPr>
              <w:t xml:space="preserve">                                                14 d NOEC &gt; 99.8 mg/L (nominal)</w:t>
            </w:r>
          </w:p>
          <w:p w14:paraId="30FFE567" w14:textId="77777777" w:rsidR="00E56A35" w:rsidRPr="00676A0A" w:rsidRDefault="00E56A35" w:rsidP="00E56A35">
            <w:pPr>
              <w:pStyle w:val="BodyText"/>
              <w:spacing w:after="0"/>
              <w:ind w:left="159" w:right="210"/>
              <w:rPr>
                <w:sz w:val="20"/>
                <w:lang w:eastAsia="ja-JP"/>
              </w:rPr>
            </w:pPr>
            <w:r w:rsidRPr="00676A0A">
              <w:rPr>
                <w:sz w:val="20"/>
                <w:lang w:eastAsia="ja-JP"/>
              </w:rPr>
              <w:t>Daphnid [</w:t>
            </w:r>
            <w:r w:rsidRPr="00676A0A">
              <w:rPr>
                <w:i/>
                <w:sz w:val="20"/>
                <w:lang w:eastAsia="ja-JP"/>
              </w:rPr>
              <w:t xml:space="preserve">Daphnia magna, </w:t>
            </w:r>
            <w:r w:rsidRPr="00676A0A">
              <w:rPr>
                <w:sz w:val="20"/>
                <w:lang w:eastAsia="ja-JP"/>
              </w:rPr>
              <w:t>OECD-TG 202]:             48 h EC</w:t>
            </w:r>
            <w:r w:rsidRPr="00676A0A">
              <w:rPr>
                <w:sz w:val="20"/>
                <w:vertAlign w:val="subscript"/>
                <w:lang w:eastAsia="ja-JP"/>
              </w:rPr>
              <w:t>50</w:t>
            </w:r>
            <w:r w:rsidRPr="00676A0A">
              <w:rPr>
                <w:sz w:val="20"/>
                <w:lang w:eastAsia="ja-JP"/>
              </w:rPr>
              <w:t xml:space="preserve"> &gt; 1000 mg/L (nominal) </w:t>
            </w:r>
          </w:p>
          <w:p w14:paraId="30FFE568" w14:textId="77777777" w:rsidR="00E56A35" w:rsidRPr="00BF0DB8" w:rsidRDefault="00E56A35" w:rsidP="00E56A35">
            <w:pPr>
              <w:pStyle w:val="BodyText"/>
              <w:spacing w:after="0"/>
              <w:ind w:left="159" w:right="210"/>
              <w:rPr>
                <w:sz w:val="20"/>
                <w:lang w:val="es-US" w:eastAsia="ja-JP"/>
              </w:rPr>
            </w:pPr>
            <w:r w:rsidRPr="00BF0DB8">
              <w:rPr>
                <w:sz w:val="20"/>
                <w:lang w:val="es-US" w:eastAsia="ja-JP"/>
              </w:rPr>
              <w:t>Algae [</w:t>
            </w:r>
            <w:r w:rsidRPr="00BF0DB8">
              <w:rPr>
                <w:i/>
                <w:sz w:val="20"/>
                <w:lang w:val="es-US" w:eastAsia="ja-JP"/>
              </w:rPr>
              <w:t xml:space="preserve">Pseudokirchneriella subcapitata, </w:t>
            </w:r>
            <w:r w:rsidRPr="00BF0DB8">
              <w:rPr>
                <w:sz w:val="20"/>
                <w:lang w:val="es-US" w:eastAsia="ja-JP"/>
              </w:rPr>
              <w:t xml:space="preserve">OECD-TG 201]:  </w:t>
            </w:r>
          </w:p>
          <w:p w14:paraId="30FFE569" w14:textId="77777777" w:rsidR="00E56A35" w:rsidRPr="00676A0A" w:rsidRDefault="00E56A35" w:rsidP="00E56A35">
            <w:pPr>
              <w:pStyle w:val="BodyText"/>
              <w:spacing w:after="0"/>
              <w:ind w:left="159" w:right="210"/>
              <w:rPr>
                <w:sz w:val="20"/>
                <w:lang w:eastAsia="ja-JP"/>
              </w:rPr>
            </w:pPr>
            <w:r w:rsidRPr="00BF0DB8">
              <w:rPr>
                <w:sz w:val="20"/>
                <w:lang w:val="es-US" w:eastAsia="ja-JP"/>
              </w:rPr>
              <w:t xml:space="preserve">                                                </w:t>
            </w:r>
            <w:r w:rsidRPr="00676A0A">
              <w:rPr>
                <w:sz w:val="20"/>
                <w:lang w:eastAsia="ja-JP"/>
              </w:rPr>
              <w:t>72 h ErC</w:t>
            </w:r>
            <w:r w:rsidRPr="00676A0A">
              <w:rPr>
                <w:sz w:val="20"/>
                <w:vertAlign w:val="subscript"/>
                <w:lang w:eastAsia="ja-JP"/>
              </w:rPr>
              <w:t>50</w:t>
            </w:r>
            <w:r w:rsidRPr="00676A0A">
              <w:rPr>
                <w:sz w:val="20"/>
                <w:lang w:eastAsia="ja-JP"/>
              </w:rPr>
              <w:t xml:space="preserve"> &gt; 1000 mg/L (nominal, growth rate)</w:t>
            </w:r>
          </w:p>
          <w:p w14:paraId="30FFE56A" w14:textId="77777777" w:rsidR="00E56A35" w:rsidRPr="00676A0A" w:rsidRDefault="00E56A35" w:rsidP="00E56A35">
            <w:pPr>
              <w:pStyle w:val="BodyText"/>
              <w:spacing w:after="0"/>
              <w:ind w:left="159" w:right="210"/>
              <w:rPr>
                <w:sz w:val="20"/>
                <w:lang w:eastAsia="ja-JP"/>
              </w:rPr>
            </w:pPr>
            <w:r w:rsidRPr="00676A0A">
              <w:rPr>
                <w:sz w:val="20"/>
                <w:lang w:eastAsia="ja-JP"/>
              </w:rPr>
              <w:t xml:space="preserve">                                                72 h EbC</w:t>
            </w:r>
            <w:r w:rsidRPr="00676A0A">
              <w:rPr>
                <w:sz w:val="20"/>
                <w:vertAlign w:val="subscript"/>
                <w:lang w:eastAsia="ja-JP"/>
              </w:rPr>
              <w:t>50</w:t>
            </w:r>
            <w:r w:rsidRPr="00676A0A">
              <w:rPr>
                <w:sz w:val="20"/>
                <w:lang w:eastAsia="ja-JP"/>
              </w:rPr>
              <w:t xml:space="preserve"> &gt; 1000 mg/L (nominal, area under </w:t>
            </w:r>
          </w:p>
          <w:p w14:paraId="30FFE56B" w14:textId="77777777" w:rsidR="00E56A35" w:rsidRPr="00676A0A" w:rsidRDefault="00E56A35" w:rsidP="00E56A35">
            <w:pPr>
              <w:pStyle w:val="BodyText"/>
              <w:spacing w:after="120"/>
              <w:ind w:left="159" w:right="210"/>
              <w:rPr>
                <w:sz w:val="20"/>
                <w:lang w:eastAsia="ja-JP"/>
              </w:rPr>
            </w:pPr>
            <w:r>
              <w:rPr>
                <w:sz w:val="20"/>
                <w:lang w:eastAsia="ja-JP"/>
              </w:rPr>
              <w:t xml:space="preserve">                                                                           </w:t>
            </w:r>
            <w:r w:rsidRPr="00676A0A">
              <w:rPr>
                <w:sz w:val="20"/>
                <w:lang w:eastAsia="ja-JP"/>
              </w:rPr>
              <w:t>growth curve)</w:t>
            </w:r>
          </w:p>
          <w:p w14:paraId="30FFE56C" w14:textId="77777777" w:rsidR="00E56A35" w:rsidRPr="00676A0A" w:rsidRDefault="00E56A35" w:rsidP="00E56A35">
            <w:pPr>
              <w:pStyle w:val="BodyText"/>
              <w:spacing w:after="120"/>
              <w:ind w:left="159" w:right="210"/>
              <w:rPr>
                <w:sz w:val="20"/>
                <w:lang w:eastAsia="ja-JP"/>
              </w:rPr>
            </w:pPr>
            <w:r w:rsidRPr="00676A0A">
              <w:rPr>
                <w:sz w:val="20"/>
                <w:lang w:eastAsia="ja-JP"/>
              </w:rPr>
              <w:t>The following chronic toxicity test results have been determined for aquatic species:</w:t>
            </w:r>
          </w:p>
          <w:p w14:paraId="30FFE56D" w14:textId="77777777" w:rsidR="00E56A35" w:rsidRPr="00676A0A" w:rsidRDefault="00E56A35" w:rsidP="00E56A35">
            <w:pPr>
              <w:pStyle w:val="BodyText"/>
              <w:spacing w:after="0"/>
              <w:ind w:left="159" w:right="210"/>
              <w:rPr>
                <w:sz w:val="20"/>
                <w:lang w:eastAsia="ja-JP"/>
              </w:rPr>
            </w:pPr>
            <w:r w:rsidRPr="00676A0A">
              <w:rPr>
                <w:sz w:val="20"/>
                <w:lang w:eastAsia="ja-JP"/>
              </w:rPr>
              <w:t>Daphnid [</w:t>
            </w:r>
            <w:r w:rsidRPr="00676A0A">
              <w:rPr>
                <w:i/>
                <w:sz w:val="20"/>
                <w:lang w:eastAsia="ja-JP"/>
              </w:rPr>
              <w:t>Daphnia magna</w:t>
            </w:r>
            <w:r w:rsidRPr="00676A0A">
              <w:rPr>
                <w:sz w:val="20"/>
                <w:lang w:eastAsia="ja-JP"/>
              </w:rPr>
              <w:t>, OECD-TG 211]:             21 d NOEC &gt; 88.5 mg/L (measured)</w:t>
            </w:r>
          </w:p>
          <w:p w14:paraId="30FFE56E" w14:textId="77777777" w:rsidR="00E56A35" w:rsidRPr="00BF0DB8" w:rsidRDefault="00E56A35" w:rsidP="00E56A35">
            <w:pPr>
              <w:pStyle w:val="BodyText"/>
              <w:spacing w:after="0"/>
              <w:ind w:left="159" w:right="210"/>
              <w:rPr>
                <w:sz w:val="20"/>
                <w:lang w:val="es-US" w:eastAsia="ja-JP"/>
              </w:rPr>
            </w:pPr>
            <w:r w:rsidRPr="00BF0DB8">
              <w:rPr>
                <w:sz w:val="20"/>
                <w:lang w:val="es-US" w:eastAsia="ja-JP"/>
              </w:rPr>
              <w:t>Algae [</w:t>
            </w:r>
            <w:r w:rsidRPr="00BF0DB8">
              <w:rPr>
                <w:i/>
                <w:sz w:val="20"/>
                <w:lang w:val="es-US" w:eastAsia="ja-JP"/>
              </w:rPr>
              <w:t xml:space="preserve">Pseudokirchneriella subcapitata </w:t>
            </w:r>
            <w:r w:rsidRPr="00BF0DB8">
              <w:rPr>
                <w:sz w:val="20"/>
                <w:lang w:val="es-US" w:eastAsia="ja-JP"/>
              </w:rPr>
              <w:t xml:space="preserve">OECD-TG 201]:                                                                                                                                       </w:t>
            </w:r>
          </w:p>
          <w:p w14:paraId="30FFE56F" w14:textId="77777777" w:rsidR="00E56A35" w:rsidRPr="00676A0A" w:rsidRDefault="00E56A35" w:rsidP="00E56A35">
            <w:pPr>
              <w:pStyle w:val="BodyText"/>
              <w:ind w:left="159" w:right="210"/>
              <w:rPr>
                <w:sz w:val="20"/>
                <w:lang w:eastAsia="ja-JP"/>
              </w:rPr>
            </w:pPr>
            <w:r w:rsidRPr="00BF0DB8">
              <w:rPr>
                <w:sz w:val="20"/>
                <w:lang w:val="es-US" w:eastAsia="ja-JP"/>
              </w:rPr>
              <w:t xml:space="preserve">                                               </w:t>
            </w:r>
            <w:r w:rsidRPr="00676A0A">
              <w:rPr>
                <w:sz w:val="20"/>
                <w:lang w:eastAsia="ja-JP"/>
              </w:rPr>
              <w:t>72 h NOErC and 72 h NOEbC &gt; 1000 mg/L (nominal)</w:t>
            </w:r>
          </w:p>
          <w:p w14:paraId="30FFE570" w14:textId="77777777" w:rsidR="00E56A35" w:rsidRPr="00676A0A" w:rsidRDefault="00E56A35" w:rsidP="00E56A35">
            <w:pPr>
              <w:pStyle w:val="BodyText"/>
              <w:ind w:left="159" w:right="210"/>
              <w:rPr>
                <w:b/>
                <w:sz w:val="20"/>
                <w:lang w:eastAsia="ja-JP"/>
              </w:rPr>
            </w:pPr>
            <w:r w:rsidRPr="00676A0A">
              <w:rPr>
                <w:b/>
                <w:sz w:val="20"/>
                <w:lang w:eastAsia="ja-JP"/>
              </w:rPr>
              <w:t>1</w:t>
            </w:r>
            <w:proofErr w:type="gramStart"/>
            <w:r w:rsidRPr="00676A0A">
              <w:rPr>
                <w:b/>
                <w:sz w:val="20"/>
                <w:lang w:eastAsia="ja-JP"/>
              </w:rPr>
              <w:t>,1,1</w:t>
            </w:r>
            <w:proofErr w:type="gramEnd"/>
            <w:r w:rsidRPr="00676A0A">
              <w:rPr>
                <w:b/>
                <w:sz w:val="20"/>
                <w:lang w:eastAsia="ja-JP"/>
              </w:rPr>
              <w:t>-</w:t>
            </w:r>
            <w:r>
              <w:rPr>
                <w:rFonts w:hint="eastAsia"/>
                <w:b/>
                <w:sz w:val="20"/>
                <w:lang w:eastAsia="ja-JP"/>
              </w:rPr>
              <w:t>T</w:t>
            </w:r>
            <w:r w:rsidRPr="00676A0A">
              <w:rPr>
                <w:b/>
                <w:sz w:val="20"/>
                <w:lang w:eastAsia="ja-JP"/>
              </w:rPr>
              <w:t>ris(hydroxymethyl)ethane</w:t>
            </w:r>
            <w:r w:rsidRPr="00676A0A">
              <w:rPr>
                <w:b/>
                <w:sz w:val="20"/>
              </w:rPr>
              <w:t xml:space="preserve"> does not present a hazard to the environment due to its low hazard profile. </w:t>
            </w:r>
            <w:r w:rsidRPr="00676A0A">
              <w:rPr>
                <w:b/>
                <w:sz w:val="20"/>
                <w:lang w:eastAsia="ja-JP"/>
              </w:rPr>
              <w:t>Although</w:t>
            </w:r>
            <w:r w:rsidRPr="00676A0A">
              <w:rPr>
                <w:b/>
                <w:sz w:val="20"/>
              </w:rPr>
              <w:t xml:space="preserve"> this chemical is considered not </w:t>
            </w:r>
            <w:r w:rsidRPr="00676A0A">
              <w:rPr>
                <w:b/>
                <w:sz w:val="20"/>
                <w:lang w:eastAsia="ja-JP"/>
              </w:rPr>
              <w:t xml:space="preserve">to be </w:t>
            </w:r>
            <w:r w:rsidRPr="00676A0A">
              <w:rPr>
                <w:b/>
                <w:sz w:val="20"/>
              </w:rPr>
              <w:t xml:space="preserve">readily biodegradable, it has a low bioaccumulation potential. Adequate screening-level data are available to characterize the environmental hazard for the purposes of the </w:t>
            </w:r>
            <w:r w:rsidRPr="00641582">
              <w:rPr>
                <w:b/>
                <w:sz w:val="20"/>
              </w:rPr>
              <w:t>Cooperative Chemicals Assessment Programme</w:t>
            </w:r>
            <w:r w:rsidRPr="00676A0A">
              <w:rPr>
                <w:b/>
                <w:sz w:val="20"/>
              </w:rPr>
              <w:t>.</w:t>
            </w:r>
          </w:p>
          <w:p w14:paraId="30FFE571" w14:textId="77777777" w:rsidR="00E56A35" w:rsidRPr="00676A0A" w:rsidRDefault="00E56A35" w:rsidP="00E56A35">
            <w:pPr>
              <w:pStyle w:val="BodyText"/>
              <w:ind w:left="159" w:right="210"/>
              <w:rPr>
                <w:b/>
                <w:sz w:val="20"/>
                <w:lang w:eastAsia="ja-JP"/>
              </w:rPr>
            </w:pPr>
            <w:r w:rsidRPr="00676A0A">
              <w:rPr>
                <w:b/>
                <w:sz w:val="20"/>
                <w:lang w:eastAsia="ja-JP"/>
              </w:rPr>
              <w:t>Exposure</w:t>
            </w:r>
          </w:p>
          <w:p w14:paraId="30FFE572" w14:textId="77777777" w:rsidR="00E56A35" w:rsidRPr="00676A0A" w:rsidRDefault="00E56A35" w:rsidP="00E56A35">
            <w:pPr>
              <w:pStyle w:val="BodyText"/>
              <w:ind w:left="159" w:right="210"/>
              <w:rPr>
                <w:sz w:val="20"/>
              </w:rPr>
            </w:pPr>
            <w:r w:rsidRPr="00676A0A">
              <w:rPr>
                <w:sz w:val="20"/>
              </w:rPr>
              <w:t>Currently, no production of 1</w:t>
            </w:r>
            <w:proofErr w:type="gramStart"/>
            <w:r w:rsidRPr="00676A0A">
              <w:rPr>
                <w:sz w:val="20"/>
              </w:rPr>
              <w:t>,1,1</w:t>
            </w:r>
            <w:proofErr w:type="gramEnd"/>
            <w:r w:rsidRPr="00676A0A">
              <w:rPr>
                <w:sz w:val="20"/>
              </w:rPr>
              <w:t xml:space="preserve">-tris(hydroxymethyl)ethane is reported in </w:t>
            </w:r>
            <w:smartTag w:uri="urn:schemas-microsoft-com:office:smarttags" w:element="country-region">
              <w:r w:rsidRPr="00676A0A">
                <w:rPr>
                  <w:sz w:val="20"/>
                </w:rPr>
                <w:t>Japan</w:t>
              </w:r>
            </w:smartTag>
            <w:r w:rsidRPr="00676A0A">
              <w:rPr>
                <w:sz w:val="20"/>
              </w:rPr>
              <w:t xml:space="preserve"> (sponsor country) and import volume in </w:t>
            </w:r>
            <w:smartTag w:uri="urn:schemas-microsoft-com:office:smarttags" w:element="country-region">
              <w:smartTag w:uri="urn:schemas-microsoft-com:office:smarttags" w:element="place">
                <w:r w:rsidRPr="00676A0A">
                  <w:rPr>
                    <w:sz w:val="20"/>
                  </w:rPr>
                  <w:t>Japan</w:t>
                </w:r>
              </w:smartTag>
            </w:smartTag>
            <w:r w:rsidRPr="00676A0A">
              <w:rPr>
                <w:sz w:val="20"/>
              </w:rPr>
              <w:t xml:space="preserve"> is between 100 and 1,000 tonnes/year. Production and/or import volume of 1</w:t>
            </w:r>
            <w:proofErr w:type="gramStart"/>
            <w:r w:rsidRPr="00676A0A">
              <w:rPr>
                <w:sz w:val="20"/>
              </w:rPr>
              <w:t>,1,1</w:t>
            </w:r>
            <w:proofErr w:type="gramEnd"/>
            <w:r w:rsidRPr="00676A0A">
              <w:rPr>
                <w:sz w:val="20"/>
              </w:rPr>
              <w:t xml:space="preserve">-tris(hydroxymethyl)ethane in the </w:t>
            </w:r>
            <w:smartTag w:uri="urn:schemas-microsoft-com:office:smarttags" w:element="place">
              <w:smartTag w:uri="urn:schemas-microsoft-com:office:smarttags" w:element="country-region">
                <w:r w:rsidRPr="00676A0A">
                  <w:rPr>
                    <w:sz w:val="20"/>
                  </w:rPr>
                  <w:t>United States</w:t>
                </w:r>
              </w:smartTag>
            </w:smartTag>
            <w:r w:rsidRPr="00676A0A">
              <w:rPr>
                <w:sz w:val="20"/>
              </w:rPr>
              <w:t xml:space="preserve"> was between 1 million and 10 million pounds (454,000 - 4,540,000 tonnes) during 2006 according to Inventory Updated Reporting. Production volume in the world is not available.</w:t>
            </w:r>
          </w:p>
          <w:p w14:paraId="30FFE573" w14:textId="77777777" w:rsidR="00E56A35" w:rsidRPr="00676A0A" w:rsidRDefault="00E56A35" w:rsidP="00E56A35">
            <w:pPr>
              <w:pStyle w:val="BodyText"/>
              <w:ind w:left="159" w:right="210"/>
              <w:rPr>
                <w:sz w:val="20"/>
                <w:lang w:eastAsia="ja-JP"/>
              </w:rPr>
            </w:pPr>
            <w:r w:rsidRPr="00676A0A">
              <w:rPr>
                <w:sz w:val="20"/>
                <w:lang w:eastAsia="ja-JP"/>
              </w:rPr>
              <w:t>1</w:t>
            </w:r>
            <w:r w:rsidRPr="00676A0A">
              <w:rPr>
                <w:sz w:val="20"/>
              </w:rPr>
              <w:t>,1,1-Tris(hydroxymethyl)ethane is produced by aldol condensation of propionaldehyde with formaldehyde, followed by reaction of the intermediate 2,2-bis(hydroxymethyl)propanal with excess formaldehyde in the presence of sodium hydroxide or lime as basic component</w:t>
            </w:r>
            <w:r w:rsidRPr="00676A0A">
              <w:rPr>
                <w:sz w:val="20"/>
                <w:lang w:eastAsia="ja-JP"/>
              </w:rPr>
              <w:t>. 1</w:t>
            </w:r>
            <w:proofErr w:type="gramStart"/>
            <w:r w:rsidRPr="00676A0A">
              <w:rPr>
                <w:sz w:val="20"/>
                <w:lang w:eastAsia="ja-JP"/>
              </w:rPr>
              <w:t>,1,1</w:t>
            </w:r>
            <w:proofErr w:type="gramEnd"/>
            <w:r w:rsidRPr="00676A0A">
              <w:rPr>
                <w:sz w:val="20"/>
                <w:lang w:eastAsia="ja-JP"/>
              </w:rPr>
              <w:t>-Tris(hydroxymethyl)ethane is used as a conditioning agent, manufacture of varnishes, alkyd and polyester resins, synthetic drying oils. This substance is also used as a coating agent for titanium dioxide pigment. According to Inventory Updated Reporting, 1</w:t>
            </w:r>
            <w:proofErr w:type="gramStart"/>
            <w:r w:rsidRPr="00676A0A">
              <w:rPr>
                <w:sz w:val="20"/>
                <w:lang w:eastAsia="ja-JP"/>
              </w:rPr>
              <w:t>,1,1</w:t>
            </w:r>
            <w:proofErr w:type="gramEnd"/>
            <w:r w:rsidRPr="00676A0A">
              <w:rPr>
                <w:sz w:val="20"/>
                <w:lang w:eastAsia="ja-JP"/>
              </w:rPr>
              <w:t>-tris(hydroxymethyl)ethane is included in consumer products such as paints and coatings.</w:t>
            </w:r>
          </w:p>
          <w:p w14:paraId="30FFE574" w14:textId="77777777" w:rsidR="00E56A35" w:rsidRPr="00676A0A" w:rsidRDefault="00E56A35" w:rsidP="00E56A35">
            <w:pPr>
              <w:pStyle w:val="BodyText"/>
              <w:ind w:left="159" w:right="210"/>
              <w:rPr>
                <w:sz w:val="20"/>
                <w:lang w:eastAsia="ja-JP"/>
              </w:rPr>
            </w:pPr>
            <w:r w:rsidRPr="00676A0A">
              <w:rPr>
                <w:sz w:val="20"/>
                <w:lang w:eastAsia="ja-JP"/>
              </w:rPr>
              <w:t>Occupational inhalation exposure scenarios indicate that this exposure route is of low concern taking into account the very low vapour pressure of this chemical.</w:t>
            </w:r>
          </w:p>
          <w:p w14:paraId="30FFE575" w14:textId="77777777" w:rsidR="00E56A35" w:rsidRPr="00676A0A" w:rsidRDefault="00E56A35" w:rsidP="00E56A35">
            <w:pPr>
              <w:pStyle w:val="BodyText"/>
              <w:ind w:left="159" w:right="210"/>
              <w:rPr>
                <w:sz w:val="20"/>
                <w:lang w:eastAsia="ja-JP"/>
              </w:rPr>
            </w:pPr>
            <w:r w:rsidRPr="00676A0A">
              <w:rPr>
                <w:sz w:val="20"/>
              </w:rPr>
              <w:t>As 1</w:t>
            </w:r>
            <w:proofErr w:type="gramStart"/>
            <w:r w:rsidRPr="00676A0A">
              <w:rPr>
                <w:sz w:val="20"/>
              </w:rPr>
              <w:t>,1,1</w:t>
            </w:r>
            <w:proofErr w:type="gramEnd"/>
            <w:r w:rsidRPr="00676A0A">
              <w:rPr>
                <w:sz w:val="20"/>
              </w:rPr>
              <w:t xml:space="preserve">-tris(hydroxymethyl)ethane may be included in consumer products such as paints and coatings, consumer exposure is anticipated. However, no detailed information is obtained for the consumer exposure. </w:t>
            </w:r>
          </w:p>
        </w:tc>
      </w:tr>
    </w:tbl>
    <w:p w14:paraId="30FFE577" w14:textId="77777777" w:rsidR="00E56A35" w:rsidRPr="009071B1" w:rsidRDefault="00E56A35" w:rsidP="00E56A35">
      <w:pPr>
        <w:rPr>
          <w:sz w:val="20"/>
          <w:szCs w:val="20"/>
        </w:rPr>
      </w:pPr>
    </w:p>
    <w:p w14:paraId="30FFE578" w14:textId="77777777" w:rsidR="009D0EC2" w:rsidRPr="00E56A35" w:rsidRDefault="009D0EC2">
      <w:pPr>
        <w:pStyle w:val="CoverTitle"/>
        <w:rPr>
          <w:lang w:val="en-US"/>
        </w:rPr>
        <w:sectPr w:rsidR="009D0EC2" w:rsidRPr="00E56A35">
          <w:headerReference w:type="default" r:id="rId10"/>
          <w:footerReference w:type="even" r:id="rId11"/>
          <w:footerReference w:type="default" r:id="rId12"/>
          <w:type w:val="oddPage"/>
          <w:pgSz w:w="11907" w:h="16840" w:code="9"/>
          <w:pgMar w:top="1418" w:right="1134" w:bottom="1134" w:left="1134" w:header="737" w:footer="737" w:gutter="0"/>
          <w:cols w:space="720"/>
          <w:docGrid w:linePitch="360"/>
        </w:sectPr>
      </w:pPr>
    </w:p>
    <w:p w14:paraId="30FFE579" w14:textId="77777777" w:rsidR="009D0EC2" w:rsidRPr="006D66BF" w:rsidRDefault="009D0EC2">
      <w:pPr>
        <w:pStyle w:val="CoverTitle"/>
        <w:rPr>
          <w:lang w:eastAsia="ja-JP"/>
        </w:rPr>
      </w:pPr>
      <w:r w:rsidRPr="006D66BF">
        <w:t>SIDS Initial Assessment Report</w:t>
      </w:r>
    </w:p>
    <w:p w14:paraId="30FFE57A" w14:textId="77777777" w:rsidR="00D23AF3" w:rsidRDefault="00D23AF3" w:rsidP="00FC3A3D">
      <w:pPr>
        <w:pStyle w:val="Heading1"/>
      </w:pPr>
      <w:bookmarkStart w:id="1" w:name="_Toc32726012"/>
      <w:bookmarkStart w:id="2" w:name="_Toc32727195"/>
      <w:bookmarkStart w:id="3" w:name="_Toc171146294"/>
      <w:bookmarkStart w:id="4" w:name="_Toc282509908"/>
      <w:bookmarkStart w:id="5" w:name="_Toc297297703"/>
      <w:r w:rsidRPr="006D66BF">
        <w:t>identity</w:t>
      </w:r>
      <w:bookmarkEnd w:id="1"/>
      <w:bookmarkEnd w:id="2"/>
      <w:bookmarkEnd w:id="3"/>
      <w:bookmarkEnd w:id="4"/>
      <w:bookmarkEnd w:id="5"/>
    </w:p>
    <w:p w14:paraId="30FFE57B" w14:textId="77777777" w:rsidR="00E56A35" w:rsidRDefault="00E56A35" w:rsidP="00E56A35">
      <w:pPr>
        <w:pStyle w:val="Heading2"/>
      </w:pPr>
      <w:bookmarkStart w:id="6" w:name="_Toc43868641"/>
      <w:r>
        <w:t>Identification of the Substance</w:t>
      </w:r>
      <w:bookmarkEnd w:id="6"/>
    </w:p>
    <w:p w14:paraId="30FFE57C" w14:textId="77777777" w:rsidR="00D23AF3" w:rsidRPr="006D66BF" w:rsidRDefault="00D23AF3" w:rsidP="00D23AF3">
      <w:pPr>
        <w:pStyle w:val="Caption"/>
        <w:rPr>
          <w:rFonts w:ascii="Times New Roman" w:hAnsi="Times New Roman"/>
          <w:b w:val="0"/>
          <w:szCs w:val="24"/>
        </w:rPr>
      </w:pPr>
      <w:bookmarkStart w:id="7" w:name="_Toc32726013"/>
      <w:bookmarkStart w:id="8" w:name="_Toc32727196"/>
      <w:bookmarkStart w:id="9" w:name="_Toc171146295"/>
      <w:bookmarkStart w:id="10" w:name="_Toc282509939"/>
      <w:bookmarkStart w:id="11" w:name="_Toc297298007"/>
      <w:r w:rsidRPr="006D66BF">
        <w:t xml:space="preserve">Table </w:t>
      </w:r>
      <w:fldSimple w:instr=" SEQ Table \* ARABIC ">
        <w:r w:rsidR="006D66BF">
          <w:rPr>
            <w:noProof/>
          </w:rPr>
          <w:t>1</w:t>
        </w:r>
      </w:fldSimple>
      <w:r w:rsidRPr="006D66BF">
        <w:rPr>
          <w:rFonts w:ascii="Times New Roman" w:hAnsi="Times New Roman"/>
          <w:b w:val="0"/>
          <w:szCs w:val="24"/>
          <w:lang w:eastAsia="ja-JP"/>
        </w:rPr>
        <w:t xml:space="preserve">  </w:t>
      </w:r>
      <w:r w:rsidRPr="006D66BF">
        <w:rPr>
          <w:rFonts w:ascii="Times New Roman" w:hAnsi="Times New Roman"/>
          <w:b w:val="0"/>
          <w:szCs w:val="24"/>
        </w:rPr>
        <w:t>Identification of the Substance</w:t>
      </w:r>
      <w:bookmarkEnd w:id="7"/>
      <w:bookmarkEnd w:id="8"/>
      <w:bookmarkEnd w:id="9"/>
      <w:bookmarkEnd w:id="10"/>
      <w:bookmarkEnd w:id="11"/>
    </w:p>
    <w:tbl>
      <w:tblPr>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ook w:val="0000" w:firstRow="0" w:lastRow="0" w:firstColumn="0" w:lastColumn="0" w:noHBand="0" w:noVBand="0"/>
      </w:tblPr>
      <w:tblGrid>
        <w:gridCol w:w="2508"/>
        <w:gridCol w:w="7347"/>
      </w:tblGrid>
      <w:tr w:rsidR="00D23AF3" w:rsidRPr="006D66BF" w14:paraId="30FFE57F" w14:textId="77777777" w:rsidTr="00E56A35">
        <w:tc>
          <w:tcPr>
            <w:tcW w:w="2508" w:type="dxa"/>
            <w:tcBorders>
              <w:top w:val="single" w:sz="12" w:space="0" w:color="000000" w:themeColor="text1"/>
              <w:bottom w:val="single" w:sz="12" w:space="0" w:color="000000" w:themeColor="text1"/>
            </w:tcBorders>
          </w:tcPr>
          <w:p w14:paraId="30FFE57D" w14:textId="77777777" w:rsidR="00D23AF3" w:rsidRPr="006D66BF" w:rsidRDefault="00D23AF3" w:rsidP="00FC3A3D">
            <w:pPr>
              <w:pStyle w:val="BodyText2"/>
              <w:spacing w:after="100" w:afterAutospacing="1"/>
              <w:rPr>
                <w:szCs w:val="24"/>
              </w:rPr>
            </w:pPr>
            <w:r w:rsidRPr="006D66BF">
              <w:rPr>
                <w:szCs w:val="24"/>
              </w:rPr>
              <w:t>CAS Number:</w:t>
            </w:r>
          </w:p>
        </w:tc>
        <w:tc>
          <w:tcPr>
            <w:tcW w:w="7347" w:type="dxa"/>
            <w:tcBorders>
              <w:top w:val="single" w:sz="12" w:space="0" w:color="000000" w:themeColor="text1"/>
              <w:bottom w:val="single" w:sz="12" w:space="0" w:color="000000" w:themeColor="text1"/>
            </w:tcBorders>
          </w:tcPr>
          <w:p w14:paraId="30FFE57E" w14:textId="77777777" w:rsidR="00D23AF3" w:rsidRPr="006D66BF" w:rsidRDefault="00D23AF3" w:rsidP="00FC3A3D">
            <w:pPr>
              <w:pStyle w:val="BodyText2"/>
              <w:spacing w:after="100" w:afterAutospacing="1"/>
              <w:rPr>
                <w:szCs w:val="24"/>
                <w:lang w:val="en-US"/>
              </w:rPr>
            </w:pPr>
            <w:r w:rsidRPr="006D66BF">
              <w:rPr>
                <w:rFonts w:hint="eastAsia"/>
                <w:szCs w:val="24"/>
                <w:lang w:val="en-US"/>
              </w:rPr>
              <w:t>77-85-0</w:t>
            </w:r>
          </w:p>
        </w:tc>
      </w:tr>
      <w:tr w:rsidR="00D23AF3" w:rsidRPr="006D66BF" w14:paraId="30FFE582" w14:textId="77777777" w:rsidTr="00E56A35">
        <w:tc>
          <w:tcPr>
            <w:tcW w:w="2508" w:type="dxa"/>
            <w:tcBorders>
              <w:top w:val="single" w:sz="12" w:space="0" w:color="000000" w:themeColor="text1"/>
            </w:tcBorders>
          </w:tcPr>
          <w:p w14:paraId="30FFE580" w14:textId="77777777" w:rsidR="00D23AF3" w:rsidRPr="006D66BF" w:rsidRDefault="00D23AF3" w:rsidP="00FC3A3D">
            <w:pPr>
              <w:pStyle w:val="BodyText2"/>
              <w:spacing w:after="100" w:afterAutospacing="1"/>
              <w:rPr>
                <w:szCs w:val="24"/>
              </w:rPr>
            </w:pPr>
            <w:r w:rsidRPr="006D66BF">
              <w:rPr>
                <w:szCs w:val="24"/>
              </w:rPr>
              <w:t>IUPAC Name:</w:t>
            </w:r>
          </w:p>
        </w:tc>
        <w:tc>
          <w:tcPr>
            <w:tcW w:w="7347" w:type="dxa"/>
            <w:tcBorders>
              <w:top w:val="single" w:sz="12" w:space="0" w:color="000000" w:themeColor="text1"/>
            </w:tcBorders>
          </w:tcPr>
          <w:p w14:paraId="30FFE581" w14:textId="77777777" w:rsidR="00D23AF3" w:rsidRPr="006D66BF" w:rsidRDefault="00D23AF3" w:rsidP="00FC3A3D">
            <w:pPr>
              <w:pStyle w:val="BodyText"/>
              <w:spacing w:after="0"/>
              <w:rPr>
                <w:kern w:val="2"/>
                <w:szCs w:val="24"/>
                <w:lang w:val="en-US" w:eastAsia="ja-JP"/>
              </w:rPr>
            </w:pPr>
            <w:r w:rsidRPr="006D66BF">
              <w:rPr>
                <w:rFonts w:hint="eastAsia"/>
                <w:szCs w:val="24"/>
              </w:rPr>
              <w:t>1,1,1-Tris(hydroxymethyl)ethane</w:t>
            </w:r>
          </w:p>
        </w:tc>
      </w:tr>
      <w:tr w:rsidR="00D23AF3" w:rsidRPr="006D66BF" w14:paraId="30FFE585" w14:textId="77777777" w:rsidTr="00E56A35">
        <w:tc>
          <w:tcPr>
            <w:tcW w:w="2508" w:type="dxa"/>
          </w:tcPr>
          <w:p w14:paraId="30FFE583" w14:textId="77777777" w:rsidR="00D23AF3" w:rsidRPr="006D66BF" w:rsidRDefault="00D23AF3" w:rsidP="00FC3A3D">
            <w:pPr>
              <w:pStyle w:val="BodyText2"/>
              <w:spacing w:after="100" w:afterAutospacing="1"/>
              <w:rPr>
                <w:szCs w:val="24"/>
              </w:rPr>
            </w:pPr>
            <w:r w:rsidRPr="006D66BF">
              <w:rPr>
                <w:szCs w:val="24"/>
              </w:rPr>
              <w:t>Molecular Formula:</w:t>
            </w:r>
          </w:p>
        </w:tc>
        <w:tc>
          <w:tcPr>
            <w:tcW w:w="7347" w:type="dxa"/>
          </w:tcPr>
          <w:p w14:paraId="30FFE584" w14:textId="77777777" w:rsidR="00D23AF3" w:rsidRPr="006D66BF" w:rsidRDefault="00D23AF3" w:rsidP="00FC3A3D">
            <w:pPr>
              <w:pStyle w:val="BodyText2"/>
              <w:spacing w:after="100" w:afterAutospacing="1"/>
              <w:rPr>
                <w:szCs w:val="24"/>
                <w:lang w:val="en-US"/>
              </w:rPr>
            </w:pPr>
            <w:r w:rsidRPr="006D66BF">
              <w:rPr>
                <w:szCs w:val="24"/>
                <w:lang w:val="en-US"/>
              </w:rPr>
              <w:t>C</w:t>
            </w:r>
            <w:r w:rsidRPr="006D66BF">
              <w:rPr>
                <w:rFonts w:hint="eastAsia"/>
                <w:szCs w:val="24"/>
                <w:vertAlign w:val="subscript"/>
                <w:lang w:val="en-US"/>
              </w:rPr>
              <w:t>5</w:t>
            </w:r>
            <w:r w:rsidRPr="006D66BF">
              <w:rPr>
                <w:szCs w:val="24"/>
                <w:lang w:val="en-US"/>
              </w:rPr>
              <w:t>H</w:t>
            </w:r>
            <w:r w:rsidRPr="006D66BF">
              <w:rPr>
                <w:rFonts w:hint="eastAsia"/>
                <w:szCs w:val="24"/>
                <w:vertAlign w:val="subscript"/>
                <w:lang w:val="en-US"/>
              </w:rPr>
              <w:t>12</w:t>
            </w:r>
            <w:r w:rsidRPr="006D66BF">
              <w:rPr>
                <w:szCs w:val="24"/>
                <w:lang w:val="en-US"/>
              </w:rPr>
              <w:t>O</w:t>
            </w:r>
            <w:r w:rsidRPr="006D66BF">
              <w:rPr>
                <w:rFonts w:hint="eastAsia"/>
                <w:szCs w:val="24"/>
                <w:vertAlign w:val="subscript"/>
                <w:lang w:val="en-US"/>
              </w:rPr>
              <w:t>3</w:t>
            </w:r>
          </w:p>
        </w:tc>
      </w:tr>
      <w:tr w:rsidR="00D23AF3" w:rsidRPr="006D66BF" w14:paraId="30FFE589" w14:textId="77777777" w:rsidTr="00E56A35">
        <w:tc>
          <w:tcPr>
            <w:tcW w:w="2508" w:type="dxa"/>
            <w:vAlign w:val="center"/>
          </w:tcPr>
          <w:p w14:paraId="30FFE586" w14:textId="77777777" w:rsidR="00D23AF3" w:rsidRPr="006D66BF" w:rsidRDefault="00D23AF3" w:rsidP="00FC3A3D">
            <w:pPr>
              <w:pStyle w:val="BodyText2"/>
              <w:spacing w:after="100" w:afterAutospacing="1"/>
              <w:rPr>
                <w:szCs w:val="24"/>
              </w:rPr>
            </w:pPr>
            <w:r w:rsidRPr="006D66BF">
              <w:rPr>
                <w:szCs w:val="24"/>
              </w:rPr>
              <w:t>Structural Formula:</w:t>
            </w:r>
          </w:p>
        </w:tc>
        <w:tc>
          <w:tcPr>
            <w:tcW w:w="7347" w:type="dxa"/>
            <w:vAlign w:val="center"/>
          </w:tcPr>
          <w:p w14:paraId="30FFE587" w14:textId="77777777" w:rsidR="00D23AF3" w:rsidRPr="006D66BF" w:rsidRDefault="00D23AF3" w:rsidP="00FC3A3D">
            <w:pPr>
              <w:pStyle w:val="BodyText2"/>
              <w:spacing w:after="100" w:afterAutospacing="1"/>
              <w:jc w:val="center"/>
            </w:pPr>
          </w:p>
          <w:p w14:paraId="30FFE588" w14:textId="77777777" w:rsidR="00D23AF3" w:rsidRPr="006D66BF" w:rsidRDefault="000A245C" w:rsidP="00FC3A3D">
            <w:pPr>
              <w:pStyle w:val="BodyText2"/>
              <w:spacing w:after="100" w:afterAutospacing="1"/>
              <w:jc w:val="center"/>
            </w:pPr>
            <w:r>
              <w:rPr>
                <w:noProof/>
                <w:lang w:eastAsia="en-GB"/>
              </w:rPr>
              <w:drawing>
                <wp:inline distT="0" distB="0" distL="0" distR="0" wp14:anchorId="30FFE735" wp14:editId="30FFE736">
                  <wp:extent cx="1219200" cy="12668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219200" cy="1266825"/>
                          </a:xfrm>
                          <a:prstGeom prst="rect">
                            <a:avLst/>
                          </a:prstGeom>
                          <a:noFill/>
                          <a:ln w="9525">
                            <a:noFill/>
                            <a:miter lim="800000"/>
                            <a:headEnd/>
                            <a:tailEnd/>
                          </a:ln>
                        </pic:spPr>
                      </pic:pic>
                    </a:graphicData>
                  </a:graphic>
                </wp:inline>
              </w:drawing>
            </w:r>
          </w:p>
        </w:tc>
      </w:tr>
      <w:tr w:rsidR="00D23AF3" w:rsidRPr="006D66BF" w14:paraId="30FFE58C" w14:textId="77777777" w:rsidTr="00E56A35">
        <w:tc>
          <w:tcPr>
            <w:tcW w:w="2508" w:type="dxa"/>
          </w:tcPr>
          <w:p w14:paraId="30FFE58A" w14:textId="77777777" w:rsidR="00D23AF3" w:rsidRPr="006D66BF" w:rsidRDefault="00D23AF3" w:rsidP="00FC3A3D">
            <w:pPr>
              <w:pStyle w:val="BodyText2"/>
              <w:spacing w:after="100" w:afterAutospacing="1"/>
              <w:rPr>
                <w:szCs w:val="24"/>
              </w:rPr>
            </w:pPr>
            <w:r w:rsidRPr="006D66BF">
              <w:rPr>
                <w:szCs w:val="24"/>
              </w:rPr>
              <w:t>Molecular Weight:</w:t>
            </w:r>
          </w:p>
        </w:tc>
        <w:tc>
          <w:tcPr>
            <w:tcW w:w="7347" w:type="dxa"/>
          </w:tcPr>
          <w:p w14:paraId="30FFE58B" w14:textId="77777777" w:rsidR="00D23AF3" w:rsidRPr="006D66BF" w:rsidRDefault="00D23AF3" w:rsidP="00FC3A3D">
            <w:pPr>
              <w:pStyle w:val="BodyText2"/>
              <w:spacing w:after="100" w:afterAutospacing="1"/>
              <w:rPr>
                <w:szCs w:val="24"/>
                <w:lang w:val="en-US"/>
              </w:rPr>
            </w:pPr>
            <w:r w:rsidRPr="006D66BF">
              <w:rPr>
                <w:rFonts w:hint="eastAsia"/>
                <w:szCs w:val="24"/>
                <w:lang w:val="en-US"/>
              </w:rPr>
              <w:t>120.15</w:t>
            </w:r>
          </w:p>
        </w:tc>
      </w:tr>
      <w:tr w:rsidR="00D23AF3" w:rsidRPr="006D66BF" w14:paraId="30FFE596" w14:textId="77777777" w:rsidTr="00E56A35">
        <w:tc>
          <w:tcPr>
            <w:tcW w:w="2508" w:type="dxa"/>
          </w:tcPr>
          <w:p w14:paraId="30FFE58D" w14:textId="77777777" w:rsidR="00D23AF3" w:rsidRPr="006D66BF" w:rsidRDefault="00D23AF3" w:rsidP="00FC3A3D">
            <w:pPr>
              <w:pStyle w:val="BodyText"/>
              <w:spacing w:after="0"/>
              <w:rPr>
                <w:szCs w:val="24"/>
              </w:rPr>
            </w:pPr>
            <w:r w:rsidRPr="006D66BF">
              <w:rPr>
                <w:szCs w:val="24"/>
              </w:rPr>
              <w:t>Synonyms:</w:t>
            </w:r>
          </w:p>
        </w:tc>
        <w:tc>
          <w:tcPr>
            <w:tcW w:w="7347" w:type="dxa"/>
          </w:tcPr>
          <w:p w14:paraId="30FFE58E" w14:textId="77777777" w:rsidR="00D23AF3" w:rsidRPr="006D66BF" w:rsidRDefault="00FC3A3D" w:rsidP="00FC3A3D">
            <w:pPr>
              <w:pStyle w:val="BodyText"/>
              <w:spacing w:after="0"/>
              <w:rPr>
                <w:kern w:val="2"/>
                <w:szCs w:val="24"/>
                <w:lang w:eastAsia="ja-JP"/>
              </w:rPr>
            </w:pPr>
            <w:r w:rsidRPr="006D66BF">
              <w:rPr>
                <w:rFonts w:hint="eastAsia"/>
                <w:kern w:val="2"/>
                <w:szCs w:val="24"/>
                <w:lang w:eastAsia="ja-JP"/>
              </w:rPr>
              <w:t xml:space="preserve">1,1,1-tris(hydroxymethyl)ethane </w:t>
            </w:r>
          </w:p>
          <w:p w14:paraId="30FFE58F" w14:textId="77777777" w:rsidR="00D23AF3" w:rsidRPr="006D66BF" w:rsidRDefault="00D23AF3" w:rsidP="00FC3A3D">
            <w:pPr>
              <w:pStyle w:val="BodyText"/>
              <w:spacing w:after="0"/>
              <w:rPr>
                <w:kern w:val="2"/>
                <w:szCs w:val="24"/>
                <w:lang w:eastAsia="ja-JP"/>
              </w:rPr>
            </w:pPr>
            <w:r w:rsidRPr="006D66BF">
              <w:rPr>
                <w:rFonts w:hint="eastAsia"/>
                <w:kern w:val="2"/>
                <w:szCs w:val="24"/>
                <w:lang w:eastAsia="ja-JP"/>
              </w:rPr>
              <w:t>1,1,1-Trimethylolethane</w:t>
            </w:r>
          </w:p>
          <w:p w14:paraId="30FFE590" w14:textId="77777777" w:rsidR="00D23AF3" w:rsidRPr="006D66BF" w:rsidRDefault="00D23AF3" w:rsidP="00FC3A3D">
            <w:pPr>
              <w:pStyle w:val="BodyText"/>
              <w:spacing w:after="0"/>
              <w:rPr>
                <w:kern w:val="2"/>
                <w:szCs w:val="24"/>
                <w:lang w:eastAsia="ja-JP"/>
              </w:rPr>
            </w:pPr>
            <w:r w:rsidRPr="006D66BF">
              <w:rPr>
                <w:rFonts w:hint="eastAsia"/>
                <w:kern w:val="2"/>
                <w:szCs w:val="24"/>
                <w:lang w:eastAsia="ja-JP"/>
              </w:rPr>
              <w:t>Trimethylolethane</w:t>
            </w:r>
          </w:p>
          <w:p w14:paraId="30FFE591" w14:textId="77777777" w:rsidR="00D23AF3" w:rsidRPr="006D66BF" w:rsidRDefault="00D23AF3" w:rsidP="00FC3A3D">
            <w:pPr>
              <w:pStyle w:val="BodyText"/>
              <w:spacing w:after="0"/>
              <w:rPr>
                <w:kern w:val="2"/>
                <w:szCs w:val="24"/>
                <w:lang w:eastAsia="ja-JP"/>
              </w:rPr>
            </w:pPr>
            <w:r w:rsidRPr="006D66BF">
              <w:rPr>
                <w:rFonts w:hint="eastAsia"/>
                <w:kern w:val="2"/>
                <w:szCs w:val="24"/>
                <w:lang w:eastAsia="ja-JP"/>
              </w:rPr>
              <w:t>Ethylidynetrimethanol</w:t>
            </w:r>
          </w:p>
          <w:p w14:paraId="30FFE592" w14:textId="77777777" w:rsidR="00D23AF3" w:rsidRPr="006D66BF" w:rsidRDefault="00D23AF3" w:rsidP="00FC3A3D">
            <w:pPr>
              <w:pStyle w:val="BodyText"/>
              <w:spacing w:after="0"/>
              <w:rPr>
                <w:kern w:val="2"/>
                <w:szCs w:val="24"/>
                <w:lang w:eastAsia="ja-JP"/>
              </w:rPr>
            </w:pPr>
            <w:r w:rsidRPr="006D66BF">
              <w:rPr>
                <w:rFonts w:hint="eastAsia"/>
                <w:kern w:val="2"/>
                <w:szCs w:val="24"/>
                <w:lang w:eastAsia="ja-JP"/>
              </w:rPr>
              <w:t>Ethane, 1,1,1-tris(hydroxymethyl)-</w:t>
            </w:r>
          </w:p>
          <w:p w14:paraId="30FFE593" w14:textId="77777777" w:rsidR="00D23AF3" w:rsidRPr="006D66BF" w:rsidRDefault="00D23AF3" w:rsidP="00FC3A3D">
            <w:pPr>
              <w:pStyle w:val="BodyText"/>
              <w:spacing w:after="0"/>
              <w:rPr>
                <w:kern w:val="2"/>
                <w:szCs w:val="24"/>
                <w:lang w:eastAsia="ja-JP"/>
              </w:rPr>
            </w:pPr>
            <w:r w:rsidRPr="006D66BF">
              <w:rPr>
                <w:rFonts w:hint="eastAsia"/>
                <w:kern w:val="2"/>
                <w:szCs w:val="24"/>
                <w:lang w:eastAsia="ja-JP"/>
              </w:rPr>
              <w:t>Methriol</w:t>
            </w:r>
          </w:p>
          <w:p w14:paraId="30FFE594" w14:textId="77777777" w:rsidR="00D23AF3" w:rsidRPr="006D66BF" w:rsidRDefault="00D23AF3" w:rsidP="00FC3A3D">
            <w:pPr>
              <w:pStyle w:val="BodyText"/>
              <w:spacing w:after="0"/>
              <w:rPr>
                <w:kern w:val="2"/>
                <w:szCs w:val="24"/>
                <w:lang w:eastAsia="ja-JP"/>
              </w:rPr>
            </w:pPr>
            <w:r w:rsidRPr="006D66BF">
              <w:rPr>
                <w:rFonts w:hint="eastAsia"/>
                <w:kern w:val="2"/>
                <w:szCs w:val="24"/>
                <w:lang w:eastAsia="ja-JP"/>
              </w:rPr>
              <w:t>Methyltrimethanolmethane</w:t>
            </w:r>
          </w:p>
          <w:p w14:paraId="30FFE595" w14:textId="77777777" w:rsidR="00D23AF3" w:rsidRPr="006D66BF" w:rsidRDefault="00D23AF3" w:rsidP="00FC3A3D">
            <w:pPr>
              <w:pStyle w:val="BodyText"/>
              <w:spacing w:after="0"/>
              <w:rPr>
                <w:kern w:val="2"/>
                <w:szCs w:val="24"/>
                <w:lang w:eastAsia="ja-JP"/>
              </w:rPr>
            </w:pPr>
            <w:r w:rsidRPr="006D66BF">
              <w:rPr>
                <w:rFonts w:hint="eastAsia"/>
                <w:kern w:val="2"/>
                <w:szCs w:val="24"/>
                <w:lang w:eastAsia="ja-JP"/>
              </w:rPr>
              <w:t>Metriol</w:t>
            </w:r>
          </w:p>
        </w:tc>
      </w:tr>
    </w:tbl>
    <w:p w14:paraId="30FFE597" w14:textId="77777777" w:rsidR="00D23AF3" w:rsidRPr="006D66BF" w:rsidRDefault="00D23AF3" w:rsidP="00D23AF3">
      <w:pPr>
        <w:rPr>
          <w:lang w:val="es-ES"/>
        </w:rPr>
      </w:pPr>
      <w:bookmarkStart w:id="12" w:name="_Toc32726014"/>
      <w:bookmarkStart w:id="13" w:name="_Toc32727197"/>
    </w:p>
    <w:p w14:paraId="30FFE598" w14:textId="77777777" w:rsidR="00D23AF3" w:rsidRPr="006D66BF" w:rsidRDefault="00D23AF3" w:rsidP="00D23AF3">
      <w:pPr>
        <w:pStyle w:val="Heading2"/>
        <w:rPr>
          <w:rFonts w:ascii="Times New Roman" w:hAnsi="Times New Roman"/>
          <w:szCs w:val="24"/>
        </w:rPr>
      </w:pPr>
      <w:bookmarkStart w:id="14" w:name="_Toc171146296"/>
      <w:bookmarkStart w:id="15" w:name="_Toc282509909"/>
      <w:bookmarkStart w:id="16" w:name="_Toc297297704"/>
      <w:r w:rsidRPr="006D66BF">
        <w:rPr>
          <w:rFonts w:ascii="Times New Roman" w:hAnsi="Times New Roman"/>
          <w:szCs w:val="24"/>
        </w:rPr>
        <w:t>Purity/Impurities/Additives</w:t>
      </w:r>
      <w:bookmarkEnd w:id="12"/>
      <w:bookmarkEnd w:id="13"/>
      <w:bookmarkEnd w:id="14"/>
      <w:bookmarkEnd w:id="15"/>
      <w:bookmarkEnd w:id="16"/>
    </w:p>
    <w:p w14:paraId="30FFE599" w14:textId="77777777" w:rsidR="00D23AF3" w:rsidRPr="006D66BF" w:rsidRDefault="00D23AF3" w:rsidP="00D23AF3">
      <w:pPr>
        <w:pStyle w:val="BodyText"/>
        <w:rPr>
          <w:szCs w:val="24"/>
          <w:lang w:val="en-US" w:eastAsia="ja-JP"/>
        </w:rPr>
      </w:pPr>
      <w:r w:rsidRPr="006D66BF">
        <w:rPr>
          <w:rFonts w:hint="eastAsia"/>
          <w:szCs w:val="24"/>
          <w:lang w:eastAsia="ja-JP"/>
        </w:rPr>
        <w:t>As far as available information by our research, p</w:t>
      </w:r>
      <w:r w:rsidRPr="006D66BF">
        <w:rPr>
          <w:szCs w:val="24"/>
          <w:lang w:eastAsia="ja-JP"/>
        </w:rPr>
        <w:t xml:space="preserve">urity of </w:t>
      </w:r>
      <w:r w:rsidRPr="006D66BF">
        <w:rPr>
          <w:rFonts w:hint="eastAsia"/>
          <w:szCs w:val="24"/>
        </w:rPr>
        <w:t>1</w:t>
      </w:r>
      <w:proofErr w:type="gramStart"/>
      <w:r w:rsidRPr="006D66BF">
        <w:rPr>
          <w:rFonts w:hint="eastAsia"/>
          <w:szCs w:val="24"/>
        </w:rPr>
        <w:t>,1,1</w:t>
      </w:r>
      <w:proofErr w:type="gramEnd"/>
      <w:r w:rsidRPr="006D66BF">
        <w:rPr>
          <w:rFonts w:hint="eastAsia"/>
          <w:szCs w:val="24"/>
        </w:rPr>
        <w:t>-</w:t>
      </w:r>
      <w:r w:rsidRPr="006D66BF">
        <w:rPr>
          <w:rFonts w:hint="eastAsia"/>
          <w:szCs w:val="24"/>
          <w:lang w:eastAsia="ja-JP"/>
        </w:rPr>
        <w:t>t</w:t>
      </w:r>
      <w:r w:rsidRPr="006D66BF">
        <w:rPr>
          <w:rFonts w:hint="eastAsia"/>
          <w:szCs w:val="24"/>
        </w:rPr>
        <w:t>ris(hydroxymethyl)ethane</w:t>
      </w:r>
      <w:r w:rsidRPr="006D66BF">
        <w:rPr>
          <w:szCs w:val="24"/>
          <w:lang w:eastAsia="ja-JP"/>
        </w:rPr>
        <w:t xml:space="preserve"> for industrial use is more than 99 %</w:t>
      </w:r>
      <w:r w:rsidRPr="006D66BF">
        <w:rPr>
          <w:rFonts w:hint="eastAsia"/>
          <w:szCs w:val="24"/>
          <w:lang w:eastAsia="ja-JP"/>
        </w:rPr>
        <w:t xml:space="preserve"> (CERI, 2011a)</w:t>
      </w:r>
      <w:r w:rsidRPr="006D66BF">
        <w:rPr>
          <w:szCs w:val="24"/>
          <w:lang w:eastAsia="ja-JP"/>
        </w:rPr>
        <w:t>.</w:t>
      </w:r>
    </w:p>
    <w:p w14:paraId="30FFE59A" w14:textId="77777777" w:rsidR="00D23AF3" w:rsidRPr="006D66BF" w:rsidRDefault="00D23AF3" w:rsidP="00D23AF3">
      <w:pPr>
        <w:pStyle w:val="Heading2"/>
        <w:rPr>
          <w:rFonts w:ascii="Times New Roman" w:hAnsi="Times New Roman"/>
          <w:szCs w:val="24"/>
        </w:rPr>
      </w:pPr>
      <w:bookmarkStart w:id="17" w:name="_Toc32726015"/>
      <w:bookmarkStart w:id="18" w:name="_Toc32727198"/>
      <w:bookmarkStart w:id="19" w:name="_Toc171146297"/>
      <w:bookmarkStart w:id="20" w:name="_Toc282509910"/>
      <w:bookmarkStart w:id="21" w:name="_Toc297297705"/>
      <w:r w:rsidRPr="006D66BF">
        <w:rPr>
          <w:rFonts w:ascii="Times New Roman" w:hAnsi="Times New Roman"/>
          <w:szCs w:val="24"/>
        </w:rPr>
        <w:t>Physico-Chemical properties</w:t>
      </w:r>
      <w:bookmarkEnd w:id="17"/>
      <w:bookmarkEnd w:id="18"/>
      <w:bookmarkEnd w:id="19"/>
      <w:bookmarkEnd w:id="20"/>
      <w:bookmarkEnd w:id="21"/>
    </w:p>
    <w:p w14:paraId="30FFE59B" w14:textId="77777777" w:rsidR="00D23AF3" w:rsidRPr="006D66BF" w:rsidRDefault="00D23AF3" w:rsidP="00D23AF3">
      <w:pPr>
        <w:pStyle w:val="BodyText"/>
        <w:rPr>
          <w:szCs w:val="24"/>
          <w:lang w:val="en-US" w:eastAsia="ja-JP"/>
        </w:rPr>
      </w:pPr>
      <w:r w:rsidRPr="006D66BF">
        <w:rPr>
          <w:rFonts w:hint="eastAsia"/>
          <w:szCs w:val="24"/>
        </w:rPr>
        <w:t>1</w:t>
      </w:r>
      <w:proofErr w:type="gramStart"/>
      <w:r w:rsidRPr="006D66BF">
        <w:rPr>
          <w:rFonts w:hint="eastAsia"/>
          <w:szCs w:val="24"/>
        </w:rPr>
        <w:t>,1,1</w:t>
      </w:r>
      <w:proofErr w:type="gramEnd"/>
      <w:r w:rsidRPr="006D66BF">
        <w:rPr>
          <w:rFonts w:hint="eastAsia"/>
          <w:szCs w:val="24"/>
        </w:rPr>
        <w:t>-</w:t>
      </w:r>
      <w:r w:rsidRPr="006D66BF">
        <w:rPr>
          <w:rFonts w:hint="eastAsia"/>
          <w:szCs w:val="24"/>
          <w:lang w:eastAsia="ja-JP"/>
        </w:rPr>
        <w:t>T</w:t>
      </w:r>
      <w:r w:rsidRPr="006D66BF">
        <w:rPr>
          <w:rFonts w:hint="eastAsia"/>
          <w:szCs w:val="24"/>
        </w:rPr>
        <w:t>ris(hydroxymethyl)ethane</w:t>
      </w:r>
      <w:r w:rsidRPr="006D66BF">
        <w:rPr>
          <w:szCs w:val="24"/>
          <w:lang w:val="en-US" w:eastAsia="ja-JP"/>
        </w:rPr>
        <w:t xml:space="preserve"> is a </w:t>
      </w:r>
      <w:r w:rsidRPr="006D66BF">
        <w:rPr>
          <w:rFonts w:hint="eastAsia"/>
          <w:szCs w:val="24"/>
          <w:lang w:val="en-US" w:eastAsia="ja-JP"/>
        </w:rPr>
        <w:t>white powder</w:t>
      </w:r>
      <w:r w:rsidRPr="006D66BF">
        <w:rPr>
          <w:szCs w:val="24"/>
          <w:lang w:val="en-US" w:eastAsia="ja-JP"/>
        </w:rPr>
        <w:t xml:space="preserve"> with </w:t>
      </w:r>
      <w:r w:rsidRPr="006D66BF">
        <w:rPr>
          <w:rFonts w:hint="eastAsia"/>
          <w:szCs w:val="24"/>
          <w:lang w:val="en-US" w:eastAsia="ja-JP"/>
        </w:rPr>
        <w:t>no</w:t>
      </w:r>
      <w:r w:rsidRPr="006D66BF">
        <w:rPr>
          <w:szCs w:val="24"/>
          <w:lang w:val="en-US" w:eastAsia="ja-JP"/>
        </w:rPr>
        <w:t xml:space="preserve"> odo</w:t>
      </w:r>
      <w:r w:rsidRPr="006D66BF">
        <w:rPr>
          <w:rFonts w:hint="eastAsia"/>
          <w:szCs w:val="24"/>
          <w:lang w:val="en-US" w:eastAsia="ja-JP"/>
        </w:rPr>
        <w:t>u</w:t>
      </w:r>
      <w:r w:rsidRPr="006D66BF">
        <w:rPr>
          <w:szCs w:val="24"/>
          <w:lang w:val="en-US" w:eastAsia="ja-JP"/>
        </w:rPr>
        <w:t>r at standard temperature and pressure.  Melting point</w:t>
      </w:r>
      <w:r w:rsidRPr="006D66BF">
        <w:rPr>
          <w:rFonts w:hint="eastAsia"/>
          <w:szCs w:val="24"/>
          <w:lang w:val="en-US" w:eastAsia="ja-JP"/>
        </w:rPr>
        <w:t xml:space="preserve"> and </w:t>
      </w:r>
      <w:r w:rsidRPr="006D66BF">
        <w:rPr>
          <w:szCs w:val="24"/>
          <w:lang w:val="en-US" w:eastAsia="ja-JP"/>
        </w:rPr>
        <w:t>boiling point</w:t>
      </w:r>
      <w:r w:rsidRPr="006D66BF">
        <w:rPr>
          <w:rFonts w:hint="eastAsia"/>
          <w:szCs w:val="24"/>
          <w:lang w:val="en-US" w:eastAsia="ja-JP"/>
        </w:rPr>
        <w:t xml:space="preserve"> are 204</w:t>
      </w:r>
      <w:r w:rsidRPr="006D66BF">
        <w:rPr>
          <w:szCs w:val="24"/>
          <w:lang w:val="en-US" w:eastAsia="ja-JP"/>
        </w:rPr>
        <w:t xml:space="preserve"> °C</w:t>
      </w:r>
      <w:r w:rsidRPr="006D66BF">
        <w:rPr>
          <w:rFonts w:hint="eastAsia"/>
          <w:szCs w:val="24"/>
          <w:lang w:val="en-US" w:eastAsia="ja-JP"/>
        </w:rPr>
        <w:t xml:space="preserve"> </w:t>
      </w:r>
      <w:r w:rsidRPr="006D66BF">
        <w:rPr>
          <w:szCs w:val="24"/>
          <w:lang w:val="en-US" w:eastAsia="ja-JP"/>
        </w:rPr>
        <w:t xml:space="preserve">and </w:t>
      </w:r>
      <w:r w:rsidRPr="006D66BF">
        <w:rPr>
          <w:rFonts w:hint="eastAsia"/>
          <w:szCs w:val="24"/>
          <w:lang w:val="en-US" w:eastAsia="ja-JP"/>
        </w:rPr>
        <w:t>286.7</w:t>
      </w:r>
      <w:r w:rsidRPr="006D66BF">
        <w:rPr>
          <w:szCs w:val="24"/>
          <w:lang w:val="en-US" w:eastAsia="ja-JP"/>
        </w:rPr>
        <w:t xml:space="preserve"> °C</w:t>
      </w:r>
      <w:r w:rsidRPr="006D66BF">
        <w:rPr>
          <w:rFonts w:hint="eastAsia"/>
          <w:szCs w:val="24"/>
          <w:lang w:val="en-US" w:eastAsia="ja-JP"/>
        </w:rPr>
        <w:t xml:space="preserve"> respectively</w:t>
      </w:r>
      <w:r w:rsidRPr="006D66BF">
        <w:rPr>
          <w:szCs w:val="24"/>
          <w:lang w:val="en-US" w:eastAsia="ja-JP"/>
        </w:rPr>
        <w:t>. Vapour pressure</w:t>
      </w:r>
      <w:r w:rsidRPr="006D66BF">
        <w:rPr>
          <w:rFonts w:hint="eastAsia"/>
          <w:szCs w:val="24"/>
          <w:lang w:val="en-US" w:eastAsia="ja-JP"/>
        </w:rPr>
        <w:t xml:space="preserve"> </w:t>
      </w:r>
      <w:r w:rsidRPr="006D66BF">
        <w:rPr>
          <w:szCs w:val="24"/>
          <w:lang w:val="en-US" w:eastAsia="ja-JP"/>
        </w:rPr>
        <w:t>at 25 °C</w:t>
      </w:r>
      <w:r w:rsidRPr="006D66BF">
        <w:rPr>
          <w:rFonts w:hint="eastAsia"/>
          <w:szCs w:val="24"/>
          <w:lang w:val="en-US" w:eastAsia="ja-JP"/>
        </w:rPr>
        <w:t xml:space="preserve"> extrapolated from the experimental value is 1.82 x 10</w:t>
      </w:r>
      <w:r w:rsidRPr="006D66BF">
        <w:rPr>
          <w:rFonts w:hint="eastAsia"/>
          <w:szCs w:val="24"/>
          <w:vertAlign w:val="superscript"/>
          <w:lang w:val="en-US" w:eastAsia="ja-JP"/>
        </w:rPr>
        <w:t>-5</w:t>
      </w:r>
      <w:r w:rsidRPr="006D66BF">
        <w:rPr>
          <w:szCs w:val="24"/>
          <w:lang w:val="en-US" w:eastAsia="ja-JP"/>
        </w:rPr>
        <w:t xml:space="preserve"> Pa</w:t>
      </w:r>
      <w:r w:rsidRPr="006D66BF">
        <w:rPr>
          <w:rFonts w:hint="eastAsia"/>
          <w:szCs w:val="24"/>
          <w:lang w:val="en-US" w:eastAsia="ja-JP"/>
        </w:rPr>
        <w:t>. P</w:t>
      </w:r>
      <w:r w:rsidRPr="006D66BF">
        <w:rPr>
          <w:szCs w:val="24"/>
          <w:lang w:val="en-US" w:eastAsia="ja-JP"/>
        </w:rPr>
        <w:t>artition coefficient between octanol and water (log K</w:t>
      </w:r>
      <w:r w:rsidRPr="006D66BF">
        <w:rPr>
          <w:szCs w:val="24"/>
          <w:vertAlign w:val="subscript"/>
          <w:lang w:val="en-US" w:eastAsia="ja-JP"/>
        </w:rPr>
        <w:t>ow</w:t>
      </w:r>
      <w:r w:rsidRPr="006D66BF">
        <w:rPr>
          <w:szCs w:val="24"/>
          <w:lang w:val="en-US" w:eastAsia="ja-JP"/>
        </w:rPr>
        <w:t xml:space="preserve">) is </w:t>
      </w:r>
      <w:r w:rsidRPr="006D66BF">
        <w:rPr>
          <w:rFonts w:hint="eastAsia"/>
          <w:szCs w:val="24"/>
          <w:lang w:val="en-US" w:eastAsia="ja-JP"/>
        </w:rPr>
        <w:t>-0.95 and water solubility is more than 300</w:t>
      </w:r>
      <w:r w:rsidRPr="006D66BF">
        <w:rPr>
          <w:szCs w:val="24"/>
          <w:lang w:val="en-US" w:eastAsia="ja-JP"/>
        </w:rPr>
        <w:t xml:space="preserve"> g/L at 2</w:t>
      </w:r>
      <w:r w:rsidRPr="006D66BF">
        <w:rPr>
          <w:rFonts w:hint="eastAsia"/>
          <w:szCs w:val="24"/>
          <w:lang w:val="en-US" w:eastAsia="ja-JP"/>
        </w:rPr>
        <w:t>0</w:t>
      </w:r>
      <w:r w:rsidRPr="006D66BF">
        <w:rPr>
          <w:szCs w:val="24"/>
          <w:lang w:val="en-US" w:eastAsia="ja-JP"/>
        </w:rPr>
        <w:t xml:space="preserve"> °C. Physico-chemical properties of </w:t>
      </w:r>
      <w:r w:rsidRPr="006D66BF">
        <w:rPr>
          <w:rFonts w:hint="eastAsia"/>
          <w:szCs w:val="24"/>
        </w:rPr>
        <w:t>1</w:t>
      </w:r>
      <w:proofErr w:type="gramStart"/>
      <w:r w:rsidRPr="006D66BF">
        <w:rPr>
          <w:rFonts w:hint="eastAsia"/>
          <w:szCs w:val="24"/>
        </w:rPr>
        <w:t>,1,1</w:t>
      </w:r>
      <w:proofErr w:type="gramEnd"/>
      <w:r w:rsidRPr="006D66BF">
        <w:rPr>
          <w:rFonts w:hint="eastAsia"/>
          <w:szCs w:val="24"/>
        </w:rPr>
        <w:t>-</w:t>
      </w:r>
      <w:r w:rsidRPr="006D66BF">
        <w:rPr>
          <w:rFonts w:hint="eastAsia"/>
          <w:szCs w:val="24"/>
          <w:lang w:eastAsia="ja-JP"/>
        </w:rPr>
        <w:t>t</w:t>
      </w:r>
      <w:r w:rsidRPr="006D66BF">
        <w:rPr>
          <w:rFonts w:hint="eastAsia"/>
          <w:szCs w:val="24"/>
        </w:rPr>
        <w:t>ris(hydroxymethyl)ethane</w:t>
      </w:r>
      <w:r w:rsidRPr="006D66BF" w:rsidDel="00023E3B">
        <w:rPr>
          <w:rFonts w:hint="eastAsia"/>
          <w:szCs w:val="24"/>
          <w:lang w:val="en-US" w:eastAsia="ja-JP"/>
        </w:rPr>
        <w:t xml:space="preserve"> </w:t>
      </w:r>
      <w:r w:rsidRPr="006D66BF">
        <w:rPr>
          <w:szCs w:val="24"/>
          <w:lang w:val="en-US" w:eastAsia="ja-JP"/>
        </w:rPr>
        <w:t>are shown in Table 2.</w:t>
      </w:r>
    </w:p>
    <w:p w14:paraId="30FFE59C" w14:textId="77777777" w:rsidR="00D23AF3" w:rsidRPr="006D66BF" w:rsidRDefault="00D23AF3" w:rsidP="00D23AF3">
      <w:pPr>
        <w:pStyle w:val="BodyText"/>
      </w:pPr>
    </w:p>
    <w:p w14:paraId="30FFE59D" w14:textId="77777777" w:rsidR="00D23AF3" w:rsidRPr="006D66BF" w:rsidRDefault="00D23AF3" w:rsidP="00D23AF3">
      <w:pPr>
        <w:pStyle w:val="Caption"/>
        <w:ind w:left="840" w:hanging="210"/>
        <w:rPr>
          <w:kern w:val="2"/>
          <w:szCs w:val="24"/>
          <w:lang w:eastAsia="ja-JP"/>
        </w:rPr>
      </w:pPr>
      <w:bookmarkStart w:id="22" w:name="_Toc171146112"/>
      <w:bookmarkStart w:id="23" w:name="_Toc282509940"/>
      <w:bookmarkStart w:id="24" w:name="_Toc297298008"/>
      <w:r w:rsidRPr="006D66BF">
        <w:t xml:space="preserve">Table </w:t>
      </w:r>
      <w:fldSimple w:instr=" SEQ Table \* ARABIC ">
        <w:r w:rsidR="006D66BF">
          <w:rPr>
            <w:noProof/>
          </w:rPr>
          <w:t>2</w:t>
        </w:r>
      </w:fldSimple>
      <w:r w:rsidRPr="006D66BF">
        <w:rPr>
          <w:rFonts w:ascii="Times New Roman" w:hAnsi="Times New Roman"/>
          <w:szCs w:val="24"/>
          <w:lang w:eastAsia="ja-JP"/>
        </w:rPr>
        <w:t xml:space="preserve">  Summary of physico-chemical properties of </w:t>
      </w:r>
      <w:bookmarkEnd w:id="22"/>
      <w:bookmarkEnd w:id="23"/>
      <w:r w:rsidRPr="006D66BF">
        <w:rPr>
          <w:kern w:val="2"/>
          <w:szCs w:val="24"/>
          <w:lang w:eastAsia="ja-JP"/>
        </w:rPr>
        <w:t>1</w:t>
      </w:r>
      <w:proofErr w:type="gramStart"/>
      <w:r w:rsidRPr="006D66BF">
        <w:rPr>
          <w:kern w:val="2"/>
          <w:szCs w:val="24"/>
          <w:lang w:eastAsia="ja-JP"/>
        </w:rPr>
        <w:t>,1,1</w:t>
      </w:r>
      <w:proofErr w:type="gramEnd"/>
      <w:r w:rsidRPr="006D66BF">
        <w:rPr>
          <w:kern w:val="2"/>
          <w:szCs w:val="24"/>
          <w:lang w:eastAsia="ja-JP"/>
        </w:rPr>
        <w:t>-tris(hydroxymethyl)ethane</w:t>
      </w:r>
      <w:bookmarkEnd w:id="24"/>
    </w:p>
    <w:tbl>
      <w:tblPr>
        <w:tblW w:w="945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3045"/>
        <w:gridCol w:w="1260"/>
        <w:gridCol w:w="2310"/>
      </w:tblGrid>
      <w:tr w:rsidR="00D23AF3" w:rsidRPr="006D66BF" w14:paraId="30FFE5A2" w14:textId="77777777" w:rsidTr="00FC3A3D">
        <w:tc>
          <w:tcPr>
            <w:tcW w:w="2835" w:type="dxa"/>
            <w:tcBorders>
              <w:top w:val="single" w:sz="12" w:space="0" w:color="auto"/>
              <w:left w:val="single" w:sz="12" w:space="0" w:color="auto"/>
              <w:bottom w:val="single" w:sz="12" w:space="0" w:color="auto"/>
              <w:right w:val="single" w:sz="6" w:space="0" w:color="auto"/>
            </w:tcBorders>
            <w:vAlign w:val="center"/>
          </w:tcPr>
          <w:p w14:paraId="30FFE59E" w14:textId="77777777" w:rsidR="00D23AF3" w:rsidRPr="006D66BF" w:rsidRDefault="00D23AF3" w:rsidP="00FC3A3D">
            <w:pPr>
              <w:pStyle w:val="StyleTabletextBlue"/>
              <w:jc w:val="both"/>
              <w:rPr>
                <w:snapToGrid/>
                <w:color w:val="auto"/>
                <w:sz w:val="24"/>
                <w:szCs w:val="24"/>
                <w:lang w:val="en-GB" w:eastAsia="ja-JP"/>
              </w:rPr>
            </w:pPr>
            <w:r w:rsidRPr="006D66BF">
              <w:rPr>
                <w:snapToGrid/>
                <w:color w:val="auto"/>
                <w:sz w:val="24"/>
                <w:szCs w:val="24"/>
                <w:lang w:val="en-GB" w:eastAsia="ja-JP"/>
              </w:rPr>
              <w:t>Property</w:t>
            </w:r>
          </w:p>
        </w:tc>
        <w:tc>
          <w:tcPr>
            <w:tcW w:w="3045" w:type="dxa"/>
            <w:tcBorders>
              <w:top w:val="single" w:sz="12" w:space="0" w:color="auto"/>
              <w:left w:val="single" w:sz="6" w:space="0" w:color="auto"/>
              <w:bottom w:val="single" w:sz="12" w:space="0" w:color="auto"/>
              <w:right w:val="single" w:sz="4" w:space="0" w:color="auto"/>
            </w:tcBorders>
            <w:vAlign w:val="center"/>
          </w:tcPr>
          <w:p w14:paraId="30FFE59F" w14:textId="77777777" w:rsidR="00D23AF3" w:rsidRPr="006D66BF" w:rsidRDefault="00D23AF3" w:rsidP="00FC3A3D">
            <w:pPr>
              <w:pStyle w:val="StyleTabletextBlue"/>
              <w:jc w:val="both"/>
              <w:rPr>
                <w:snapToGrid/>
                <w:color w:val="auto"/>
                <w:sz w:val="24"/>
                <w:szCs w:val="24"/>
                <w:lang w:val="en-GB" w:eastAsia="ja-JP"/>
              </w:rPr>
            </w:pPr>
            <w:r w:rsidRPr="006D66BF">
              <w:rPr>
                <w:snapToGrid/>
                <w:color w:val="auto"/>
                <w:sz w:val="24"/>
                <w:szCs w:val="24"/>
                <w:lang w:val="en-GB" w:eastAsia="ja-JP"/>
              </w:rPr>
              <w:t>Value</w:t>
            </w:r>
          </w:p>
        </w:tc>
        <w:tc>
          <w:tcPr>
            <w:tcW w:w="1260" w:type="dxa"/>
            <w:tcBorders>
              <w:top w:val="single" w:sz="12" w:space="0" w:color="auto"/>
              <w:left w:val="single" w:sz="4" w:space="0" w:color="auto"/>
              <w:bottom w:val="single" w:sz="12" w:space="0" w:color="auto"/>
              <w:right w:val="single" w:sz="6" w:space="0" w:color="auto"/>
            </w:tcBorders>
            <w:vAlign w:val="center"/>
          </w:tcPr>
          <w:p w14:paraId="30FFE5A0" w14:textId="77777777" w:rsidR="00D23AF3" w:rsidRPr="006D66BF" w:rsidRDefault="00D23AF3" w:rsidP="00FC3A3D">
            <w:pPr>
              <w:pStyle w:val="StyleTabletextBlue"/>
              <w:jc w:val="both"/>
              <w:rPr>
                <w:snapToGrid/>
                <w:color w:val="auto"/>
                <w:sz w:val="24"/>
                <w:szCs w:val="24"/>
                <w:lang w:val="en-GB" w:eastAsia="ja-JP"/>
              </w:rPr>
            </w:pPr>
            <w:r w:rsidRPr="006D66BF">
              <w:rPr>
                <w:snapToGrid/>
                <w:color w:val="auto"/>
                <w:sz w:val="24"/>
                <w:szCs w:val="24"/>
                <w:lang w:val="en-GB" w:eastAsia="ja-JP"/>
              </w:rPr>
              <w:t>Reliability</w:t>
            </w:r>
            <w:r w:rsidRPr="006D66BF">
              <w:rPr>
                <w:snapToGrid/>
                <w:color w:val="auto"/>
                <w:sz w:val="22"/>
                <w:szCs w:val="24"/>
                <w:lang w:val="en-GB" w:eastAsia="ja-JP"/>
              </w:rPr>
              <w:t xml:space="preserve"> </w:t>
            </w:r>
          </w:p>
        </w:tc>
        <w:tc>
          <w:tcPr>
            <w:tcW w:w="2310" w:type="dxa"/>
            <w:tcBorders>
              <w:top w:val="single" w:sz="12" w:space="0" w:color="auto"/>
              <w:left w:val="single" w:sz="6" w:space="0" w:color="auto"/>
              <w:bottom w:val="single" w:sz="12" w:space="0" w:color="auto"/>
              <w:right w:val="single" w:sz="12" w:space="0" w:color="auto"/>
            </w:tcBorders>
            <w:vAlign w:val="center"/>
          </w:tcPr>
          <w:p w14:paraId="30FFE5A1" w14:textId="77777777" w:rsidR="00D23AF3" w:rsidRPr="006D66BF" w:rsidRDefault="00D23AF3" w:rsidP="00FC3A3D">
            <w:pPr>
              <w:pStyle w:val="StyleTabletextBlue"/>
              <w:jc w:val="both"/>
              <w:rPr>
                <w:snapToGrid/>
                <w:color w:val="auto"/>
                <w:sz w:val="24"/>
                <w:szCs w:val="24"/>
                <w:lang w:val="en-GB" w:eastAsia="ja-JP"/>
              </w:rPr>
            </w:pPr>
            <w:r w:rsidRPr="006D66BF">
              <w:rPr>
                <w:snapToGrid/>
                <w:color w:val="auto"/>
                <w:sz w:val="24"/>
                <w:szCs w:val="24"/>
                <w:lang w:val="en-GB" w:eastAsia="ja-JP"/>
              </w:rPr>
              <w:t>Reference</w:t>
            </w:r>
          </w:p>
        </w:tc>
      </w:tr>
      <w:tr w:rsidR="00D23AF3" w:rsidRPr="006D66BF" w14:paraId="30FFE5A7" w14:textId="77777777" w:rsidTr="00FC3A3D">
        <w:tc>
          <w:tcPr>
            <w:tcW w:w="2835" w:type="dxa"/>
            <w:tcBorders>
              <w:top w:val="single" w:sz="12" w:space="0" w:color="auto"/>
              <w:left w:val="single" w:sz="12" w:space="0" w:color="auto"/>
              <w:bottom w:val="single" w:sz="6" w:space="0" w:color="auto"/>
              <w:right w:val="single" w:sz="6" w:space="0" w:color="auto"/>
            </w:tcBorders>
            <w:vAlign w:val="center"/>
          </w:tcPr>
          <w:p w14:paraId="30FFE5A3" w14:textId="77777777" w:rsidR="00D23AF3" w:rsidRPr="006D66BF" w:rsidRDefault="00D23AF3" w:rsidP="00FC3A3D">
            <w:pPr>
              <w:pStyle w:val="StyleTabletextBlue"/>
              <w:jc w:val="both"/>
              <w:rPr>
                <w:snapToGrid/>
                <w:color w:val="auto"/>
                <w:sz w:val="24"/>
                <w:szCs w:val="24"/>
                <w:shd w:val="pct15" w:color="auto" w:fill="FFFFFF"/>
                <w:lang w:val="en-GB" w:eastAsia="ja-JP"/>
              </w:rPr>
            </w:pPr>
            <w:r w:rsidRPr="006D66BF">
              <w:rPr>
                <w:snapToGrid/>
                <w:color w:val="auto"/>
                <w:sz w:val="24"/>
                <w:szCs w:val="24"/>
                <w:lang w:val="da-DK" w:eastAsia="ja-JP"/>
              </w:rPr>
              <w:t>Physical state/appearance</w:t>
            </w:r>
          </w:p>
        </w:tc>
        <w:tc>
          <w:tcPr>
            <w:tcW w:w="3045" w:type="dxa"/>
            <w:tcBorders>
              <w:top w:val="single" w:sz="12" w:space="0" w:color="auto"/>
              <w:left w:val="single" w:sz="6" w:space="0" w:color="auto"/>
              <w:bottom w:val="single" w:sz="6" w:space="0" w:color="auto"/>
              <w:right w:val="single" w:sz="4" w:space="0" w:color="auto"/>
            </w:tcBorders>
            <w:vAlign w:val="center"/>
          </w:tcPr>
          <w:p w14:paraId="30FFE5A4" w14:textId="77777777" w:rsidR="00D23AF3" w:rsidRPr="006D66BF" w:rsidRDefault="00D23AF3" w:rsidP="00FC3A3D">
            <w:pPr>
              <w:pStyle w:val="Tabletext"/>
              <w:jc w:val="both"/>
              <w:rPr>
                <w:snapToGrid/>
                <w:sz w:val="24"/>
                <w:szCs w:val="24"/>
                <w:shd w:val="pct15" w:color="auto" w:fill="FFFFFF"/>
                <w:lang w:val="en-GB" w:eastAsia="ja-JP"/>
              </w:rPr>
            </w:pPr>
            <w:r w:rsidRPr="006D66BF">
              <w:rPr>
                <w:rFonts w:hint="eastAsia"/>
                <w:snapToGrid/>
                <w:sz w:val="24"/>
                <w:szCs w:val="24"/>
                <w:lang w:val="da-DK" w:eastAsia="ja-JP"/>
              </w:rPr>
              <w:t>White powder with no</w:t>
            </w:r>
            <w:r w:rsidRPr="006D66BF">
              <w:rPr>
                <w:snapToGrid/>
                <w:sz w:val="24"/>
                <w:szCs w:val="24"/>
                <w:lang w:val="da-DK" w:eastAsia="ja-JP"/>
              </w:rPr>
              <w:t xml:space="preserve"> odour</w:t>
            </w:r>
          </w:p>
        </w:tc>
        <w:tc>
          <w:tcPr>
            <w:tcW w:w="1260" w:type="dxa"/>
            <w:tcBorders>
              <w:top w:val="single" w:sz="12" w:space="0" w:color="auto"/>
              <w:left w:val="single" w:sz="4" w:space="0" w:color="auto"/>
              <w:bottom w:val="single" w:sz="6" w:space="0" w:color="auto"/>
              <w:right w:val="single" w:sz="6" w:space="0" w:color="auto"/>
            </w:tcBorders>
            <w:vAlign w:val="center"/>
          </w:tcPr>
          <w:p w14:paraId="30FFE5A5" w14:textId="77777777" w:rsidR="00D23AF3" w:rsidRPr="006D66BF" w:rsidRDefault="00D23AF3" w:rsidP="00FC3A3D">
            <w:pPr>
              <w:pStyle w:val="Tabletext"/>
              <w:jc w:val="center"/>
              <w:rPr>
                <w:snapToGrid/>
                <w:sz w:val="24"/>
                <w:szCs w:val="24"/>
                <w:shd w:val="pct15" w:color="auto" w:fill="FFFFFF"/>
                <w:lang w:val="en-GB" w:eastAsia="ja-JP"/>
              </w:rPr>
            </w:pPr>
            <w:r w:rsidRPr="006D66BF">
              <w:rPr>
                <w:snapToGrid/>
                <w:sz w:val="24"/>
                <w:szCs w:val="24"/>
                <w:lang w:val="da-DK" w:eastAsia="ja-JP"/>
              </w:rPr>
              <w:t>2</w:t>
            </w:r>
          </w:p>
        </w:tc>
        <w:tc>
          <w:tcPr>
            <w:tcW w:w="2310" w:type="dxa"/>
            <w:tcBorders>
              <w:top w:val="single" w:sz="12" w:space="0" w:color="auto"/>
              <w:left w:val="single" w:sz="6" w:space="0" w:color="auto"/>
              <w:bottom w:val="single" w:sz="6" w:space="0" w:color="auto"/>
              <w:right w:val="single" w:sz="12" w:space="0" w:color="auto"/>
            </w:tcBorders>
            <w:vAlign w:val="center"/>
          </w:tcPr>
          <w:p w14:paraId="30FFE5A6" w14:textId="77777777" w:rsidR="00D23AF3" w:rsidRPr="006D66BF" w:rsidRDefault="00D23AF3" w:rsidP="00FC3A3D">
            <w:pPr>
              <w:pStyle w:val="StyleTabletextBlue"/>
              <w:rPr>
                <w:snapToGrid/>
                <w:color w:val="auto"/>
                <w:sz w:val="24"/>
                <w:szCs w:val="24"/>
                <w:shd w:val="pct15" w:color="auto" w:fill="FFFFFF"/>
                <w:lang w:val="en-GB" w:eastAsia="ja-JP"/>
              </w:rPr>
            </w:pPr>
            <w:r w:rsidRPr="006D66BF">
              <w:rPr>
                <w:snapToGrid/>
                <w:color w:val="auto"/>
                <w:sz w:val="24"/>
                <w:szCs w:val="24"/>
                <w:lang w:val="da-DK" w:eastAsia="ja-JP"/>
              </w:rPr>
              <w:t xml:space="preserve">Lide D.R. (ed), </w:t>
            </w:r>
            <w:r w:rsidRPr="006D66BF">
              <w:rPr>
                <w:rFonts w:hint="eastAsia"/>
                <w:snapToGrid/>
                <w:color w:val="auto"/>
                <w:sz w:val="24"/>
                <w:szCs w:val="24"/>
                <w:lang w:val="da-DK" w:eastAsia="ja-JP"/>
              </w:rPr>
              <w:t>2008</w:t>
            </w:r>
          </w:p>
        </w:tc>
      </w:tr>
      <w:tr w:rsidR="00D23AF3" w:rsidRPr="006D66BF" w14:paraId="30FFE5AC" w14:textId="77777777" w:rsidTr="00FC3A3D">
        <w:tc>
          <w:tcPr>
            <w:tcW w:w="2835" w:type="dxa"/>
            <w:tcBorders>
              <w:top w:val="single" w:sz="6" w:space="0" w:color="auto"/>
              <w:left w:val="single" w:sz="12" w:space="0" w:color="auto"/>
              <w:bottom w:val="single" w:sz="6" w:space="0" w:color="auto"/>
              <w:right w:val="single" w:sz="6" w:space="0" w:color="auto"/>
            </w:tcBorders>
            <w:vAlign w:val="center"/>
          </w:tcPr>
          <w:p w14:paraId="30FFE5A8" w14:textId="77777777" w:rsidR="00D23AF3" w:rsidRPr="006D66BF" w:rsidRDefault="00D23AF3" w:rsidP="00FC3A3D">
            <w:pPr>
              <w:pStyle w:val="StyleTabletextBlue"/>
              <w:jc w:val="both"/>
              <w:rPr>
                <w:snapToGrid/>
                <w:color w:val="auto"/>
                <w:sz w:val="24"/>
                <w:szCs w:val="24"/>
                <w:lang w:val="da-DK" w:eastAsia="ja-JP"/>
              </w:rPr>
            </w:pPr>
            <w:r w:rsidRPr="006D66BF">
              <w:rPr>
                <w:snapToGrid/>
                <w:color w:val="auto"/>
                <w:sz w:val="24"/>
                <w:szCs w:val="24"/>
                <w:lang w:val="da-DK" w:eastAsia="ja-JP"/>
              </w:rPr>
              <w:t>Melting point</w:t>
            </w:r>
          </w:p>
        </w:tc>
        <w:tc>
          <w:tcPr>
            <w:tcW w:w="3045" w:type="dxa"/>
            <w:tcBorders>
              <w:top w:val="single" w:sz="6" w:space="0" w:color="auto"/>
              <w:left w:val="single" w:sz="6" w:space="0" w:color="auto"/>
              <w:bottom w:val="single" w:sz="6" w:space="0" w:color="auto"/>
              <w:right w:val="single" w:sz="4" w:space="0" w:color="auto"/>
            </w:tcBorders>
            <w:vAlign w:val="center"/>
          </w:tcPr>
          <w:p w14:paraId="30FFE5A9" w14:textId="77777777" w:rsidR="00D23AF3" w:rsidRPr="006D66BF" w:rsidRDefault="00D23AF3" w:rsidP="00FC3A3D">
            <w:pPr>
              <w:pStyle w:val="Tabletext"/>
              <w:jc w:val="both"/>
              <w:rPr>
                <w:snapToGrid/>
                <w:sz w:val="24"/>
                <w:szCs w:val="24"/>
                <w:lang w:val="da-DK" w:eastAsia="ja-JP"/>
              </w:rPr>
            </w:pPr>
            <w:r w:rsidRPr="006D66BF">
              <w:rPr>
                <w:rFonts w:hint="eastAsia"/>
                <w:snapToGrid/>
                <w:sz w:val="24"/>
                <w:szCs w:val="24"/>
                <w:lang w:val="da-DK" w:eastAsia="ja-JP"/>
              </w:rPr>
              <w:t>204</w:t>
            </w:r>
            <w:r w:rsidRPr="006D66BF">
              <w:rPr>
                <w:snapToGrid/>
                <w:sz w:val="24"/>
                <w:szCs w:val="24"/>
                <w:lang w:val="da-DK" w:eastAsia="ja-JP"/>
              </w:rPr>
              <w:t xml:space="preserve"> °C</w:t>
            </w:r>
          </w:p>
        </w:tc>
        <w:tc>
          <w:tcPr>
            <w:tcW w:w="1260" w:type="dxa"/>
            <w:tcBorders>
              <w:top w:val="single" w:sz="6" w:space="0" w:color="auto"/>
              <w:left w:val="single" w:sz="4" w:space="0" w:color="auto"/>
              <w:bottom w:val="single" w:sz="6" w:space="0" w:color="auto"/>
              <w:right w:val="single" w:sz="6" w:space="0" w:color="auto"/>
            </w:tcBorders>
            <w:vAlign w:val="center"/>
          </w:tcPr>
          <w:p w14:paraId="30FFE5AA" w14:textId="77777777" w:rsidR="00D23AF3" w:rsidRPr="006D66BF" w:rsidRDefault="00D23AF3" w:rsidP="00FC3A3D">
            <w:pPr>
              <w:pStyle w:val="Tabletext"/>
              <w:jc w:val="center"/>
              <w:rPr>
                <w:snapToGrid/>
                <w:sz w:val="24"/>
                <w:szCs w:val="24"/>
                <w:lang w:val="da-DK" w:eastAsia="ja-JP"/>
              </w:rPr>
            </w:pPr>
            <w:r w:rsidRPr="006D66BF">
              <w:rPr>
                <w:snapToGrid/>
                <w:sz w:val="24"/>
                <w:szCs w:val="24"/>
                <w:lang w:val="da-DK" w:eastAsia="ja-JP"/>
              </w:rPr>
              <w:t>2</w:t>
            </w:r>
          </w:p>
        </w:tc>
        <w:tc>
          <w:tcPr>
            <w:tcW w:w="2310" w:type="dxa"/>
            <w:tcBorders>
              <w:top w:val="single" w:sz="6" w:space="0" w:color="auto"/>
              <w:left w:val="single" w:sz="6" w:space="0" w:color="auto"/>
              <w:bottom w:val="single" w:sz="6" w:space="0" w:color="auto"/>
              <w:right w:val="single" w:sz="12" w:space="0" w:color="auto"/>
            </w:tcBorders>
            <w:vAlign w:val="center"/>
          </w:tcPr>
          <w:p w14:paraId="30FFE5AB" w14:textId="77777777" w:rsidR="00D23AF3" w:rsidRPr="006D66BF" w:rsidRDefault="00D23AF3" w:rsidP="00FC3A3D">
            <w:pPr>
              <w:pStyle w:val="StyleTabletextBlue"/>
              <w:jc w:val="both"/>
              <w:rPr>
                <w:snapToGrid/>
                <w:color w:val="auto"/>
                <w:sz w:val="24"/>
                <w:szCs w:val="24"/>
                <w:lang w:val="da-DK" w:eastAsia="ja-JP"/>
              </w:rPr>
            </w:pPr>
            <w:r w:rsidRPr="006D66BF">
              <w:rPr>
                <w:snapToGrid/>
                <w:color w:val="auto"/>
                <w:sz w:val="24"/>
                <w:szCs w:val="24"/>
                <w:lang w:val="da-DK" w:eastAsia="ja-JP"/>
              </w:rPr>
              <w:t xml:space="preserve">Lide D.R. (ed), </w:t>
            </w:r>
            <w:r w:rsidRPr="006D66BF">
              <w:rPr>
                <w:rFonts w:hint="eastAsia"/>
                <w:snapToGrid/>
                <w:color w:val="auto"/>
                <w:sz w:val="24"/>
                <w:szCs w:val="24"/>
                <w:lang w:val="da-DK" w:eastAsia="ja-JP"/>
              </w:rPr>
              <w:t>2008</w:t>
            </w:r>
          </w:p>
        </w:tc>
      </w:tr>
      <w:tr w:rsidR="00D23AF3" w:rsidRPr="006D66BF" w14:paraId="30FFE5B1" w14:textId="77777777" w:rsidTr="00FC3A3D">
        <w:tc>
          <w:tcPr>
            <w:tcW w:w="2835" w:type="dxa"/>
            <w:tcBorders>
              <w:top w:val="single" w:sz="6" w:space="0" w:color="auto"/>
              <w:left w:val="single" w:sz="12" w:space="0" w:color="auto"/>
              <w:bottom w:val="single" w:sz="6" w:space="0" w:color="auto"/>
              <w:right w:val="single" w:sz="6" w:space="0" w:color="auto"/>
            </w:tcBorders>
            <w:vAlign w:val="center"/>
          </w:tcPr>
          <w:p w14:paraId="30FFE5AD" w14:textId="77777777" w:rsidR="00D23AF3" w:rsidRPr="006D66BF" w:rsidRDefault="00D23AF3" w:rsidP="00FC3A3D">
            <w:pPr>
              <w:pStyle w:val="StyleTabletextBlue"/>
              <w:jc w:val="both"/>
              <w:rPr>
                <w:snapToGrid/>
                <w:color w:val="auto"/>
                <w:sz w:val="24"/>
                <w:szCs w:val="24"/>
                <w:lang w:val="da-DK" w:eastAsia="ja-JP"/>
              </w:rPr>
            </w:pPr>
            <w:r w:rsidRPr="006D66BF">
              <w:rPr>
                <w:snapToGrid/>
                <w:color w:val="auto"/>
                <w:sz w:val="24"/>
                <w:szCs w:val="24"/>
                <w:lang w:val="da-DK" w:eastAsia="ja-JP"/>
              </w:rPr>
              <w:t>Boiling point</w:t>
            </w:r>
          </w:p>
        </w:tc>
        <w:tc>
          <w:tcPr>
            <w:tcW w:w="3045" w:type="dxa"/>
            <w:tcBorders>
              <w:top w:val="single" w:sz="6" w:space="0" w:color="auto"/>
              <w:left w:val="single" w:sz="6" w:space="0" w:color="auto"/>
              <w:bottom w:val="single" w:sz="6" w:space="0" w:color="auto"/>
              <w:right w:val="single" w:sz="4" w:space="0" w:color="auto"/>
            </w:tcBorders>
            <w:vAlign w:val="center"/>
          </w:tcPr>
          <w:p w14:paraId="30FFE5AE" w14:textId="77777777" w:rsidR="00D23AF3" w:rsidRPr="006D66BF" w:rsidRDefault="00D23AF3" w:rsidP="00FC3A3D">
            <w:pPr>
              <w:pStyle w:val="StyleTabletextBlue"/>
              <w:jc w:val="both"/>
              <w:rPr>
                <w:snapToGrid/>
                <w:color w:val="auto"/>
                <w:sz w:val="24"/>
                <w:szCs w:val="24"/>
                <w:lang w:val="da-DK" w:eastAsia="ja-JP"/>
              </w:rPr>
            </w:pPr>
            <w:r w:rsidRPr="006D66BF">
              <w:rPr>
                <w:rFonts w:hint="eastAsia"/>
                <w:snapToGrid/>
                <w:color w:val="auto"/>
                <w:sz w:val="24"/>
                <w:szCs w:val="24"/>
                <w:lang w:val="da-DK" w:eastAsia="ja-JP"/>
              </w:rPr>
              <w:t>286.7</w:t>
            </w:r>
            <w:r w:rsidRPr="006D66BF">
              <w:rPr>
                <w:snapToGrid/>
                <w:color w:val="auto"/>
                <w:sz w:val="24"/>
                <w:szCs w:val="24"/>
                <w:lang w:val="da-DK" w:eastAsia="ja-JP"/>
              </w:rPr>
              <w:t xml:space="preserve"> °C</w:t>
            </w:r>
            <w:r w:rsidRPr="006D66BF">
              <w:rPr>
                <w:snapToGrid/>
                <w:color w:val="auto"/>
                <w:sz w:val="24"/>
                <w:szCs w:val="24"/>
                <w:vertAlign w:val="superscript"/>
                <w:lang w:val="da-DK" w:eastAsia="ja-JP"/>
              </w:rPr>
              <w:t>1)</w:t>
            </w:r>
          </w:p>
        </w:tc>
        <w:tc>
          <w:tcPr>
            <w:tcW w:w="1260" w:type="dxa"/>
            <w:tcBorders>
              <w:top w:val="single" w:sz="6" w:space="0" w:color="auto"/>
              <w:left w:val="single" w:sz="4" w:space="0" w:color="auto"/>
              <w:bottom w:val="single" w:sz="6" w:space="0" w:color="auto"/>
              <w:right w:val="single" w:sz="6" w:space="0" w:color="auto"/>
            </w:tcBorders>
            <w:vAlign w:val="center"/>
          </w:tcPr>
          <w:p w14:paraId="30FFE5AF" w14:textId="77777777" w:rsidR="00D23AF3" w:rsidRPr="006D66BF" w:rsidRDefault="00D23AF3" w:rsidP="00FC3A3D">
            <w:pPr>
              <w:jc w:val="center"/>
              <w:rPr>
                <w:lang w:val="da-DK"/>
              </w:rPr>
            </w:pPr>
            <w:r w:rsidRPr="006D66BF">
              <w:rPr>
                <w:rFonts w:hint="eastAsia"/>
                <w:lang w:val="da-DK"/>
              </w:rPr>
              <w:t>1</w:t>
            </w:r>
          </w:p>
        </w:tc>
        <w:tc>
          <w:tcPr>
            <w:tcW w:w="2310" w:type="dxa"/>
            <w:tcBorders>
              <w:top w:val="single" w:sz="6" w:space="0" w:color="auto"/>
              <w:left w:val="single" w:sz="6" w:space="0" w:color="auto"/>
              <w:bottom w:val="single" w:sz="6" w:space="0" w:color="auto"/>
              <w:right w:val="single" w:sz="12" w:space="0" w:color="auto"/>
            </w:tcBorders>
            <w:vAlign w:val="center"/>
          </w:tcPr>
          <w:p w14:paraId="30FFE5B0" w14:textId="77777777" w:rsidR="00D23AF3" w:rsidRPr="006D66BF" w:rsidRDefault="00D23AF3" w:rsidP="00FC3A3D">
            <w:pPr>
              <w:pStyle w:val="StyleTabletextBlue"/>
              <w:jc w:val="both"/>
              <w:rPr>
                <w:snapToGrid/>
                <w:color w:val="auto"/>
                <w:sz w:val="24"/>
                <w:szCs w:val="24"/>
                <w:lang w:val="da-DK" w:eastAsia="ja-JP"/>
              </w:rPr>
            </w:pPr>
            <w:r w:rsidRPr="006D66BF">
              <w:rPr>
                <w:rFonts w:hint="eastAsia"/>
                <w:snapToGrid/>
                <w:color w:val="auto"/>
                <w:sz w:val="24"/>
                <w:szCs w:val="24"/>
                <w:lang w:val="da-DK" w:eastAsia="ja-JP"/>
              </w:rPr>
              <w:t>CERI</w:t>
            </w:r>
            <w:r w:rsidRPr="006D66BF">
              <w:rPr>
                <w:snapToGrid/>
                <w:color w:val="auto"/>
                <w:sz w:val="24"/>
                <w:szCs w:val="24"/>
                <w:lang w:val="da-DK" w:eastAsia="ja-JP"/>
              </w:rPr>
              <w:t xml:space="preserve">, </w:t>
            </w:r>
            <w:r w:rsidRPr="006D66BF">
              <w:rPr>
                <w:rFonts w:hint="eastAsia"/>
                <w:snapToGrid/>
                <w:color w:val="auto"/>
                <w:sz w:val="24"/>
                <w:szCs w:val="24"/>
                <w:lang w:val="da-DK" w:eastAsia="ja-JP"/>
              </w:rPr>
              <w:t>2010a</w:t>
            </w:r>
          </w:p>
        </w:tc>
      </w:tr>
      <w:tr w:rsidR="00D23AF3" w:rsidRPr="006D66BF" w14:paraId="30FFE5B6" w14:textId="77777777" w:rsidTr="00FC3A3D">
        <w:tc>
          <w:tcPr>
            <w:tcW w:w="2835" w:type="dxa"/>
            <w:tcBorders>
              <w:top w:val="single" w:sz="6" w:space="0" w:color="auto"/>
              <w:left w:val="single" w:sz="12" w:space="0" w:color="auto"/>
              <w:bottom w:val="single" w:sz="6" w:space="0" w:color="auto"/>
              <w:right w:val="single" w:sz="6" w:space="0" w:color="auto"/>
            </w:tcBorders>
            <w:vAlign w:val="center"/>
          </w:tcPr>
          <w:p w14:paraId="30FFE5B2" w14:textId="77777777" w:rsidR="00D23AF3" w:rsidRPr="006D66BF" w:rsidRDefault="00D23AF3" w:rsidP="00FC3A3D">
            <w:pPr>
              <w:pStyle w:val="StyleTabletextBlue"/>
              <w:jc w:val="both"/>
              <w:rPr>
                <w:snapToGrid/>
                <w:color w:val="auto"/>
                <w:sz w:val="24"/>
                <w:szCs w:val="24"/>
                <w:lang w:val="da-DK" w:eastAsia="ja-JP"/>
              </w:rPr>
            </w:pPr>
            <w:r w:rsidRPr="006D66BF">
              <w:rPr>
                <w:snapToGrid/>
                <w:color w:val="auto"/>
                <w:sz w:val="24"/>
                <w:szCs w:val="24"/>
                <w:lang w:val="da-DK" w:eastAsia="ja-JP"/>
              </w:rPr>
              <w:t>Density</w:t>
            </w:r>
          </w:p>
        </w:tc>
        <w:tc>
          <w:tcPr>
            <w:tcW w:w="3045" w:type="dxa"/>
            <w:tcBorders>
              <w:top w:val="single" w:sz="6" w:space="0" w:color="auto"/>
              <w:left w:val="single" w:sz="6" w:space="0" w:color="auto"/>
              <w:bottom w:val="single" w:sz="6" w:space="0" w:color="auto"/>
              <w:right w:val="single" w:sz="4" w:space="0" w:color="auto"/>
            </w:tcBorders>
            <w:vAlign w:val="center"/>
          </w:tcPr>
          <w:p w14:paraId="30FFE5B3" w14:textId="77777777" w:rsidR="00D23AF3" w:rsidRPr="006D66BF" w:rsidDel="001E1A06" w:rsidRDefault="00D23AF3" w:rsidP="00FC3A3D">
            <w:pPr>
              <w:pStyle w:val="Tabletext"/>
              <w:jc w:val="both"/>
              <w:rPr>
                <w:snapToGrid/>
                <w:sz w:val="24"/>
                <w:szCs w:val="24"/>
                <w:lang w:val="da-DK" w:eastAsia="ja-JP"/>
              </w:rPr>
            </w:pPr>
            <w:r w:rsidRPr="006D66BF">
              <w:rPr>
                <w:rFonts w:hint="eastAsia"/>
                <w:snapToGrid/>
                <w:sz w:val="24"/>
                <w:szCs w:val="24"/>
                <w:lang w:val="da-DK" w:eastAsia="ja-JP"/>
              </w:rPr>
              <w:t>1.236</w:t>
            </w:r>
            <w:r w:rsidRPr="006D66BF">
              <w:rPr>
                <w:snapToGrid/>
                <w:sz w:val="24"/>
                <w:szCs w:val="24"/>
                <w:lang w:val="da-DK" w:eastAsia="ja-JP"/>
              </w:rPr>
              <w:t xml:space="preserve"> g/cm</w:t>
            </w:r>
            <w:r w:rsidRPr="006D66BF">
              <w:rPr>
                <w:snapToGrid/>
                <w:sz w:val="24"/>
                <w:szCs w:val="24"/>
                <w:vertAlign w:val="superscript"/>
                <w:lang w:val="da-DK" w:eastAsia="ja-JP"/>
              </w:rPr>
              <w:t>3</w:t>
            </w:r>
            <w:r w:rsidRPr="006D66BF">
              <w:rPr>
                <w:snapToGrid/>
                <w:sz w:val="24"/>
                <w:szCs w:val="24"/>
                <w:lang w:val="da-DK" w:eastAsia="ja-JP"/>
              </w:rPr>
              <w:t xml:space="preserve"> at 2</w:t>
            </w:r>
            <w:r w:rsidRPr="006D66BF">
              <w:rPr>
                <w:rFonts w:hint="eastAsia"/>
                <w:snapToGrid/>
                <w:sz w:val="24"/>
                <w:szCs w:val="24"/>
                <w:lang w:val="da-DK" w:eastAsia="ja-JP"/>
              </w:rPr>
              <w:t>5</w:t>
            </w:r>
            <w:r w:rsidRPr="006D66BF">
              <w:rPr>
                <w:snapToGrid/>
                <w:sz w:val="24"/>
                <w:szCs w:val="24"/>
                <w:lang w:val="da-DK" w:eastAsia="ja-JP"/>
              </w:rPr>
              <w:t xml:space="preserve"> °C</w:t>
            </w:r>
          </w:p>
        </w:tc>
        <w:tc>
          <w:tcPr>
            <w:tcW w:w="1260" w:type="dxa"/>
            <w:tcBorders>
              <w:top w:val="single" w:sz="6" w:space="0" w:color="auto"/>
              <w:left w:val="single" w:sz="4" w:space="0" w:color="auto"/>
              <w:bottom w:val="single" w:sz="6" w:space="0" w:color="auto"/>
              <w:right w:val="single" w:sz="6" w:space="0" w:color="auto"/>
            </w:tcBorders>
            <w:vAlign w:val="center"/>
          </w:tcPr>
          <w:p w14:paraId="30FFE5B4" w14:textId="77777777" w:rsidR="00D23AF3" w:rsidRPr="006D66BF" w:rsidRDefault="00D23AF3" w:rsidP="00FC3A3D">
            <w:pPr>
              <w:jc w:val="center"/>
              <w:rPr>
                <w:lang w:val="da-DK"/>
              </w:rPr>
            </w:pPr>
            <w:r w:rsidRPr="006D66BF">
              <w:rPr>
                <w:rFonts w:hint="eastAsia"/>
                <w:lang w:val="da-DK"/>
              </w:rPr>
              <w:t>2</w:t>
            </w:r>
          </w:p>
        </w:tc>
        <w:tc>
          <w:tcPr>
            <w:tcW w:w="2310" w:type="dxa"/>
            <w:tcBorders>
              <w:top w:val="single" w:sz="6" w:space="0" w:color="auto"/>
              <w:left w:val="single" w:sz="6" w:space="0" w:color="auto"/>
              <w:bottom w:val="single" w:sz="6" w:space="0" w:color="auto"/>
              <w:right w:val="single" w:sz="12" w:space="0" w:color="auto"/>
            </w:tcBorders>
            <w:vAlign w:val="center"/>
          </w:tcPr>
          <w:p w14:paraId="30FFE5B5" w14:textId="77777777" w:rsidR="00D23AF3" w:rsidRPr="006D66BF" w:rsidDel="001E1A06" w:rsidRDefault="00D23AF3" w:rsidP="00FC3A3D">
            <w:pPr>
              <w:pStyle w:val="StyleTabletextBlue"/>
              <w:jc w:val="both"/>
              <w:rPr>
                <w:snapToGrid/>
                <w:color w:val="auto"/>
                <w:sz w:val="24"/>
                <w:szCs w:val="24"/>
                <w:lang w:val="da-DK" w:eastAsia="ja-JP"/>
              </w:rPr>
            </w:pPr>
            <w:r w:rsidRPr="006D66BF">
              <w:rPr>
                <w:rFonts w:hint="eastAsia"/>
                <w:snapToGrid/>
                <w:color w:val="auto"/>
                <w:sz w:val="24"/>
                <w:szCs w:val="24"/>
                <w:lang w:val="da-DK" w:eastAsia="ja-JP"/>
              </w:rPr>
              <w:t>CITI</w:t>
            </w:r>
            <w:r w:rsidRPr="006D66BF">
              <w:rPr>
                <w:snapToGrid/>
                <w:color w:val="auto"/>
                <w:sz w:val="24"/>
                <w:szCs w:val="24"/>
                <w:lang w:val="da-DK" w:eastAsia="ja-JP"/>
              </w:rPr>
              <w:t xml:space="preserve">, </w:t>
            </w:r>
            <w:r w:rsidRPr="006D66BF">
              <w:rPr>
                <w:rFonts w:hint="eastAsia"/>
                <w:snapToGrid/>
                <w:color w:val="auto"/>
                <w:sz w:val="24"/>
                <w:szCs w:val="24"/>
                <w:lang w:val="da-DK" w:eastAsia="ja-JP"/>
              </w:rPr>
              <w:t>1993a</w:t>
            </w:r>
          </w:p>
        </w:tc>
      </w:tr>
      <w:tr w:rsidR="00D23AF3" w:rsidRPr="006D66BF" w14:paraId="30FFE5BB" w14:textId="77777777" w:rsidTr="00FC3A3D">
        <w:tc>
          <w:tcPr>
            <w:tcW w:w="2835" w:type="dxa"/>
            <w:tcBorders>
              <w:top w:val="single" w:sz="6" w:space="0" w:color="auto"/>
              <w:left w:val="single" w:sz="12" w:space="0" w:color="auto"/>
              <w:bottom w:val="single" w:sz="6" w:space="0" w:color="auto"/>
              <w:right w:val="single" w:sz="6" w:space="0" w:color="auto"/>
            </w:tcBorders>
            <w:vAlign w:val="center"/>
          </w:tcPr>
          <w:p w14:paraId="30FFE5B7" w14:textId="77777777" w:rsidR="00D23AF3" w:rsidRPr="006D66BF" w:rsidRDefault="00D23AF3" w:rsidP="00FC3A3D">
            <w:pPr>
              <w:pStyle w:val="StyleTabletextBlue"/>
              <w:jc w:val="both"/>
              <w:rPr>
                <w:snapToGrid/>
                <w:color w:val="auto"/>
                <w:sz w:val="24"/>
                <w:szCs w:val="24"/>
                <w:lang w:val="da-DK" w:eastAsia="ja-JP"/>
              </w:rPr>
            </w:pPr>
            <w:r w:rsidRPr="006D66BF">
              <w:rPr>
                <w:snapToGrid/>
                <w:color w:val="auto"/>
                <w:sz w:val="24"/>
                <w:szCs w:val="24"/>
                <w:lang w:val="da-DK" w:eastAsia="ja-JP"/>
              </w:rPr>
              <w:t>Vapour pressure</w:t>
            </w:r>
          </w:p>
        </w:tc>
        <w:tc>
          <w:tcPr>
            <w:tcW w:w="3045" w:type="dxa"/>
            <w:tcBorders>
              <w:top w:val="single" w:sz="6" w:space="0" w:color="auto"/>
              <w:left w:val="single" w:sz="6" w:space="0" w:color="auto"/>
              <w:bottom w:val="single" w:sz="6" w:space="0" w:color="auto"/>
              <w:right w:val="single" w:sz="4" w:space="0" w:color="auto"/>
            </w:tcBorders>
            <w:vAlign w:val="center"/>
          </w:tcPr>
          <w:p w14:paraId="30FFE5B8" w14:textId="77777777" w:rsidR="00D23AF3" w:rsidRPr="006D66BF" w:rsidRDefault="00D23AF3" w:rsidP="00FC3A3D">
            <w:pPr>
              <w:pStyle w:val="StyleTabletextBlue"/>
              <w:jc w:val="both"/>
              <w:rPr>
                <w:snapToGrid/>
                <w:color w:val="auto"/>
                <w:sz w:val="24"/>
                <w:szCs w:val="24"/>
                <w:lang w:val="da-DK" w:eastAsia="ja-JP"/>
              </w:rPr>
            </w:pPr>
            <w:proofErr w:type="gramStart"/>
            <w:r w:rsidRPr="006D66BF">
              <w:rPr>
                <w:rFonts w:hint="eastAsia"/>
                <w:snapToGrid/>
                <w:color w:val="auto"/>
                <w:sz w:val="24"/>
                <w:szCs w:val="24"/>
                <w:lang w:val="da-DK" w:eastAsia="ja-JP"/>
              </w:rPr>
              <w:t>1.82</w:t>
            </w:r>
            <w:proofErr w:type="gramEnd"/>
            <w:r w:rsidRPr="006D66BF">
              <w:rPr>
                <w:rFonts w:hint="eastAsia"/>
                <w:snapToGrid/>
                <w:color w:val="auto"/>
                <w:sz w:val="24"/>
                <w:szCs w:val="24"/>
                <w:lang w:val="da-DK" w:eastAsia="ja-JP"/>
              </w:rPr>
              <w:t xml:space="preserve"> x 10</w:t>
            </w:r>
            <w:r w:rsidRPr="006D66BF">
              <w:rPr>
                <w:rFonts w:hint="eastAsia"/>
                <w:snapToGrid/>
                <w:color w:val="auto"/>
                <w:sz w:val="24"/>
                <w:szCs w:val="24"/>
                <w:vertAlign w:val="superscript"/>
                <w:lang w:val="da-DK" w:eastAsia="ja-JP"/>
              </w:rPr>
              <w:t>-5</w:t>
            </w:r>
            <w:r w:rsidRPr="006D66BF">
              <w:rPr>
                <w:snapToGrid/>
                <w:color w:val="auto"/>
                <w:sz w:val="24"/>
                <w:szCs w:val="24"/>
                <w:lang w:val="da-DK" w:eastAsia="ja-JP"/>
              </w:rPr>
              <w:t xml:space="preserve"> Pa at 25 °C</w:t>
            </w:r>
            <w:r w:rsidRPr="006D66BF">
              <w:rPr>
                <w:rFonts w:hint="eastAsia"/>
                <w:snapToGrid/>
                <w:color w:val="auto"/>
                <w:sz w:val="24"/>
                <w:szCs w:val="24"/>
                <w:vertAlign w:val="superscript"/>
                <w:lang w:val="da-DK" w:eastAsia="ja-JP"/>
              </w:rPr>
              <w:t>2</w:t>
            </w:r>
            <w:r w:rsidRPr="006D66BF">
              <w:rPr>
                <w:snapToGrid/>
                <w:color w:val="auto"/>
                <w:sz w:val="24"/>
                <w:szCs w:val="24"/>
                <w:vertAlign w:val="superscript"/>
                <w:lang w:val="da-DK" w:eastAsia="ja-JP"/>
              </w:rPr>
              <w:t>)</w:t>
            </w:r>
          </w:p>
        </w:tc>
        <w:tc>
          <w:tcPr>
            <w:tcW w:w="1260" w:type="dxa"/>
            <w:tcBorders>
              <w:top w:val="single" w:sz="6" w:space="0" w:color="auto"/>
              <w:left w:val="single" w:sz="4" w:space="0" w:color="auto"/>
              <w:bottom w:val="single" w:sz="6" w:space="0" w:color="auto"/>
              <w:right w:val="single" w:sz="6" w:space="0" w:color="auto"/>
            </w:tcBorders>
            <w:vAlign w:val="center"/>
          </w:tcPr>
          <w:p w14:paraId="30FFE5B9" w14:textId="77777777" w:rsidR="00D23AF3" w:rsidRPr="006D66BF" w:rsidRDefault="00D23AF3" w:rsidP="00FC3A3D">
            <w:pPr>
              <w:jc w:val="center"/>
              <w:rPr>
                <w:lang w:val="da-DK"/>
              </w:rPr>
            </w:pPr>
            <w:r w:rsidRPr="006D66BF">
              <w:rPr>
                <w:rFonts w:hint="eastAsia"/>
                <w:lang w:val="da-DK"/>
              </w:rPr>
              <w:t>1</w:t>
            </w:r>
          </w:p>
        </w:tc>
        <w:tc>
          <w:tcPr>
            <w:tcW w:w="2310" w:type="dxa"/>
            <w:tcBorders>
              <w:top w:val="single" w:sz="6" w:space="0" w:color="auto"/>
              <w:left w:val="single" w:sz="6" w:space="0" w:color="auto"/>
              <w:bottom w:val="single" w:sz="6" w:space="0" w:color="auto"/>
              <w:right w:val="single" w:sz="12" w:space="0" w:color="auto"/>
            </w:tcBorders>
            <w:vAlign w:val="center"/>
          </w:tcPr>
          <w:p w14:paraId="30FFE5BA" w14:textId="77777777" w:rsidR="00D23AF3" w:rsidRPr="006D66BF" w:rsidRDefault="00D23AF3" w:rsidP="00FC3A3D">
            <w:pPr>
              <w:pStyle w:val="StyleTabletextBlue"/>
              <w:jc w:val="both"/>
              <w:rPr>
                <w:snapToGrid/>
                <w:color w:val="auto"/>
                <w:sz w:val="24"/>
                <w:szCs w:val="24"/>
                <w:lang w:val="da-DK" w:eastAsia="ja-JP"/>
              </w:rPr>
            </w:pPr>
            <w:r w:rsidRPr="006D66BF">
              <w:rPr>
                <w:rFonts w:hint="eastAsia"/>
                <w:snapToGrid/>
                <w:color w:val="auto"/>
                <w:sz w:val="24"/>
                <w:szCs w:val="24"/>
                <w:lang w:val="da-DK" w:eastAsia="ja-JP"/>
              </w:rPr>
              <w:t>CERI</w:t>
            </w:r>
            <w:r w:rsidRPr="006D66BF">
              <w:rPr>
                <w:snapToGrid/>
                <w:color w:val="auto"/>
                <w:sz w:val="24"/>
                <w:szCs w:val="24"/>
                <w:lang w:val="da-DK" w:eastAsia="ja-JP"/>
              </w:rPr>
              <w:t xml:space="preserve">, </w:t>
            </w:r>
            <w:r w:rsidRPr="006D66BF">
              <w:rPr>
                <w:rFonts w:hint="eastAsia"/>
                <w:snapToGrid/>
                <w:color w:val="auto"/>
                <w:sz w:val="24"/>
                <w:szCs w:val="24"/>
                <w:lang w:val="da-DK" w:eastAsia="ja-JP"/>
              </w:rPr>
              <w:t>2011b</w:t>
            </w:r>
          </w:p>
        </w:tc>
      </w:tr>
      <w:tr w:rsidR="00D23AF3" w:rsidRPr="006D66BF" w14:paraId="30FFE5C0" w14:textId="77777777" w:rsidTr="00FC3A3D">
        <w:tc>
          <w:tcPr>
            <w:tcW w:w="2835" w:type="dxa"/>
            <w:tcBorders>
              <w:top w:val="single" w:sz="6" w:space="0" w:color="auto"/>
              <w:left w:val="single" w:sz="12" w:space="0" w:color="auto"/>
              <w:bottom w:val="single" w:sz="6" w:space="0" w:color="auto"/>
              <w:right w:val="single" w:sz="6" w:space="0" w:color="auto"/>
            </w:tcBorders>
            <w:vAlign w:val="center"/>
          </w:tcPr>
          <w:p w14:paraId="30FFE5BC" w14:textId="77777777" w:rsidR="00D23AF3" w:rsidRPr="006D66BF" w:rsidRDefault="00D23AF3" w:rsidP="00FC3A3D">
            <w:pPr>
              <w:pStyle w:val="StyleTabletextBlue"/>
              <w:jc w:val="both"/>
              <w:rPr>
                <w:snapToGrid/>
                <w:color w:val="auto"/>
                <w:sz w:val="24"/>
                <w:szCs w:val="24"/>
                <w:lang w:val="da-DK" w:eastAsia="ja-JP"/>
              </w:rPr>
            </w:pPr>
            <w:r w:rsidRPr="006D66BF">
              <w:rPr>
                <w:snapToGrid/>
                <w:color w:val="auto"/>
                <w:sz w:val="24"/>
                <w:szCs w:val="24"/>
                <w:lang w:val="da-DK" w:eastAsia="ja-JP"/>
              </w:rPr>
              <w:t>Water solubility</w:t>
            </w:r>
          </w:p>
        </w:tc>
        <w:tc>
          <w:tcPr>
            <w:tcW w:w="3045" w:type="dxa"/>
            <w:tcBorders>
              <w:top w:val="single" w:sz="6" w:space="0" w:color="auto"/>
              <w:left w:val="single" w:sz="6" w:space="0" w:color="auto"/>
              <w:bottom w:val="single" w:sz="6" w:space="0" w:color="auto"/>
              <w:right w:val="single" w:sz="4" w:space="0" w:color="auto"/>
            </w:tcBorders>
            <w:vAlign w:val="center"/>
          </w:tcPr>
          <w:p w14:paraId="30FFE5BD" w14:textId="77777777" w:rsidR="00D23AF3" w:rsidRPr="006D66BF" w:rsidRDefault="00D23AF3" w:rsidP="00FC3A3D">
            <w:pPr>
              <w:pStyle w:val="Tabletext"/>
              <w:jc w:val="both"/>
              <w:rPr>
                <w:snapToGrid/>
                <w:sz w:val="24"/>
                <w:szCs w:val="24"/>
                <w:lang w:eastAsia="ja-JP"/>
              </w:rPr>
            </w:pPr>
            <w:r w:rsidRPr="006D66BF">
              <w:rPr>
                <w:szCs w:val="21"/>
                <w:lang w:val="pt-BR"/>
              </w:rPr>
              <w:t>≥</w:t>
            </w:r>
            <w:r w:rsidRPr="006D66BF">
              <w:rPr>
                <w:rFonts w:hint="eastAsia"/>
                <w:szCs w:val="21"/>
                <w:lang w:val="pt-BR" w:eastAsia="ja-JP"/>
              </w:rPr>
              <w:t xml:space="preserve"> </w:t>
            </w:r>
            <w:r w:rsidRPr="006D66BF">
              <w:rPr>
                <w:rFonts w:hint="eastAsia"/>
                <w:snapToGrid/>
                <w:sz w:val="24"/>
                <w:szCs w:val="24"/>
                <w:lang w:val="da-DK" w:eastAsia="ja-JP"/>
              </w:rPr>
              <w:t>300</w:t>
            </w:r>
            <w:r w:rsidRPr="006D66BF">
              <w:rPr>
                <w:snapToGrid/>
                <w:sz w:val="24"/>
                <w:szCs w:val="24"/>
                <w:lang w:val="da-DK" w:eastAsia="ja-JP"/>
              </w:rPr>
              <w:t xml:space="preserve"> </w:t>
            </w:r>
            <w:proofErr w:type="gramStart"/>
            <w:r w:rsidRPr="006D66BF">
              <w:rPr>
                <w:snapToGrid/>
                <w:sz w:val="24"/>
                <w:szCs w:val="24"/>
                <w:lang w:val="da-DK" w:eastAsia="ja-JP"/>
              </w:rPr>
              <w:t>g/L</w:t>
            </w:r>
            <w:proofErr w:type="gramEnd"/>
            <w:r w:rsidRPr="006D66BF">
              <w:rPr>
                <w:snapToGrid/>
                <w:sz w:val="24"/>
                <w:szCs w:val="24"/>
                <w:lang w:val="da-DK" w:eastAsia="ja-JP"/>
              </w:rPr>
              <w:t xml:space="preserve"> at 2</w:t>
            </w:r>
            <w:r w:rsidRPr="006D66BF">
              <w:rPr>
                <w:rFonts w:hint="eastAsia"/>
                <w:snapToGrid/>
                <w:sz w:val="24"/>
                <w:szCs w:val="24"/>
                <w:lang w:val="da-DK" w:eastAsia="ja-JP"/>
              </w:rPr>
              <w:t>0</w:t>
            </w:r>
            <w:r w:rsidRPr="006D66BF">
              <w:rPr>
                <w:snapToGrid/>
                <w:sz w:val="24"/>
                <w:szCs w:val="24"/>
                <w:lang w:val="da-DK" w:eastAsia="ja-JP"/>
              </w:rPr>
              <w:t xml:space="preserve"> °C</w:t>
            </w:r>
            <w:r w:rsidRPr="006D66BF">
              <w:rPr>
                <w:rFonts w:hint="eastAsia"/>
                <w:sz w:val="24"/>
                <w:szCs w:val="24"/>
                <w:vertAlign w:val="superscript"/>
                <w:lang w:val="da-DK" w:eastAsia="ja-JP"/>
              </w:rPr>
              <w:t>3</w:t>
            </w:r>
            <w:r w:rsidRPr="006D66BF">
              <w:rPr>
                <w:sz w:val="24"/>
                <w:szCs w:val="24"/>
                <w:vertAlign w:val="superscript"/>
                <w:lang w:val="da-DK"/>
              </w:rPr>
              <w:t>)</w:t>
            </w:r>
          </w:p>
        </w:tc>
        <w:tc>
          <w:tcPr>
            <w:tcW w:w="1260" w:type="dxa"/>
            <w:tcBorders>
              <w:top w:val="single" w:sz="6" w:space="0" w:color="auto"/>
              <w:left w:val="single" w:sz="4" w:space="0" w:color="auto"/>
              <w:bottom w:val="single" w:sz="6" w:space="0" w:color="auto"/>
              <w:right w:val="single" w:sz="6" w:space="0" w:color="auto"/>
            </w:tcBorders>
            <w:vAlign w:val="center"/>
          </w:tcPr>
          <w:p w14:paraId="30FFE5BE" w14:textId="77777777" w:rsidR="00D23AF3" w:rsidRPr="006D66BF" w:rsidRDefault="00D23AF3" w:rsidP="00FC3A3D">
            <w:pPr>
              <w:jc w:val="center"/>
              <w:rPr>
                <w:lang w:val="da-DK"/>
              </w:rPr>
            </w:pPr>
            <w:r w:rsidRPr="006D66BF">
              <w:rPr>
                <w:rFonts w:hint="eastAsia"/>
                <w:lang w:val="da-DK"/>
              </w:rPr>
              <w:t>1</w:t>
            </w:r>
          </w:p>
        </w:tc>
        <w:tc>
          <w:tcPr>
            <w:tcW w:w="2310" w:type="dxa"/>
            <w:tcBorders>
              <w:top w:val="single" w:sz="6" w:space="0" w:color="auto"/>
              <w:left w:val="single" w:sz="6" w:space="0" w:color="auto"/>
              <w:right w:val="single" w:sz="12" w:space="0" w:color="auto"/>
            </w:tcBorders>
            <w:vAlign w:val="center"/>
          </w:tcPr>
          <w:p w14:paraId="30FFE5BF" w14:textId="77777777" w:rsidR="00D23AF3" w:rsidRPr="006D66BF" w:rsidRDefault="00D23AF3" w:rsidP="00FC3A3D">
            <w:pPr>
              <w:pStyle w:val="StyleTabletextBlue"/>
              <w:jc w:val="both"/>
              <w:rPr>
                <w:snapToGrid/>
                <w:color w:val="auto"/>
                <w:sz w:val="24"/>
                <w:szCs w:val="24"/>
                <w:lang w:val="da-DK" w:eastAsia="ja-JP"/>
              </w:rPr>
            </w:pPr>
            <w:r w:rsidRPr="006D66BF">
              <w:rPr>
                <w:rFonts w:hint="eastAsia"/>
                <w:snapToGrid/>
                <w:color w:val="auto"/>
                <w:sz w:val="24"/>
                <w:szCs w:val="24"/>
                <w:lang w:val="da-DK" w:eastAsia="ja-JP"/>
              </w:rPr>
              <w:t>CERI</w:t>
            </w:r>
            <w:r w:rsidRPr="006D66BF">
              <w:rPr>
                <w:snapToGrid/>
                <w:color w:val="auto"/>
                <w:sz w:val="24"/>
                <w:szCs w:val="24"/>
                <w:lang w:val="da-DK" w:eastAsia="ja-JP"/>
              </w:rPr>
              <w:t xml:space="preserve">, </w:t>
            </w:r>
            <w:r w:rsidRPr="006D66BF">
              <w:rPr>
                <w:rFonts w:hint="eastAsia"/>
                <w:snapToGrid/>
                <w:color w:val="auto"/>
                <w:sz w:val="24"/>
                <w:szCs w:val="24"/>
                <w:lang w:val="da-DK" w:eastAsia="ja-JP"/>
              </w:rPr>
              <w:t>2010b</w:t>
            </w:r>
          </w:p>
        </w:tc>
      </w:tr>
      <w:tr w:rsidR="00D23AF3" w:rsidRPr="006D66BF" w14:paraId="30FFE5C5" w14:textId="77777777" w:rsidTr="00FC3A3D">
        <w:tc>
          <w:tcPr>
            <w:tcW w:w="2835" w:type="dxa"/>
            <w:tcBorders>
              <w:top w:val="single" w:sz="6" w:space="0" w:color="auto"/>
              <w:left w:val="single" w:sz="12" w:space="0" w:color="auto"/>
              <w:bottom w:val="single" w:sz="6" w:space="0" w:color="auto"/>
              <w:right w:val="single" w:sz="6" w:space="0" w:color="auto"/>
            </w:tcBorders>
            <w:vAlign w:val="center"/>
          </w:tcPr>
          <w:p w14:paraId="30FFE5C1" w14:textId="77777777" w:rsidR="00D23AF3" w:rsidRPr="006D66BF" w:rsidRDefault="00D23AF3" w:rsidP="00FC3A3D">
            <w:pPr>
              <w:pStyle w:val="StyleTabletextBlue"/>
              <w:jc w:val="both"/>
              <w:rPr>
                <w:snapToGrid/>
                <w:color w:val="auto"/>
                <w:sz w:val="24"/>
                <w:szCs w:val="24"/>
                <w:lang w:val="da-DK" w:eastAsia="ja-JP"/>
              </w:rPr>
            </w:pPr>
            <w:r w:rsidRPr="006D66BF">
              <w:rPr>
                <w:snapToGrid/>
                <w:color w:val="auto"/>
                <w:sz w:val="24"/>
                <w:szCs w:val="24"/>
                <w:lang w:val="da-DK" w:eastAsia="ja-JP"/>
              </w:rPr>
              <w:t xml:space="preserve">Partition coefficient between octanol and water </w:t>
            </w:r>
          </w:p>
        </w:tc>
        <w:tc>
          <w:tcPr>
            <w:tcW w:w="3045" w:type="dxa"/>
            <w:tcBorders>
              <w:top w:val="single" w:sz="6" w:space="0" w:color="auto"/>
              <w:left w:val="single" w:sz="6" w:space="0" w:color="auto"/>
              <w:bottom w:val="single" w:sz="6" w:space="0" w:color="auto"/>
              <w:right w:val="single" w:sz="4" w:space="0" w:color="auto"/>
            </w:tcBorders>
            <w:vAlign w:val="center"/>
          </w:tcPr>
          <w:p w14:paraId="30FFE5C2" w14:textId="77777777" w:rsidR="00D23AF3" w:rsidRPr="006D66BF" w:rsidRDefault="00D23AF3" w:rsidP="00FC3A3D">
            <w:pPr>
              <w:pStyle w:val="Tabletext"/>
              <w:jc w:val="both"/>
              <w:rPr>
                <w:snapToGrid/>
                <w:sz w:val="24"/>
                <w:szCs w:val="24"/>
                <w:lang w:val="da-DK" w:eastAsia="ja-JP"/>
              </w:rPr>
            </w:pPr>
            <w:r w:rsidRPr="006D66BF">
              <w:rPr>
                <w:snapToGrid/>
                <w:sz w:val="24"/>
                <w:szCs w:val="24"/>
                <w:lang w:val="da-DK" w:eastAsia="ja-JP"/>
              </w:rPr>
              <w:t>log K</w:t>
            </w:r>
            <w:r w:rsidRPr="006D66BF">
              <w:rPr>
                <w:snapToGrid/>
                <w:sz w:val="24"/>
                <w:szCs w:val="24"/>
                <w:vertAlign w:val="subscript"/>
                <w:lang w:val="da-DK" w:eastAsia="ja-JP"/>
              </w:rPr>
              <w:t>ow</w:t>
            </w:r>
            <w:r w:rsidRPr="006D66BF">
              <w:rPr>
                <w:snapToGrid/>
                <w:sz w:val="24"/>
                <w:szCs w:val="24"/>
                <w:lang w:val="da-DK" w:eastAsia="ja-JP"/>
              </w:rPr>
              <w:t xml:space="preserve"> = </w:t>
            </w:r>
            <w:r w:rsidRPr="006D66BF">
              <w:rPr>
                <w:rFonts w:hint="eastAsia"/>
                <w:snapToGrid/>
                <w:sz w:val="24"/>
                <w:szCs w:val="24"/>
                <w:lang w:val="da-DK" w:eastAsia="ja-JP"/>
              </w:rPr>
              <w:t>-</w:t>
            </w:r>
            <w:proofErr w:type="gramStart"/>
            <w:r w:rsidRPr="006D66BF">
              <w:rPr>
                <w:rFonts w:hint="eastAsia"/>
                <w:snapToGrid/>
                <w:sz w:val="24"/>
                <w:szCs w:val="24"/>
                <w:lang w:val="da-DK" w:eastAsia="ja-JP"/>
              </w:rPr>
              <w:t>0.95</w:t>
            </w:r>
            <w:proofErr w:type="gramEnd"/>
            <w:r w:rsidRPr="006D66BF">
              <w:rPr>
                <w:rFonts w:hint="eastAsia"/>
                <w:snapToGrid/>
                <w:sz w:val="24"/>
                <w:szCs w:val="24"/>
                <w:lang w:val="da-DK" w:eastAsia="ja-JP"/>
              </w:rPr>
              <w:t xml:space="preserve"> </w:t>
            </w:r>
            <w:r w:rsidRPr="006D66BF">
              <w:rPr>
                <w:snapToGrid/>
                <w:sz w:val="24"/>
                <w:szCs w:val="24"/>
                <w:lang w:val="da-DK" w:eastAsia="ja-JP"/>
              </w:rPr>
              <w:t>at 25 °C</w:t>
            </w:r>
            <w:r w:rsidRPr="006D66BF">
              <w:rPr>
                <w:rFonts w:hint="eastAsia"/>
                <w:snapToGrid/>
                <w:sz w:val="24"/>
                <w:szCs w:val="24"/>
                <w:vertAlign w:val="superscript"/>
                <w:lang w:val="da-DK" w:eastAsia="ja-JP"/>
              </w:rPr>
              <w:t xml:space="preserve"> 4</w:t>
            </w:r>
            <w:r w:rsidRPr="006D66BF">
              <w:rPr>
                <w:snapToGrid/>
                <w:sz w:val="24"/>
                <w:szCs w:val="24"/>
                <w:vertAlign w:val="superscript"/>
                <w:lang w:val="da-DK" w:eastAsia="ja-JP"/>
              </w:rPr>
              <w:t>)</w:t>
            </w:r>
            <w:r w:rsidRPr="006D66BF">
              <w:rPr>
                <w:snapToGrid/>
                <w:sz w:val="24"/>
                <w:szCs w:val="24"/>
                <w:lang w:val="da-DK" w:eastAsia="ja-JP"/>
              </w:rPr>
              <w:t xml:space="preserve"> </w:t>
            </w:r>
          </w:p>
        </w:tc>
        <w:tc>
          <w:tcPr>
            <w:tcW w:w="1260" w:type="dxa"/>
            <w:tcBorders>
              <w:top w:val="single" w:sz="6" w:space="0" w:color="auto"/>
              <w:left w:val="single" w:sz="4" w:space="0" w:color="auto"/>
              <w:bottom w:val="single" w:sz="6" w:space="0" w:color="auto"/>
              <w:right w:val="single" w:sz="6" w:space="0" w:color="auto"/>
            </w:tcBorders>
            <w:vAlign w:val="center"/>
          </w:tcPr>
          <w:p w14:paraId="30FFE5C3" w14:textId="77777777" w:rsidR="00D23AF3" w:rsidRPr="006D66BF" w:rsidRDefault="00D23AF3" w:rsidP="00FC3A3D">
            <w:pPr>
              <w:pStyle w:val="Tabletext"/>
              <w:jc w:val="center"/>
              <w:rPr>
                <w:snapToGrid/>
                <w:sz w:val="24"/>
                <w:szCs w:val="24"/>
                <w:shd w:val="pct15" w:color="auto" w:fill="FFFFFF"/>
                <w:lang w:val="en-GB" w:eastAsia="ja-JP"/>
              </w:rPr>
            </w:pPr>
            <w:r w:rsidRPr="006D66BF">
              <w:rPr>
                <w:snapToGrid/>
                <w:sz w:val="24"/>
                <w:szCs w:val="24"/>
                <w:lang w:val="da-DK" w:eastAsia="ja-JP"/>
              </w:rPr>
              <w:t>1</w:t>
            </w:r>
          </w:p>
        </w:tc>
        <w:tc>
          <w:tcPr>
            <w:tcW w:w="2310" w:type="dxa"/>
            <w:tcBorders>
              <w:left w:val="single" w:sz="6" w:space="0" w:color="auto"/>
              <w:bottom w:val="single" w:sz="6" w:space="0" w:color="auto"/>
              <w:right w:val="single" w:sz="12" w:space="0" w:color="auto"/>
            </w:tcBorders>
            <w:vAlign w:val="center"/>
          </w:tcPr>
          <w:p w14:paraId="30FFE5C4" w14:textId="77777777" w:rsidR="00D23AF3" w:rsidRPr="006D66BF" w:rsidRDefault="00D23AF3" w:rsidP="00FC3A3D">
            <w:pPr>
              <w:pStyle w:val="StyleTabletextBlue"/>
              <w:jc w:val="both"/>
              <w:rPr>
                <w:snapToGrid/>
                <w:color w:val="auto"/>
                <w:sz w:val="24"/>
                <w:szCs w:val="24"/>
                <w:shd w:val="pct15" w:color="auto" w:fill="FFFFFF"/>
                <w:lang w:val="en-GB" w:eastAsia="ja-JP"/>
              </w:rPr>
            </w:pPr>
            <w:r w:rsidRPr="006D66BF">
              <w:rPr>
                <w:snapToGrid/>
                <w:color w:val="auto"/>
                <w:sz w:val="24"/>
                <w:szCs w:val="24"/>
                <w:lang w:val="da-DK" w:eastAsia="ja-JP"/>
              </w:rPr>
              <w:t>C</w:t>
            </w:r>
            <w:r w:rsidRPr="006D66BF">
              <w:rPr>
                <w:rFonts w:hint="eastAsia"/>
                <w:snapToGrid/>
                <w:color w:val="auto"/>
                <w:sz w:val="24"/>
                <w:szCs w:val="24"/>
                <w:lang w:val="da-DK" w:eastAsia="ja-JP"/>
              </w:rPr>
              <w:t>ITI</w:t>
            </w:r>
            <w:r w:rsidRPr="006D66BF">
              <w:rPr>
                <w:snapToGrid/>
                <w:color w:val="auto"/>
                <w:sz w:val="24"/>
                <w:szCs w:val="24"/>
                <w:lang w:val="da-DK" w:eastAsia="ja-JP"/>
              </w:rPr>
              <w:t>, 199</w:t>
            </w:r>
            <w:r w:rsidRPr="006D66BF">
              <w:rPr>
                <w:rFonts w:hint="eastAsia"/>
                <w:snapToGrid/>
                <w:color w:val="auto"/>
                <w:sz w:val="24"/>
                <w:szCs w:val="24"/>
                <w:lang w:val="da-DK" w:eastAsia="ja-JP"/>
              </w:rPr>
              <w:t>4</w:t>
            </w:r>
          </w:p>
        </w:tc>
      </w:tr>
      <w:tr w:rsidR="00D23AF3" w:rsidRPr="006D66BF" w14:paraId="30FFE5CB" w14:textId="77777777" w:rsidTr="00FC3A3D">
        <w:tc>
          <w:tcPr>
            <w:tcW w:w="2835" w:type="dxa"/>
            <w:tcBorders>
              <w:top w:val="single" w:sz="6" w:space="0" w:color="auto"/>
              <w:left w:val="single" w:sz="12" w:space="0" w:color="auto"/>
              <w:bottom w:val="single" w:sz="6" w:space="0" w:color="auto"/>
              <w:right w:val="single" w:sz="6" w:space="0" w:color="auto"/>
            </w:tcBorders>
            <w:vAlign w:val="center"/>
          </w:tcPr>
          <w:p w14:paraId="30FFE5C6" w14:textId="77777777" w:rsidR="00D23AF3" w:rsidRPr="006D66BF" w:rsidRDefault="00D23AF3" w:rsidP="00FC3A3D">
            <w:pPr>
              <w:pStyle w:val="StyleTabletextBlue"/>
              <w:jc w:val="both"/>
              <w:rPr>
                <w:snapToGrid/>
                <w:color w:val="auto"/>
                <w:sz w:val="24"/>
                <w:szCs w:val="24"/>
                <w:lang w:val="da-DK" w:eastAsia="ja-JP"/>
              </w:rPr>
            </w:pPr>
            <w:r w:rsidRPr="006D66BF">
              <w:rPr>
                <w:rFonts w:hint="eastAsia"/>
                <w:snapToGrid/>
                <w:color w:val="auto"/>
                <w:sz w:val="24"/>
                <w:szCs w:val="24"/>
                <w:lang w:val="da-DK" w:eastAsia="ja-JP"/>
              </w:rPr>
              <w:t>Soil adsorption coefficient</w:t>
            </w:r>
          </w:p>
        </w:tc>
        <w:tc>
          <w:tcPr>
            <w:tcW w:w="3045" w:type="dxa"/>
            <w:tcBorders>
              <w:top w:val="single" w:sz="6" w:space="0" w:color="auto"/>
              <w:left w:val="single" w:sz="6" w:space="0" w:color="auto"/>
              <w:bottom w:val="single" w:sz="6" w:space="0" w:color="auto"/>
              <w:right w:val="single" w:sz="4" w:space="0" w:color="auto"/>
            </w:tcBorders>
            <w:vAlign w:val="center"/>
          </w:tcPr>
          <w:p w14:paraId="30FFE5C7" w14:textId="77777777" w:rsidR="00D23AF3" w:rsidRPr="006D66BF" w:rsidRDefault="00D23AF3" w:rsidP="00FC3A3D">
            <w:pPr>
              <w:pStyle w:val="Tabletext"/>
              <w:jc w:val="both"/>
              <w:rPr>
                <w:snapToGrid/>
                <w:sz w:val="24"/>
                <w:szCs w:val="24"/>
                <w:lang w:val="da-DK" w:eastAsia="ja-JP"/>
              </w:rPr>
            </w:pPr>
            <w:r w:rsidRPr="006D66BF">
              <w:rPr>
                <w:snapToGrid/>
                <w:sz w:val="24"/>
                <w:szCs w:val="24"/>
                <w:lang w:val="da-DK" w:eastAsia="ja-JP"/>
              </w:rPr>
              <w:t>log K</w:t>
            </w:r>
            <w:r w:rsidRPr="006D66BF">
              <w:rPr>
                <w:snapToGrid/>
                <w:sz w:val="24"/>
                <w:szCs w:val="24"/>
                <w:vertAlign w:val="subscript"/>
                <w:lang w:val="da-DK" w:eastAsia="ja-JP"/>
              </w:rPr>
              <w:t>oc</w:t>
            </w:r>
            <w:r w:rsidRPr="006D66BF">
              <w:rPr>
                <w:snapToGrid/>
                <w:sz w:val="24"/>
                <w:szCs w:val="24"/>
                <w:lang w:val="da-DK" w:eastAsia="ja-JP"/>
              </w:rPr>
              <w:t xml:space="preserve"> = </w:t>
            </w:r>
            <w:r w:rsidRPr="006D66BF">
              <w:rPr>
                <w:rFonts w:hint="eastAsia"/>
                <w:snapToGrid/>
                <w:sz w:val="24"/>
                <w:szCs w:val="24"/>
                <w:lang w:val="da-DK" w:eastAsia="ja-JP"/>
              </w:rPr>
              <w:t>-0.4</w:t>
            </w:r>
            <w:r w:rsidRPr="006D66BF">
              <w:rPr>
                <w:rFonts w:hint="eastAsia"/>
                <w:snapToGrid/>
                <w:sz w:val="24"/>
                <w:szCs w:val="24"/>
                <w:vertAlign w:val="superscript"/>
                <w:lang w:val="da-DK" w:eastAsia="ja-JP"/>
              </w:rPr>
              <w:t>5</w:t>
            </w:r>
            <w:r w:rsidRPr="006D66BF">
              <w:rPr>
                <w:snapToGrid/>
                <w:sz w:val="24"/>
                <w:szCs w:val="24"/>
                <w:vertAlign w:val="superscript"/>
                <w:lang w:val="da-DK" w:eastAsia="ja-JP"/>
              </w:rPr>
              <w:t>)</w:t>
            </w:r>
          </w:p>
          <w:p w14:paraId="30FFE5C8" w14:textId="77777777" w:rsidR="00D23AF3" w:rsidRPr="006D66BF" w:rsidRDefault="00D23AF3" w:rsidP="00FC3A3D">
            <w:pPr>
              <w:pStyle w:val="StyleTabletextBlue"/>
              <w:jc w:val="both"/>
              <w:rPr>
                <w:snapToGrid/>
                <w:color w:val="auto"/>
                <w:sz w:val="24"/>
                <w:szCs w:val="24"/>
                <w:lang w:val="da-DK" w:eastAsia="ja-JP"/>
              </w:rPr>
            </w:pPr>
            <w:r w:rsidRPr="006D66BF">
              <w:rPr>
                <w:snapToGrid/>
                <w:color w:val="auto"/>
                <w:sz w:val="24"/>
                <w:szCs w:val="24"/>
                <w:lang w:val="da-DK" w:eastAsia="ja-JP"/>
              </w:rPr>
              <w:t>KOCWIN</w:t>
            </w:r>
          </w:p>
        </w:tc>
        <w:tc>
          <w:tcPr>
            <w:tcW w:w="1260" w:type="dxa"/>
            <w:tcBorders>
              <w:top w:val="single" w:sz="6" w:space="0" w:color="auto"/>
              <w:left w:val="single" w:sz="4" w:space="0" w:color="auto"/>
              <w:bottom w:val="single" w:sz="6" w:space="0" w:color="auto"/>
              <w:right w:val="single" w:sz="6" w:space="0" w:color="auto"/>
            </w:tcBorders>
            <w:vAlign w:val="center"/>
          </w:tcPr>
          <w:p w14:paraId="30FFE5C9" w14:textId="77777777" w:rsidR="00D23AF3" w:rsidRPr="006D66BF" w:rsidRDefault="00D23AF3" w:rsidP="00FC3A3D">
            <w:pPr>
              <w:pStyle w:val="Tabletext"/>
              <w:jc w:val="center"/>
              <w:rPr>
                <w:snapToGrid/>
                <w:sz w:val="24"/>
                <w:szCs w:val="24"/>
                <w:lang w:val="da-DK" w:eastAsia="ja-JP"/>
              </w:rPr>
            </w:pPr>
            <w:r w:rsidRPr="006D66BF">
              <w:rPr>
                <w:snapToGrid/>
                <w:sz w:val="24"/>
                <w:szCs w:val="24"/>
                <w:lang w:val="da-DK" w:eastAsia="ja-JP"/>
              </w:rPr>
              <w:t>2</w:t>
            </w:r>
          </w:p>
        </w:tc>
        <w:tc>
          <w:tcPr>
            <w:tcW w:w="2310" w:type="dxa"/>
            <w:tcBorders>
              <w:top w:val="single" w:sz="6" w:space="0" w:color="auto"/>
              <w:left w:val="single" w:sz="6" w:space="0" w:color="auto"/>
              <w:bottom w:val="single" w:sz="6" w:space="0" w:color="auto"/>
              <w:right w:val="single" w:sz="12" w:space="0" w:color="auto"/>
            </w:tcBorders>
            <w:vAlign w:val="center"/>
          </w:tcPr>
          <w:p w14:paraId="30FFE5CA" w14:textId="77777777" w:rsidR="00D23AF3" w:rsidRPr="006D66BF" w:rsidRDefault="00D23AF3" w:rsidP="00FC3A3D">
            <w:pPr>
              <w:pStyle w:val="StyleTabletextBlue"/>
              <w:jc w:val="both"/>
              <w:rPr>
                <w:snapToGrid/>
                <w:color w:val="auto"/>
                <w:sz w:val="24"/>
                <w:szCs w:val="24"/>
                <w:lang w:val="da-DK" w:eastAsia="ja-JP"/>
              </w:rPr>
            </w:pPr>
            <w:r w:rsidRPr="006D66BF">
              <w:rPr>
                <w:snapToGrid/>
                <w:color w:val="auto"/>
                <w:sz w:val="24"/>
                <w:szCs w:val="24"/>
                <w:lang w:val="da-DK" w:eastAsia="ja-JP"/>
              </w:rPr>
              <w:t>USEPA, 20</w:t>
            </w:r>
            <w:r w:rsidRPr="006D66BF">
              <w:rPr>
                <w:rFonts w:hint="eastAsia"/>
                <w:snapToGrid/>
                <w:color w:val="auto"/>
                <w:sz w:val="24"/>
                <w:szCs w:val="24"/>
                <w:lang w:val="da-DK" w:eastAsia="ja-JP"/>
              </w:rPr>
              <w:t>09a</w:t>
            </w:r>
          </w:p>
        </w:tc>
      </w:tr>
      <w:tr w:rsidR="00D23AF3" w:rsidRPr="006D66BF" w14:paraId="30FFE5D1" w14:textId="77777777" w:rsidTr="00FC3A3D">
        <w:trPr>
          <w:trHeight w:val="785"/>
        </w:trPr>
        <w:tc>
          <w:tcPr>
            <w:tcW w:w="2835" w:type="dxa"/>
            <w:tcBorders>
              <w:top w:val="single" w:sz="6" w:space="0" w:color="auto"/>
              <w:left w:val="single" w:sz="12" w:space="0" w:color="auto"/>
              <w:bottom w:val="single" w:sz="12" w:space="0" w:color="auto"/>
              <w:right w:val="single" w:sz="6" w:space="0" w:color="auto"/>
            </w:tcBorders>
            <w:vAlign w:val="center"/>
          </w:tcPr>
          <w:p w14:paraId="30FFE5CC" w14:textId="77777777" w:rsidR="00D23AF3" w:rsidRPr="006D66BF" w:rsidRDefault="00D23AF3" w:rsidP="00FC3A3D">
            <w:pPr>
              <w:pStyle w:val="StyleTabletextBlue"/>
              <w:jc w:val="both"/>
              <w:rPr>
                <w:snapToGrid/>
                <w:color w:val="auto"/>
                <w:sz w:val="24"/>
                <w:szCs w:val="24"/>
                <w:lang w:val="da-DK" w:eastAsia="ja-JP"/>
              </w:rPr>
            </w:pPr>
            <w:r w:rsidRPr="006D66BF">
              <w:rPr>
                <w:snapToGrid/>
                <w:color w:val="auto"/>
                <w:sz w:val="24"/>
                <w:szCs w:val="24"/>
                <w:lang w:val="da-DK" w:eastAsia="ja-JP"/>
              </w:rPr>
              <w:t>Henry’s Law constant</w:t>
            </w:r>
          </w:p>
        </w:tc>
        <w:tc>
          <w:tcPr>
            <w:tcW w:w="3045" w:type="dxa"/>
            <w:tcBorders>
              <w:top w:val="single" w:sz="6" w:space="0" w:color="auto"/>
              <w:left w:val="single" w:sz="6" w:space="0" w:color="auto"/>
              <w:bottom w:val="single" w:sz="12" w:space="0" w:color="auto"/>
              <w:right w:val="single" w:sz="4" w:space="0" w:color="auto"/>
            </w:tcBorders>
            <w:vAlign w:val="center"/>
          </w:tcPr>
          <w:p w14:paraId="30FFE5CD" w14:textId="77777777" w:rsidR="00D23AF3" w:rsidRPr="006D66BF" w:rsidRDefault="00D23AF3" w:rsidP="00FC3A3D">
            <w:pPr>
              <w:pStyle w:val="Tabletext"/>
              <w:spacing w:before="0" w:after="0" w:line="0" w:lineRule="atLeast"/>
              <w:jc w:val="both"/>
              <w:rPr>
                <w:snapToGrid/>
                <w:sz w:val="24"/>
                <w:szCs w:val="24"/>
                <w:lang w:val="da-DK" w:eastAsia="ja-JP"/>
              </w:rPr>
            </w:pPr>
            <w:r w:rsidRPr="006D66BF">
              <w:rPr>
                <w:rFonts w:hint="eastAsia"/>
                <w:snapToGrid/>
                <w:sz w:val="24"/>
                <w:szCs w:val="24"/>
                <w:lang w:val="da-DK" w:eastAsia="ja-JP"/>
              </w:rPr>
              <w:t>1.13 x 10</w:t>
            </w:r>
            <w:r w:rsidRPr="006D66BF">
              <w:rPr>
                <w:rFonts w:hint="eastAsia"/>
                <w:snapToGrid/>
                <w:sz w:val="24"/>
                <w:szCs w:val="24"/>
                <w:vertAlign w:val="superscript"/>
                <w:lang w:val="da-DK" w:eastAsia="ja-JP"/>
              </w:rPr>
              <w:t>-3</w:t>
            </w:r>
            <w:r w:rsidRPr="006D66BF">
              <w:rPr>
                <w:snapToGrid/>
                <w:sz w:val="24"/>
                <w:szCs w:val="24"/>
                <w:lang w:val="da-DK" w:eastAsia="ja-JP"/>
              </w:rPr>
              <w:t xml:space="preserve"> Pa.m</w:t>
            </w:r>
            <w:r w:rsidRPr="006D66BF">
              <w:rPr>
                <w:snapToGrid/>
                <w:sz w:val="24"/>
                <w:szCs w:val="24"/>
                <w:vertAlign w:val="superscript"/>
                <w:lang w:val="da-DK" w:eastAsia="ja-JP"/>
              </w:rPr>
              <w:t>3</w:t>
            </w:r>
            <w:r w:rsidRPr="006D66BF">
              <w:rPr>
                <w:snapToGrid/>
                <w:sz w:val="24"/>
                <w:szCs w:val="24"/>
                <w:lang w:val="da-DK" w:eastAsia="ja-JP"/>
              </w:rPr>
              <w:t>/mole at 25 °C</w:t>
            </w:r>
          </w:p>
          <w:p w14:paraId="30FFE5CE" w14:textId="77777777" w:rsidR="00D23AF3" w:rsidRPr="006D66BF" w:rsidRDefault="00D23AF3" w:rsidP="00FC3A3D">
            <w:pPr>
              <w:pStyle w:val="StyleTabletextBlue"/>
              <w:spacing w:before="0" w:after="0" w:line="0" w:lineRule="atLeast"/>
              <w:jc w:val="both"/>
              <w:rPr>
                <w:snapToGrid/>
                <w:color w:val="auto"/>
                <w:sz w:val="24"/>
                <w:szCs w:val="24"/>
                <w:shd w:val="pct15" w:color="auto" w:fill="FFFFFF"/>
                <w:vertAlign w:val="superscript"/>
                <w:lang w:val="da-DK" w:eastAsia="ja-JP"/>
              </w:rPr>
            </w:pPr>
            <w:r w:rsidRPr="006D66BF">
              <w:rPr>
                <w:snapToGrid/>
                <w:color w:val="auto"/>
                <w:sz w:val="24"/>
                <w:szCs w:val="24"/>
                <w:lang w:val="da-DK" w:eastAsia="ja-JP"/>
              </w:rPr>
              <w:t>HENRYWIN</w:t>
            </w:r>
          </w:p>
        </w:tc>
        <w:tc>
          <w:tcPr>
            <w:tcW w:w="1260" w:type="dxa"/>
            <w:tcBorders>
              <w:top w:val="single" w:sz="6" w:space="0" w:color="auto"/>
              <w:left w:val="single" w:sz="4" w:space="0" w:color="auto"/>
              <w:bottom w:val="single" w:sz="12" w:space="0" w:color="auto"/>
              <w:right w:val="single" w:sz="6" w:space="0" w:color="auto"/>
            </w:tcBorders>
            <w:vAlign w:val="center"/>
          </w:tcPr>
          <w:p w14:paraId="30FFE5CF" w14:textId="77777777" w:rsidR="00D23AF3" w:rsidRPr="006D66BF" w:rsidRDefault="00D23AF3" w:rsidP="00FC3A3D">
            <w:pPr>
              <w:pStyle w:val="Tabletext"/>
              <w:spacing w:before="0" w:after="0" w:line="0" w:lineRule="atLeast"/>
              <w:jc w:val="center"/>
              <w:rPr>
                <w:snapToGrid/>
                <w:sz w:val="24"/>
                <w:szCs w:val="24"/>
                <w:lang w:val="da-DK" w:eastAsia="ja-JP"/>
              </w:rPr>
            </w:pPr>
            <w:r w:rsidRPr="006D66BF">
              <w:rPr>
                <w:snapToGrid/>
                <w:sz w:val="24"/>
                <w:szCs w:val="24"/>
                <w:lang w:val="da-DK" w:eastAsia="ja-JP"/>
              </w:rPr>
              <w:t>2</w:t>
            </w:r>
          </w:p>
        </w:tc>
        <w:tc>
          <w:tcPr>
            <w:tcW w:w="2310" w:type="dxa"/>
            <w:tcBorders>
              <w:top w:val="single" w:sz="6" w:space="0" w:color="auto"/>
              <w:left w:val="single" w:sz="6" w:space="0" w:color="auto"/>
              <w:bottom w:val="single" w:sz="12" w:space="0" w:color="auto"/>
              <w:right w:val="single" w:sz="12" w:space="0" w:color="auto"/>
            </w:tcBorders>
            <w:vAlign w:val="center"/>
          </w:tcPr>
          <w:p w14:paraId="30FFE5D0" w14:textId="77777777" w:rsidR="00D23AF3" w:rsidRPr="006D66BF" w:rsidRDefault="00D23AF3" w:rsidP="00FC3A3D">
            <w:pPr>
              <w:pStyle w:val="StyleTabletextBlue"/>
              <w:spacing w:before="0" w:after="0" w:line="0" w:lineRule="atLeast"/>
              <w:jc w:val="both"/>
              <w:rPr>
                <w:snapToGrid/>
                <w:color w:val="auto"/>
                <w:sz w:val="24"/>
                <w:szCs w:val="24"/>
                <w:lang w:val="da-DK" w:eastAsia="ja-JP"/>
              </w:rPr>
            </w:pPr>
            <w:r w:rsidRPr="006D66BF">
              <w:rPr>
                <w:snapToGrid/>
                <w:color w:val="auto"/>
                <w:sz w:val="24"/>
                <w:szCs w:val="24"/>
                <w:lang w:val="da-DK" w:eastAsia="ja-JP"/>
              </w:rPr>
              <w:t>USEPA, 200</w:t>
            </w:r>
            <w:r w:rsidRPr="006D66BF">
              <w:rPr>
                <w:rFonts w:hint="eastAsia"/>
                <w:snapToGrid/>
                <w:color w:val="auto"/>
                <w:sz w:val="24"/>
                <w:szCs w:val="24"/>
                <w:lang w:val="da-DK" w:eastAsia="ja-JP"/>
              </w:rPr>
              <w:t>8a</w:t>
            </w:r>
          </w:p>
        </w:tc>
      </w:tr>
    </w:tbl>
    <w:p w14:paraId="30FFE5D2" w14:textId="77777777" w:rsidR="00D23AF3" w:rsidRPr="006D66BF" w:rsidRDefault="00D23AF3" w:rsidP="00E56A35">
      <w:pPr>
        <w:pStyle w:val="Tablenote"/>
        <w:numPr>
          <w:ilvl w:val="0"/>
          <w:numId w:val="11"/>
        </w:numPr>
        <w:rPr>
          <w:lang w:eastAsia="ja-JP"/>
        </w:rPr>
      </w:pPr>
      <w:r w:rsidRPr="006D66BF">
        <w:rPr>
          <w:lang w:eastAsia="ja-JP"/>
        </w:rPr>
        <w:t>Test was conducted according to OECD test-guideline 10</w:t>
      </w:r>
      <w:r w:rsidRPr="006D66BF">
        <w:rPr>
          <w:rFonts w:hint="eastAsia"/>
          <w:lang w:eastAsia="ja-JP"/>
        </w:rPr>
        <w:t>3</w:t>
      </w:r>
      <w:r w:rsidRPr="006D66BF">
        <w:rPr>
          <w:lang w:eastAsia="ja-JP"/>
        </w:rPr>
        <w:t>: “</w:t>
      </w:r>
      <w:r w:rsidRPr="006D66BF">
        <w:rPr>
          <w:rFonts w:hint="eastAsia"/>
          <w:lang w:eastAsia="ja-JP"/>
        </w:rPr>
        <w:t>Boiling Point</w:t>
      </w:r>
      <w:r w:rsidRPr="006D66BF">
        <w:rPr>
          <w:lang w:eastAsia="ja-JP"/>
        </w:rPr>
        <w:t xml:space="preserve">: </w:t>
      </w:r>
      <w:r w:rsidRPr="006D66BF">
        <w:rPr>
          <w:rFonts w:hint="eastAsia"/>
          <w:lang w:eastAsia="ja-JP"/>
        </w:rPr>
        <w:t>Photocell detection</w:t>
      </w:r>
      <w:r w:rsidRPr="006D66BF">
        <w:rPr>
          <w:lang w:eastAsia="ja-JP"/>
        </w:rPr>
        <w:t xml:space="preserve">” </w:t>
      </w:r>
      <w:r w:rsidRPr="006D66BF">
        <w:rPr>
          <w:rFonts w:hint="eastAsia"/>
          <w:lang w:eastAsia="ja-JP"/>
        </w:rPr>
        <w:t>i</w:t>
      </w:r>
      <w:r w:rsidRPr="006D66BF">
        <w:rPr>
          <w:lang w:eastAsia="ja-JP"/>
        </w:rPr>
        <w:t>n compliance with GLP</w:t>
      </w:r>
      <w:r w:rsidRPr="006D66BF">
        <w:rPr>
          <w:rFonts w:hint="eastAsia"/>
          <w:lang w:eastAsia="ja-JP"/>
        </w:rPr>
        <w:t>.</w:t>
      </w:r>
    </w:p>
    <w:p w14:paraId="30FFE5D3" w14:textId="77777777" w:rsidR="00D23AF3" w:rsidRPr="006D66BF" w:rsidRDefault="00D23AF3" w:rsidP="00E56A35">
      <w:pPr>
        <w:pStyle w:val="Tablenote"/>
        <w:numPr>
          <w:ilvl w:val="0"/>
          <w:numId w:val="11"/>
        </w:numPr>
        <w:rPr>
          <w:lang w:eastAsia="ja-JP"/>
        </w:rPr>
      </w:pPr>
      <w:r w:rsidRPr="006D66BF">
        <w:rPr>
          <w:rFonts w:hint="eastAsia"/>
          <w:lang w:eastAsia="ja-JP"/>
        </w:rPr>
        <w:t xml:space="preserve">Vapour pressure at 25 </w:t>
      </w:r>
      <w:r w:rsidRPr="006D66BF">
        <w:rPr>
          <w:lang w:val="da-DK" w:eastAsia="ja-JP"/>
        </w:rPr>
        <w:t>°C</w:t>
      </w:r>
      <w:r w:rsidRPr="006D66BF">
        <w:rPr>
          <w:rFonts w:hint="eastAsia"/>
          <w:lang w:eastAsia="ja-JP"/>
        </w:rPr>
        <w:t xml:space="preserve"> was extrapolated by the following regression expression, which was obtained from the results of a test according to OECD test-guieline104: </w:t>
      </w:r>
      <w:r w:rsidRPr="006D66BF">
        <w:rPr>
          <w:lang w:eastAsia="ja-JP"/>
        </w:rPr>
        <w:t>“</w:t>
      </w:r>
      <w:r w:rsidRPr="006D66BF">
        <w:rPr>
          <w:rFonts w:hint="eastAsia"/>
          <w:lang w:eastAsia="ja-JP"/>
        </w:rPr>
        <w:t>Vapour pressure: Gas saturation method</w:t>
      </w:r>
      <w:r w:rsidRPr="006D66BF">
        <w:rPr>
          <w:lang w:eastAsia="ja-JP"/>
        </w:rPr>
        <w:t>”</w:t>
      </w:r>
      <w:r w:rsidRPr="006D66BF">
        <w:rPr>
          <w:rFonts w:hint="eastAsia"/>
          <w:lang w:eastAsia="ja-JP"/>
        </w:rPr>
        <w:t xml:space="preserve"> </w:t>
      </w:r>
      <w:r w:rsidRPr="006D66BF">
        <w:rPr>
          <w:lang w:eastAsia="ja-JP"/>
        </w:rPr>
        <w:t>in compliance with GLP</w:t>
      </w:r>
      <w:r w:rsidRPr="006D66BF">
        <w:rPr>
          <w:rFonts w:hint="eastAsia"/>
          <w:lang w:eastAsia="ja-JP"/>
        </w:rPr>
        <w:t>.</w:t>
      </w:r>
    </w:p>
    <w:p w14:paraId="30FFE5D4" w14:textId="77777777" w:rsidR="00D23AF3" w:rsidRPr="006D66BF" w:rsidRDefault="00D23AF3" w:rsidP="00E56A35">
      <w:pPr>
        <w:pStyle w:val="Tablenote"/>
        <w:numPr>
          <w:ilvl w:val="0"/>
          <w:numId w:val="11"/>
        </w:numPr>
        <w:rPr>
          <w:lang w:eastAsia="ja-JP"/>
        </w:rPr>
      </w:pPr>
      <w:r w:rsidRPr="006D66BF">
        <w:rPr>
          <w:rFonts w:hint="eastAsia"/>
          <w:lang w:eastAsia="ja-JP"/>
        </w:rPr>
        <w:t>log P (Pa) = -6262.32/T + 16.2640</w:t>
      </w:r>
    </w:p>
    <w:p w14:paraId="30FFE5D5" w14:textId="77777777" w:rsidR="00D23AF3" w:rsidRPr="006D66BF" w:rsidRDefault="00D23AF3" w:rsidP="00E56A35">
      <w:pPr>
        <w:pStyle w:val="Tablenote"/>
        <w:numPr>
          <w:ilvl w:val="0"/>
          <w:numId w:val="11"/>
        </w:numPr>
        <w:rPr>
          <w:lang w:eastAsia="ja-JP"/>
        </w:rPr>
      </w:pPr>
      <w:r w:rsidRPr="006D66BF">
        <w:rPr>
          <w:lang w:eastAsia="ja-JP"/>
        </w:rPr>
        <w:t>Test was conducted according to OECD test-guideline 105: “Water solubility: flask method”.</w:t>
      </w:r>
    </w:p>
    <w:p w14:paraId="30FFE5D6" w14:textId="77777777" w:rsidR="00D23AF3" w:rsidRPr="006D66BF" w:rsidRDefault="00D23AF3" w:rsidP="00E56A35">
      <w:pPr>
        <w:pStyle w:val="Tablenote"/>
        <w:numPr>
          <w:ilvl w:val="0"/>
          <w:numId w:val="11"/>
        </w:numPr>
        <w:rPr>
          <w:lang w:eastAsia="ja-JP"/>
        </w:rPr>
      </w:pPr>
      <w:r w:rsidRPr="006D66BF">
        <w:rPr>
          <w:lang w:eastAsia="ja-JP"/>
        </w:rPr>
        <w:t>Test was conducted acc</w:t>
      </w:r>
      <w:r w:rsidRPr="006D66BF">
        <w:rPr>
          <w:rFonts w:hint="eastAsia"/>
          <w:lang w:eastAsia="ja-JP"/>
        </w:rPr>
        <w:t>o</w:t>
      </w:r>
      <w:r w:rsidRPr="006D66BF">
        <w:rPr>
          <w:lang w:eastAsia="ja-JP"/>
        </w:rPr>
        <w:t>r</w:t>
      </w:r>
      <w:r w:rsidRPr="006D66BF">
        <w:rPr>
          <w:rFonts w:hint="eastAsia"/>
          <w:lang w:eastAsia="ja-JP"/>
        </w:rPr>
        <w:t>d</w:t>
      </w:r>
      <w:r w:rsidRPr="006D66BF">
        <w:rPr>
          <w:lang w:eastAsia="ja-JP"/>
        </w:rPr>
        <w:t>ing to OECD test-guideline 107</w:t>
      </w:r>
      <w:r w:rsidRPr="006D66BF">
        <w:rPr>
          <w:rFonts w:hint="eastAsia"/>
          <w:lang w:eastAsia="ja-JP"/>
        </w:rPr>
        <w:t>:</w:t>
      </w:r>
      <w:r w:rsidRPr="006D66BF">
        <w:rPr>
          <w:lang w:eastAsia="ja-JP"/>
        </w:rPr>
        <w:t xml:space="preserve"> “Partition coefficient (n-octanol /water): Shake flask method” in compliance with GLP.  </w:t>
      </w:r>
    </w:p>
    <w:p w14:paraId="30FFE5D7" w14:textId="77777777" w:rsidR="00D23AF3" w:rsidRPr="006D66BF" w:rsidRDefault="00D23AF3" w:rsidP="00E56A35">
      <w:pPr>
        <w:pStyle w:val="Tablenote"/>
        <w:numPr>
          <w:ilvl w:val="0"/>
          <w:numId w:val="11"/>
        </w:numPr>
        <w:rPr>
          <w:lang w:eastAsia="ja-JP"/>
        </w:rPr>
      </w:pPr>
      <w:r w:rsidRPr="006D66BF">
        <w:rPr>
          <w:lang w:eastAsia="ja-JP"/>
        </w:rPr>
        <w:t>The value is calculated with log K</w:t>
      </w:r>
      <w:r w:rsidRPr="006D66BF">
        <w:rPr>
          <w:vertAlign w:val="subscript"/>
          <w:lang w:eastAsia="ja-JP"/>
        </w:rPr>
        <w:t>ow</w:t>
      </w:r>
      <w:r w:rsidRPr="006D66BF">
        <w:rPr>
          <w:lang w:eastAsia="ja-JP"/>
        </w:rPr>
        <w:t xml:space="preserve"> of </w:t>
      </w:r>
      <w:r w:rsidRPr="006D66BF">
        <w:rPr>
          <w:rFonts w:hint="eastAsia"/>
          <w:lang w:eastAsia="ja-JP"/>
        </w:rPr>
        <w:t>-0.95</w:t>
      </w:r>
      <w:r w:rsidRPr="006D66BF">
        <w:rPr>
          <w:lang w:eastAsia="ja-JP"/>
        </w:rPr>
        <w:t>.</w:t>
      </w:r>
    </w:p>
    <w:p w14:paraId="30FFE5D8" w14:textId="77777777" w:rsidR="00D23AF3" w:rsidRPr="006D66BF" w:rsidRDefault="00D23AF3" w:rsidP="00D23AF3">
      <w:pPr>
        <w:pStyle w:val="Heading2"/>
        <w:rPr>
          <w:rFonts w:ascii="Times New Roman" w:hAnsi="Times New Roman"/>
          <w:szCs w:val="24"/>
          <w:lang w:val="en-US"/>
        </w:rPr>
      </w:pPr>
      <w:bookmarkStart w:id="25" w:name="_Toc171146298"/>
      <w:bookmarkStart w:id="26" w:name="_Toc282509911"/>
      <w:bookmarkStart w:id="27" w:name="_Toc297297706"/>
      <w:r w:rsidRPr="006D66BF">
        <w:rPr>
          <w:rFonts w:ascii="Times New Roman" w:hAnsi="Times New Roman"/>
          <w:szCs w:val="24"/>
          <w:lang w:val="en-US"/>
        </w:rPr>
        <w:t>Category Justification</w:t>
      </w:r>
      <w:bookmarkEnd w:id="25"/>
      <w:bookmarkEnd w:id="26"/>
      <w:bookmarkEnd w:id="27"/>
    </w:p>
    <w:p w14:paraId="30FFE5D9" w14:textId="77777777" w:rsidR="00D23AF3" w:rsidRPr="006D66BF" w:rsidRDefault="00D23AF3" w:rsidP="00E56A35">
      <w:pPr>
        <w:jc w:val="both"/>
      </w:pPr>
      <w:r w:rsidRPr="006D66BF">
        <w:t>Not applicable for this substance.</w:t>
      </w:r>
    </w:p>
    <w:p w14:paraId="30FFE5DA" w14:textId="77777777" w:rsidR="00D23AF3" w:rsidRPr="006D66BF" w:rsidRDefault="00D23AF3" w:rsidP="00D23AF3">
      <w:pPr>
        <w:pStyle w:val="Heading1"/>
      </w:pPr>
      <w:bookmarkStart w:id="28" w:name="_Toc32726016"/>
      <w:bookmarkStart w:id="29" w:name="_Toc32727199"/>
      <w:bookmarkStart w:id="30" w:name="_Toc171146299"/>
      <w:bookmarkStart w:id="31" w:name="_Toc282509912"/>
      <w:bookmarkStart w:id="32" w:name="_Toc297297707"/>
      <w:r w:rsidRPr="006D66BF">
        <w:t>general information on exposure</w:t>
      </w:r>
      <w:bookmarkEnd w:id="28"/>
      <w:bookmarkEnd w:id="29"/>
      <w:bookmarkEnd w:id="30"/>
      <w:bookmarkEnd w:id="31"/>
      <w:bookmarkEnd w:id="32"/>
    </w:p>
    <w:p w14:paraId="30FFE5DB" w14:textId="77777777" w:rsidR="00D23AF3" w:rsidRPr="006D66BF" w:rsidRDefault="00D23AF3" w:rsidP="00D23AF3">
      <w:pPr>
        <w:pStyle w:val="Heading2"/>
        <w:rPr>
          <w:rFonts w:ascii="Times New Roman" w:hAnsi="Times New Roman"/>
          <w:szCs w:val="24"/>
        </w:rPr>
      </w:pPr>
      <w:bookmarkStart w:id="33" w:name="_Toc171146300"/>
      <w:bookmarkStart w:id="34" w:name="_Toc282509913"/>
      <w:bookmarkStart w:id="35" w:name="_Toc297297708"/>
      <w:r w:rsidRPr="006D66BF">
        <w:rPr>
          <w:rFonts w:ascii="Times New Roman" w:hAnsi="Times New Roman"/>
          <w:szCs w:val="24"/>
        </w:rPr>
        <w:t>Production Volumes and Use Pattern</w:t>
      </w:r>
      <w:bookmarkEnd w:id="33"/>
      <w:bookmarkEnd w:id="34"/>
      <w:bookmarkEnd w:id="35"/>
    </w:p>
    <w:p w14:paraId="30FFE5DC" w14:textId="77777777" w:rsidR="00D23AF3" w:rsidRPr="006D66BF" w:rsidRDefault="00D23AF3" w:rsidP="00E56A35">
      <w:pPr>
        <w:pStyle w:val="Heading9"/>
        <w:rPr>
          <w:lang w:val="en-US" w:eastAsia="ja-JP"/>
        </w:rPr>
      </w:pPr>
      <w:r w:rsidRPr="006D66BF">
        <w:t>Production Volumes</w:t>
      </w:r>
    </w:p>
    <w:p w14:paraId="30FFE5DD" w14:textId="77777777" w:rsidR="00D23AF3" w:rsidRPr="006D66BF" w:rsidRDefault="00D23AF3" w:rsidP="00D23AF3">
      <w:pPr>
        <w:pStyle w:val="BodyText"/>
        <w:rPr>
          <w:szCs w:val="24"/>
          <w:lang w:eastAsia="ja-JP"/>
        </w:rPr>
      </w:pPr>
      <w:r w:rsidRPr="006D66BF">
        <w:rPr>
          <w:rFonts w:hint="eastAsia"/>
          <w:szCs w:val="24"/>
          <w:lang w:val="en-US" w:eastAsia="ja-JP"/>
        </w:rPr>
        <w:t xml:space="preserve">Currently, no production of </w:t>
      </w:r>
      <w:r w:rsidRPr="006D66BF">
        <w:rPr>
          <w:rFonts w:hint="eastAsia"/>
          <w:szCs w:val="24"/>
        </w:rPr>
        <w:t>1</w:t>
      </w:r>
      <w:proofErr w:type="gramStart"/>
      <w:r w:rsidRPr="006D66BF">
        <w:rPr>
          <w:rFonts w:hint="eastAsia"/>
          <w:szCs w:val="24"/>
        </w:rPr>
        <w:t>,1,1</w:t>
      </w:r>
      <w:proofErr w:type="gramEnd"/>
      <w:r w:rsidRPr="006D66BF">
        <w:rPr>
          <w:rFonts w:hint="eastAsia"/>
          <w:szCs w:val="24"/>
        </w:rPr>
        <w:t>-</w:t>
      </w:r>
      <w:r w:rsidRPr="006D66BF">
        <w:rPr>
          <w:rFonts w:hint="eastAsia"/>
          <w:szCs w:val="24"/>
          <w:lang w:eastAsia="ja-JP"/>
        </w:rPr>
        <w:t>t</w:t>
      </w:r>
      <w:r w:rsidRPr="006D66BF">
        <w:rPr>
          <w:rFonts w:hint="eastAsia"/>
          <w:szCs w:val="24"/>
        </w:rPr>
        <w:t>ris(hydroxymethyl)ethane</w:t>
      </w:r>
      <w:r w:rsidRPr="006D66BF">
        <w:rPr>
          <w:rFonts w:hint="eastAsia"/>
          <w:szCs w:val="24"/>
          <w:lang w:val="en-US" w:eastAsia="ja-JP"/>
        </w:rPr>
        <w:t xml:space="preserve"> is reported </w:t>
      </w:r>
      <w:r w:rsidRPr="006D66BF">
        <w:rPr>
          <w:szCs w:val="24"/>
          <w:lang w:val="en-US" w:eastAsia="ja-JP"/>
        </w:rPr>
        <w:t xml:space="preserve">in </w:t>
      </w:r>
      <w:smartTag w:uri="urn:schemas-microsoft-com:office:smarttags" w:element="country-region">
        <w:r w:rsidRPr="006D66BF">
          <w:rPr>
            <w:rFonts w:hint="eastAsia"/>
            <w:szCs w:val="24"/>
            <w:lang w:val="en-US" w:eastAsia="ja-JP"/>
          </w:rPr>
          <w:t>Japan</w:t>
        </w:r>
      </w:smartTag>
      <w:r w:rsidRPr="006D66BF">
        <w:rPr>
          <w:rFonts w:hint="eastAsia"/>
          <w:szCs w:val="24"/>
          <w:lang w:val="en-US" w:eastAsia="ja-JP"/>
        </w:rPr>
        <w:t xml:space="preserve"> (sponsor country)</w:t>
      </w:r>
      <w:r w:rsidRPr="006D66BF">
        <w:rPr>
          <w:szCs w:val="24"/>
          <w:lang w:val="en-US" w:eastAsia="ja-JP"/>
        </w:rPr>
        <w:t xml:space="preserve"> and import</w:t>
      </w:r>
      <w:r w:rsidRPr="006D66BF">
        <w:rPr>
          <w:rFonts w:hint="eastAsia"/>
          <w:szCs w:val="24"/>
          <w:lang w:val="en-US" w:eastAsia="ja-JP"/>
        </w:rPr>
        <w:t xml:space="preserve"> volume</w:t>
      </w:r>
      <w:r w:rsidRPr="006D66BF">
        <w:rPr>
          <w:szCs w:val="24"/>
          <w:lang w:val="en-US" w:eastAsia="ja-JP"/>
        </w:rPr>
        <w:t xml:space="preserve"> in </w:t>
      </w:r>
      <w:smartTag w:uri="urn:schemas-microsoft-com:office:smarttags" w:element="place">
        <w:smartTag w:uri="urn:schemas-microsoft-com:office:smarttags" w:element="country-region">
          <w:r w:rsidRPr="006D66BF">
            <w:rPr>
              <w:rFonts w:hint="eastAsia"/>
              <w:szCs w:val="24"/>
              <w:lang w:val="en-US" w:eastAsia="ja-JP"/>
            </w:rPr>
            <w:t>Japan</w:t>
          </w:r>
        </w:smartTag>
      </w:smartTag>
      <w:r w:rsidRPr="006D66BF">
        <w:rPr>
          <w:rFonts w:hint="eastAsia"/>
          <w:szCs w:val="24"/>
          <w:lang w:val="en-US" w:eastAsia="ja-JP"/>
        </w:rPr>
        <w:t xml:space="preserve"> </w:t>
      </w:r>
      <w:r w:rsidRPr="006D66BF">
        <w:rPr>
          <w:szCs w:val="24"/>
          <w:lang w:val="en-US" w:eastAsia="ja-JP"/>
        </w:rPr>
        <w:t xml:space="preserve">is </w:t>
      </w:r>
      <w:r w:rsidRPr="006D66BF">
        <w:rPr>
          <w:rFonts w:hint="eastAsia"/>
          <w:szCs w:val="24"/>
          <w:lang w:val="en-US" w:eastAsia="ja-JP"/>
        </w:rPr>
        <w:t xml:space="preserve">between 100 and 1,000 tonnes/year </w:t>
      </w:r>
      <w:r w:rsidRPr="006D66BF">
        <w:rPr>
          <w:szCs w:val="24"/>
          <w:lang w:val="en-US" w:eastAsia="ja-JP"/>
        </w:rPr>
        <w:t>(CERI, 201</w:t>
      </w:r>
      <w:r w:rsidRPr="006D66BF">
        <w:rPr>
          <w:rFonts w:hint="eastAsia"/>
          <w:szCs w:val="24"/>
          <w:lang w:val="en-US" w:eastAsia="ja-JP"/>
        </w:rPr>
        <w:t>1a</w:t>
      </w:r>
      <w:r w:rsidRPr="006D66BF">
        <w:rPr>
          <w:szCs w:val="24"/>
          <w:lang w:val="en-US" w:eastAsia="ja-JP"/>
        </w:rPr>
        <w:t>).</w:t>
      </w:r>
      <w:r w:rsidRPr="006D66BF">
        <w:rPr>
          <w:rFonts w:hint="eastAsia"/>
          <w:szCs w:val="24"/>
          <w:lang w:val="en-US" w:eastAsia="ja-JP"/>
        </w:rPr>
        <w:t xml:space="preserve">   </w:t>
      </w:r>
      <w:r w:rsidRPr="006D66BF">
        <w:rPr>
          <w:szCs w:val="24"/>
          <w:lang w:eastAsia="ja-JP"/>
        </w:rPr>
        <w:t xml:space="preserve">Production and/or import volume of </w:t>
      </w:r>
      <w:r w:rsidRPr="006D66BF">
        <w:rPr>
          <w:rFonts w:hint="eastAsia"/>
          <w:szCs w:val="24"/>
        </w:rPr>
        <w:t>1</w:t>
      </w:r>
      <w:proofErr w:type="gramStart"/>
      <w:r w:rsidRPr="006D66BF">
        <w:rPr>
          <w:rFonts w:hint="eastAsia"/>
          <w:szCs w:val="24"/>
        </w:rPr>
        <w:t>,1,1</w:t>
      </w:r>
      <w:proofErr w:type="gramEnd"/>
      <w:r w:rsidRPr="006D66BF">
        <w:rPr>
          <w:rFonts w:hint="eastAsia"/>
          <w:szCs w:val="24"/>
        </w:rPr>
        <w:t>-</w:t>
      </w:r>
      <w:r w:rsidRPr="006D66BF">
        <w:rPr>
          <w:rFonts w:hint="eastAsia"/>
          <w:szCs w:val="24"/>
          <w:lang w:eastAsia="ja-JP"/>
        </w:rPr>
        <w:t>t</w:t>
      </w:r>
      <w:r w:rsidRPr="006D66BF">
        <w:rPr>
          <w:rFonts w:hint="eastAsia"/>
          <w:szCs w:val="24"/>
        </w:rPr>
        <w:t>ris(hydroxymethyl)ethane</w:t>
      </w:r>
      <w:r w:rsidRPr="006D66BF">
        <w:rPr>
          <w:szCs w:val="24"/>
          <w:lang w:eastAsia="ja-JP"/>
        </w:rPr>
        <w:t xml:space="preserve"> in the </w:t>
      </w:r>
      <w:smartTag w:uri="urn:schemas-microsoft-com:office:smarttags" w:element="place">
        <w:smartTag w:uri="urn:schemas-microsoft-com:office:smarttags" w:element="country-region">
          <w:r w:rsidRPr="006D66BF">
            <w:rPr>
              <w:szCs w:val="24"/>
              <w:lang w:eastAsia="ja-JP"/>
            </w:rPr>
            <w:t>United States</w:t>
          </w:r>
        </w:smartTag>
      </w:smartTag>
      <w:r w:rsidRPr="006D66BF">
        <w:rPr>
          <w:szCs w:val="24"/>
          <w:lang w:eastAsia="ja-JP"/>
        </w:rPr>
        <w:t xml:space="preserve"> was </w:t>
      </w:r>
      <w:r w:rsidRPr="006D66BF">
        <w:rPr>
          <w:rFonts w:hint="eastAsia"/>
          <w:szCs w:val="24"/>
          <w:lang w:eastAsia="ja-JP"/>
        </w:rPr>
        <w:t>between 1 million and 10 million</w:t>
      </w:r>
      <w:r w:rsidRPr="006D66BF">
        <w:rPr>
          <w:szCs w:val="24"/>
          <w:lang w:eastAsia="ja-JP"/>
        </w:rPr>
        <w:t xml:space="preserve"> pounds (</w:t>
      </w:r>
      <w:r w:rsidRPr="006D66BF">
        <w:rPr>
          <w:rFonts w:hint="eastAsia"/>
          <w:szCs w:val="24"/>
          <w:lang w:eastAsia="ja-JP"/>
        </w:rPr>
        <w:t>454,000 -</w:t>
      </w:r>
      <w:r w:rsidRPr="006D66BF">
        <w:rPr>
          <w:szCs w:val="24"/>
          <w:lang w:eastAsia="ja-JP"/>
        </w:rPr>
        <w:t xml:space="preserve"> </w:t>
      </w:r>
      <w:r w:rsidRPr="006D66BF">
        <w:rPr>
          <w:rFonts w:hint="eastAsia"/>
          <w:szCs w:val="24"/>
          <w:lang w:eastAsia="ja-JP"/>
        </w:rPr>
        <w:t xml:space="preserve">4,540,000 </w:t>
      </w:r>
      <w:r w:rsidRPr="006D66BF">
        <w:rPr>
          <w:szCs w:val="24"/>
          <w:lang w:eastAsia="ja-JP"/>
        </w:rPr>
        <w:t>tonnes) during 2006 according to Inventory Updated Reporting (USEPA, 201</w:t>
      </w:r>
      <w:r w:rsidRPr="006D66BF">
        <w:rPr>
          <w:rFonts w:hint="eastAsia"/>
          <w:szCs w:val="24"/>
          <w:lang w:eastAsia="ja-JP"/>
        </w:rPr>
        <w:t>1</w:t>
      </w:r>
      <w:r w:rsidRPr="006D66BF">
        <w:rPr>
          <w:szCs w:val="24"/>
          <w:lang w:eastAsia="ja-JP"/>
        </w:rPr>
        <w:t xml:space="preserve">). </w:t>
      </w:r>
      <w:r w:rsidRPr="006D66BF">
        <w:rPr>
          <w:rFonts w:hint="eastAsia"/>
          <w:szCs w:val="24"/>
          <w:lang w:eastAsia="ja-JP"/>
        </w:rPr>
        <w:t>P</w:t>
      </w:r>
      <w:r w:rsidRPr="006D66BF">
        <w:rPr>
          <w:szCs w:val="24"/>
          <w:lang w:eastAsia="ja-JP"/>
        </w:rPr>
        <w:t xml:space="preserve">roduction volume in the world is not </w:t>
      </w:r>
      <w:r w:rsidRPr="006D66BF">
        <w:rPr>
          <w:rFonts w:hint="eastAsia"/>
          <w:szCs w:val="24"/>
          <w:lang w:eastAsia="ja-JP"/>
        </w:rPr>
        <w:t>available</w:t>
      </w:r>
      <w:r w:rsidRPr="006D66BF">
        <w:rPr>
          <w:szCs w:val="24"/>
          <w:lang w:eastAsia="ja-JP"/>
        </w:rPr>
        <w:t xml:space="preserve">. </w:t>
      </w:r>
    </w:p>
    <w:p w14:paraId="30FFE5DE" w14:textId="77777777" w:rsidR="00D23AF3" w:rsidRPr="006D66BF" w:rsidRDefault="00D23AF3" w:rsidP="00E56A35">
      <w:pPr>
        <w:pStyle w:val="Heading9"/>
      </w:pPr>
      <w:r w:rsidRPr="006D66BF">
        <w:t>Production methods</w:t>
      </w:r>
    </w:p>
    <w:p w14:paraId="30FFE5DF" w14:textId="77777777" w:rsidR="00D23AF3" w:rsidRPr="006D66BF" w:rsidRDefault="00D23AF3" w:rsidP="00D23AF3">
      <w:pPr>
        <w:pStyle w:val="BodyText"/>
        <w:rPr>
          <w:szCs w:val="24"/>
          <w:lang w:eastAsia="ja-JP"/>
        </w:rPr>
      </w:pPr>
      <w:r w:rsidRPr="006D66BF">
        <w:rPr>
          <w:rFonts w:hint="eastAsia"/>
          <w:szCs w:val="24"/>
        </w:rPr>
        <w:t>1,1,1-</w:t>
      </w:r>
      <w:r w:rsidRPr="006D66BF">
        <w:rPr>
          <w:rFonts w:hint="eastAsia"/>
          <w:szCs w:val="24"/>
          <w:lang w:eastAsia="ja-JP"/>
        </w:rPr>
        <w:t>T</w:t>
      </w:r>
      <w:r w:rsidRPr="006D66BF">
        <w:rPr>
          <w:rFonts w:hint="eastAsia"/>
          <w:szCs w:val="24"/>
        </w:rPr>
        <w:t>ris(hydroxymethyl)ethane</w:t>
      </w:r>
      <w:r w:rsidRPr="006D66BF">
        <w:rPr>
          <w:szCs w:val="24"/>
          <w:lang w:eastAsia="ja-JP"/>
        </w:rPr>
        <w:t xml:space="preserve"> is produced </w:t>
      </w:r>
      <w:r w:rsidRPr="006D66BF">
        <w:rPr>
          <w:rFonts w:hint="eastAsia"/>
          <w:szCs w:val="24"/>
          <w:lang w:eastAsia="ja-JP"/>
        </w:rPr>
        <w:t>by aldol condensation of propionaldehyde with formaldehyde</w:t>
      </w:r>
      <w:r w:rsidRPr="006D66BF">
        <w:rPr>
          <w:szCs w:val="24"/>
          <w:lang w:eastAsia="ja-JP"/>
        </w:rPr>
        <w:t>,</w:t>
      </w:r>
      <w:r w:rsidRPr="006D66BF">
        <w:rPr>
          <w:rFonts w:hint="eastAsia"/>
          <w:szCs w:val="24"/>
          <w:lang w:eastAsia="ja-JP"/>
        </w:rPr>
        <w:t xml:space="preserve"> followed by reaction of the intermediate 2,2-bis(hydroxymethyl)propanal with excess formaldehyde in the presence of sodium hydroxide or lime as basic component</w:t>
      </w:r>
      <w:r w:rsidRPr="006D66BF">
        <w:rPr>
          <w:szCs w:val="24"/>
          <w:lang w:eastAsia="ja-JP"/>
        </w:rPr>
        <w:t xml:space="preserve"> (</w:t>
      </w:r>
      <w:r w:rsidRPr="006D66BF">
        <w:rPr>
          <w:rFonts w:hint="eastAsia"/>
          <w:szCs w:val="24"/>
          <w:lang w:eastAsia="ja-JP"/>
        </w:rPr>
        <w:t>HSDB</w:t>
      </w:r>
      <w:r w:rsidRPr="006D66BF">
        <w:rPr>
          <w:szCs w:val="24"/>
          <w:lang w:eastAsia="ja-JP"/>
        </w:rPr>
        <w:t>, 200</w:t>
      </w:r>
      <w:r w:rsidRPr="006D66BF">
        <w:rPr>
          <w:rFonts w:hint="eastAsia"/>
          <w:szCs w:val="24"/>
          <w:lang w:eastAsia="ja-JP"/>
        </w:rPr>
        <w:t>8</w:t>
      </w:r>
      <w:r w:rsidRPr="006D66BF">
        <w:rPr>
          <w:szCs w:val="24"/>
          <w:lang w:eastAsia="ja-JP"/>
        </w:rPr>
        <w:t xml:space="preserve">). </w:t>
      </w:r>
    </w:p>
    <w:p w14:paraId="30FFE5E0" w14:textId="77777777" w:rsidR="00347945" w:rsidRPr="006D66BF" w:rsidRDefault="00347945" w:rsidP="00E56A35">
      <w:pPr>
        <w:pStyle w:val="Heading9"/>
      </w:pPr>
      <w:r w:rsidRPr="006D66BF">
        <w:t>Use Pattern</w:t>
      </w:r>
    </w:p>
    <w:p w14:paraId="30FFE5E1" w14:textId="77777777" w:rsidR="00347945" w:rsidRPr="006D66BF" w:rsidRDefault="00347945" w:rsidP="00347945">
      <w:pPr>
        <w:pStyle w:val="BodyText"/>
        <w:spacing w:before="100" w:beforeAutospacing="1" w:after="100" w:afterAutospacing="1"/>
        <w:rPr>
          <w:szCs w:val="24"/>
          <w:lang w:val="en-US" w:eastAsia="ja-JP"/>
        </w:rPr>
      </w:pPr>
      <w:r w:rsidRPr="006D66BF">
        <w:rPr>
          <w:rFonts w:hint="eastAsia"/>
          <w:szCs w:val="24"/>
        </w:rPr>
        <w:t>1</w:t>
      </w:r>
      <w:proofErr w:type="gramStart"/>
      <w:r w:rsidRPr="006D66BF">
        <w:rPr>
          <w:rFonts w:hint="eastAsia"/>
          <w:szCs w:val="24"/>
        </w:rPr>
        <w:t>,1,1</w:t>
      </w:r>
      <w:proofErr w:type="gramEnd"/>
      <w:r w:rsidRPr="006D66BF">
        <w:rPr>
          <w:rFonts w:hint="eastAsia"/>
          <w:szCs w:val="24"/>
        </w:rPr>
        <w:t>-</w:t>
      </w:r>
      <w:r w:rsidRPr="006D66BF">
        <w:rPr>
          <w:rFonts w:hint="eastAsia"/>
          <w:szCs w:val="24"/>
          <w:lang w:eastAsia="ja-JP"/>
        </w:rPr>
        <w:t>T</w:t>
      </w:r>
      <w:r w:rsidRPr="006D66BF">
        <w:rPr>
          <w:rFonts w:hint="eastAsia"/>
          <w:szCs w:val="24"/>
        </w:rPr>
        <w:t>ris(hydroxymethyl)ethane</w:t>
      </w:r>
      <w:r w:rsidRPr="006D66BF">
        <w:rPr>
          <w:szCs w:val="24"/>
          <w:lang w:eastAsia="ja-JP"/>
        </w:rPr>
        <w:t xml:space="preserve"> is used </w:t>
      </w:r>
      <w:r w:rsidRPr="006D66BF">
        <w:rPr>
          <w:rFonts w:hint="eastAsia"/>
          <w:szCs w:val="24"/>
          <w:lang w:eastAsia="ja-JP"/>
        </w:rPr>
        <w:t xml:space="preserve">as a conditioning agent, manufacture of varnishes, alkyd and </w:t>
      </w:r>
      <w:r w:rsidRPr="006D66BF">
        <w:rPr>
          <w:szCs w:val="24"/>
          <w:lang w:eastAsia="ja-JP"/>
        </w:rPr>
        <w:t>polyester</w:t>
      </w:r>
      <w:r w:rsidRPr="006D66BF">
        <w:rPr>
          <w:rFonts w:hint="eastAsia"/>
          <w:szCs w:val="24"/>
          <w:lang w:eastAsia="ja-JP"/>
        </w:rPr>
        <w:t xml:space="preserve"> resins, synthetic drying oils</w:t>
      </w:r>
      <w:r w:rsidRPr="006D66BF">
        <w:rPr>
          <w:szCs w:val="24"/>
          <w:lang w:eastAsia="ja-JP"/>
        </w:rPr>
        <w:t xml:space="preserve"> (Lewis R.J., 2001). </w:t>
      </w:r>
      <w:r w:rsidRPr="006D66BF">
        <w:rPr>
          <w:rFonts w:hint="eastAsia"/>
          <w:szCs w:val="24"/>
        </w:rPr>
        <w:t>1</w:t>
      </w:r>
      <w:proofErr w:type="gramStart"/>
      <w:r w:rsidRPr="006D66BF">
        <w:rPr>
          <w:rFonts w:hint="eastAsia"/>
          <w:szCs w:val="24"/>
        </w:rPr>
        <w:t>,1,1</w:t>
      </w:r>
      <w:proofErr w:type="gramEnd"/>
      <w:r w:rsidRPr="006D66BF">
        <w:rPr>
          <w:rFonts w:hint="eastAsia"/>
          <w:szCs w:val="24"/>
        </w:rPr>
        <w:t>-</w:t>
      </w:r>
      <w:r w:rsidRPr="006D66BF">
        <w:rPr>
          <w:rFonts w:hint="eastAsia"/>
          <w:szCs w:val="24"/>
          <w:lang w:eastAsia="ja-JP"/>
        </w:rPr>
        <w:t>T</w:t>
      </w:r>
      <w:r w:rsidRPr="006D66BF">
        <w:rPr>
          <w:rFonts w:hint="eastAsia"/>
          <w:szCs w:val="24"/>
        </w:rPr>
        <w:t>ris(hydroxymethyl)ethane</w:t>
      </w:r>
      <w:r w:rsidRPr="006D66BF">
        <w:rPr>
          <w:rFonts w:hint="eastAsia"/>
          <w:szCs w:val="24"/>
          <w:lang w:eastAsia="ja-JP"/>
        </w:rPr>
        <w:t xml:space="preserve"> is also used as a coating agent for titanium dioxide pigment (</w:t>
      </w:r>
      <w:r w:rsidRPr="006D66BF">
        <w:rPr>
          <w:szCs w:val="24"/>
          <w:lang w:eastAsia="ja-JP"/>
        </w:rPr>
        <w:t>Kirk-Othmer, 2004</w:t>
      </w:r>
      <w:r w:rsidRPr="006D66BF">
        <w:rPr>
          <w:rFonts w:hint="eastAsia"/>
          <w:szCs w:val="24"/>
          <w:lang w:eastAsia="ja-JP"/>
        </w:rPr>
        <w:t xml:space="preserve">). According to </w:t>
      </w:r>
      <w:r w:rsidRPr="006D66BF">
        <w:rPr>
          <w:szCs w:val="24"/>
          <w:lang w:eastAsia="ja-JP"/>
        </w:rPr>
        <w:t>Inventory Updated Reporting (USEPA, 201</w:t>
      </w:r>
      <w:r w:rsidRPr="006D66BF">
        <w:rPr>
          <w:rFonts w:hint="eastAsia"/>
          <w:szCs w:val="24"/>
          <w:lang w:eastAsia="ja-JP"/>
        </w:rPr>
        <w:t>1</w:t>
      </w:r>
      <w:r w:rsidRPr="006D66BF">
        <w:rPr>
          <w:szCs w:val="24"/>
          <w:lang w:eastAsia="ja-JP"/>
        </w:rPr>
        <w:t>)</w:t>
      </w:r>
      <w:r w:rsidRPr="006D66BF">
        <w:rPr>
          <w:rFonts w:hint="eastAsia"/>
          <w:szCs w:val="24"/>
          <w:lang w:eastAsia="ja-JP"/>
        </w:rPr>
        <w:t xml:space="preserve">, </w:t>
      </w:r>
      <w:r w:rsidRPr="006D66BF">
        <w:rPr>
          <w:rFonts w:hint="eastAsia"/>
          <w:szCs w:val="24"/>
        </w:rPr>
        <w:t>1</w:t>
      </w:r>
      <w:proofErr w:type="gramStart"/>
      <w:r w:rsidRPr="006D66BF">
        <w:rPr>
          <w:rFonts w:hint="eastAsia"/>
          <w:szCs w:val="24"/>
        </w:rPr>
        <w:t>,1,1</w:t>
      </w:r>
      <w:proofErr w:type="gramEnd"/>
      <w:r w:rsidRPr="006D66BF">
        <w:rPr>
          <w:rFonts w:hint="eastAsia"/>
          <w:szCs w:val="24"/>
        </w:rPr>
        <w:t>-</w:t>
      </w:r>
      <w:r>
        <w:rPr>
          <w:rFonts w:hint="eastAsia"/>
          <w:szCs w:val="24"/>
          <w:lang w:eastAsia="ja-JP"/>
        </w:rPr>
        <w:t>t</w:t>
      </w:r>
      <w:r w:rsidRPr="006D66BF">
        <w:rPr>
          <w:rFonts w:hint="eastAsia"/>
          <w:szCs w:val="24"/>
        </w:rPr>
        <w:t>ris(hydroxymethyl)ethane</w:t>
      </w:r>
      <w:r w:rsidRPr="006D66BF">
        <w:rPr>
          <w:rFonts w:hint="eastAsia"/>
          <w:szCs w:val="24"/>
          <w:lang w:eastAsia="ja-JP"/>
        </w:rPr>
        <w:t xml:space="preserve"> is included in consumer products such as paints and coatings.</w:t>
      </w:r>
    </w:p>
    <w:p w14:paraId="30FFE5E2" w14:textId="77777777" w:rsidR="00347945" w:rsidRPr="006D66BF" w:rsidRDefault="00347945" w:rsidP="00347945">
      <w:pPr>
        <w:pStyle w:val="Heading2"/>
        <w:rPr>
          <w:rFonts w:ascii="Times New Roman" w:hAnsi="Times New Roman"/>
          <w:szCs w:val="24"/>
        </w:rPr>
      </w:pPr>
      <w:bookmarkStart w:id="36" w:name="_Toc32726017"/>
      <w:bookmarkStart w:id="37" w:name="_Toc32727200"/>
      <w:bookmarkStart w:id="38" w:name="_Toc171146301"/>
      <w:bookmarkStart w:id="39" w:name="_Toc282509914"/>
      <w:bookmarkStart w:id="40" w:name="_Toc297297709"/>
      <w:r w:rsidRPr="006D66BF">
        <w:rPr>
          <w:rFonts w:ascii="Times New Roman" w:hAnsi="Times New Roman"/>
          <w:szCs w:val="24"/>
        </w:rPr>
        <w:t>Environmental Exposure and Fate</w:t>
      </w:r>
      <w:bookmarkEnd w:id="36"/>
      <w:bookmarkEnd w:id="37"/>
      <w:bookmarkEnd w:id="38"/>
      <w:bookmarkEnd w:id="39"/>
      <w:bookmarkEnd w:id="40"/>
    </w:p>
    <w:p w14:paraId="30FFE5E3" w14:textId="77777777" w:rsidR="00347945" w:rsidRPr="006D66BF" w:rsidRDefault="00347945" w:rsidP="00347945">
      <w:pPr>
        <w:pStyle w:val="Heading3"/>
        <w:rPr>
          <w:lang w:eastAsia="ja-JP"/>
        </w:rPr>
      </w:pPr>
      <w:bookmarkStart w:id="41" w:name="_Toc93464275"/>
      <w:bookmarkStart w:id="42" w:name="_Toc171146302"/>
      <w:bookmarkStart w:id="43" w:name="_Toc282509915"/>
      <w:bookmarkStart w:id="44" w:name="_Toc297297710"/>
      <w:r w:rsidRPr="006D66BF">
        <w:t>Sources of Environmental Exposure</w:t>
      </w:r>
      <w:bookmarkEnd w:id="41"/>
      <w:bookmarkEnd w:id="42"/>
      <w:bookmarkEnd w:id="43"/>
      <w:bookmarkEnd w:id="44"/>
    </w:p>
    <w:p w14:paraId="30FFE5E4" w14:textId="77777777" w:rsidR="00347945" w:rsidRPr="006D66BF" w:rsidRDefault="00347945" w:rsidP="00347945">
      <w:pPr>
        <w:pStyle w:val="BodyText"/>
        <w:rPr>
          <w:kern w:val="2"/>
          <w:szCs w:val="24"/>
          <w:lang w:eastAsia="ja-JP"/>
        </w:rPr>
      </w:pPr>
      <w:r w:rsidRPr="006D66BF">
        <w:rPr>
          <w:rFonts w:hint="eastAsia"/>
          <w:kern w:val="2"/>
          <w:szCs w:val="24"/>
          <w:lang w:eastAsia="ja-JP"/>
        </w:rPr>
        <w:t xml:space="preserve">No detailed information concerning production of </w:t>
      </w:r>
      <w:r w:rsidRPr="006D66BF">
        <w:rPr>
          <w:rFonts w:hint="eastAsia"/>
          <w:szCs w:val="24"/>
        </w:rPr>
        <w:t>1</w:t>
      </w:r>
      <w:proofErr w:type="gramStart"/>
      <w:r w:rsidRPr="006D66BF">
        <w:rPr>
          <w:rFonts w:hint="eastAsia"/>
          <w:szCs w:val="24"/>
        </w:rPr>
        <w:t>,1,1</w:t>
      </w:r>
      <w:proofErr w:type="gramEnd"/>
      <w:r w:rsidRPr="006D66BF">
        <w:rPr>
          <w:rFonts w:hint="eastAsia"/>
          <w:szCs w:val="24"/>
        </w:rPr>
        <w:t>-</w:t>
      </w:r>
      <w:r w:rsidRPr="006D66BF">
        <w:rPr>
          <w:rFonts w:hint="eastAsia"/>
          <w:szCs w:val="24"/>
          <w:lang w:eastAsia="ja-JP"/>
        </w:rPr>
        <w:t>t</w:t>
      </w:r>
      <w:r w:rsidRPr="006D66BF">
        <w:rPr>
          <w:rFonts w:hint="eastAsia"/>
          <w:szCs w:val="24"/>
        </w:rPr>
        <w:t>ris(hydroxymethyl)ethane</w:t>
      </w:r>
      <w:r w:rsidRPr="006D66BF">
        <w:rPr>
          <w:rFonts w:hint="eastAsia"/>
          <w:kern w:val="2"/>
          <w:szCs w:val="24"/>
          <w:lang w:eastAsia="ja-JP"/>
        </w:rPr>
        <w:t xml:space="preserve"> was obtained </w:t>
      </w:r>
      <w:r w:rsidRPr="006D66BF">
        <w:rPr>
          <w:kern w:val="2"/>
          <w:szCs w:val="24"/>
          <w:lang w:val="en-US" w:eastAsia="ja-JP"/>
        </w:rPr>
        <w:t xml:space="preserve">in </w:t>
      </w:r>
      <w:smartTag w:uri="urn:schemas-microsoft-com:office:smarttags" w:element="country-region">
        <w:r w:rsidRPr="006D66BF">
          <w:rPr>
            <w:rFonts w:hint="eastAsia"/>
            <w:kern w:val="2"/>
            <w:szCs w:val="24"/>
            <w:lang w:val="en-US" w:eastAsia="ja-JP"/>
          </w:rPr>
          <w:t>Japan</w:t>
        </w:r>
      </w:smartTag>
      <w:r w:rsidRPr="006D66BF">
        <w:rPr>
          <w:kern w:val="2"/>
          <w:szCs w:val="24"/>
          <w:lang w:val="en-US" w:eastAsia="ja-JP"/>
        </w:rPr>
        <w:t xml:space="preserve"> </w:t>
      </w:r>
      <w:r w:rsidRPr="006D66BF">
        <w:rPr>
          <w:rFonts w:hint="eastAsia"/>
          <w:kern w:val="2"/>
          <w:szCs w:val="24"/>
          <w:lang w:val="en-US" w:eastAsia="ja-JP"/>
        </w:rPr>
        <w:t>(</w:t>
      </w:r>
      <w:r w:rsidRPr="006D66BF">
        <w:rPr>
          <w:kern w:val="2"/>
          <w:szCs w:val="24"/>
          <w:lang w:val="en-US" w:eastAsia="ja-JP"/>
        </w:rPr>
        <w:t>sponsor country</w:t>
      </w:r>
      <w:r w:rsidRPr="006D66BF">
        <w:rPr>
          <w:rFonts w:hint="eastAsia"/>
          <w:kern w:val="2"/>
          <w:szCs w:val="24"/>
          <w:lang w:val="en-US" w:eastAsia="ja-JP"/>
        </w:rPr>
        <w:t xml:space="preserve">) because this </w:t>
      </w:r>
      <w:r w:rsidRPr="006D66BF">
        <w:rPr>
          <w:kern w:val="2"/>
          <w:szCs w:val="24"/>
          <w:lang w:val="en-US" w:eastAsia="ja-JP"/>
        </w:rPr>
        <w:t>substance</w:t>
      </w:r>
      <w:r w:rsidRPr="006D66BF">
        <w:rPr>
          <w:rFonts w:hint="eastAsia"/>
          <w:kern w:val="2"/>
          <w:szCs w:val="24"/>
          <w:lang w:val="en-US" w:eastAsia="ja-JP"/>
        </w:rPr>
        <w:t xml:space="preserve"> seems not to be produced in </w:t>
      </w:r>
      <w:smartTag w:uri="urn:schemas-microsoft-com:office:smarttags" w:element="place">
        <w:smartTag w:uri="urn:schemas-microsoft-com:office:smarttags" w:element="country-region">
          <w:r w:rsidRPr="006D66BF">
            <w:rPr>
              <w:rFonts w:hint="eastAsia"/>
              <w:kern w:val="2"/>
              <w:szCs w:val="24"/>
              <w:lang w:val="en-US" w:eastAsia="ja-JP"/>
            </w:rPr>
            <w:t>Japan</w:t>
          </w:r>
        </w:smartTag>
      </w:smartTag>
      <w:r w:rsidRPr="006D66BF">
        <w:rPr>
          <w:kern w:val="2"/>
          <w:szCs w:val="24"/>
          <w:lang w:val="en-US" w:eastAsia="ja-JP"/>
        </w:rPr>
        <w:t xml:space="preserve"> </w:t>
      </w:r>
      <w:r w:rsidRPr="006D66BF">
        <w:rPr>
          <w:rFonts w:hint="eastAsia"/>
          <w:kern w:val="2"/>
          <w:szCs w:val="24"/>
          <w:lang w:val="en-US" w:eastAsia="ja-JP"/>
        </w:rPr>
        <w:t>(</w:t>
      </w:r>
      <w:r w:rsidRPr="006D66BF">
        <w:rPr>
          <w:kern w:val="2"/>
          <w:szCs w:val="24"/>
          <w:lang w:val="en-US" w:eastAsia="ja-JP"/>
        </w:rPr>
        <w:t>sponsor country</w:t>
      </w:r>
      <w:r w:rsidRPr="006D66BF">
        <w:rPr>
          <w:rFonts w:hint="eastAsia"/>
          <w:kern w:val="2"/>
          <w:szCs w:val="24"/>
          <w:lang w:val="en-US" w:eastAsia="ja-JP"/>
        </w:rPr>
        <w:t>). No detailed information concerning the release during processing was obtained.</w:t>
      </w:r>
    </w:p>
    <w:p w14:paraId="30FFE5E5" w14:textId="77777777" w:rsidR="00347945" w:rsidRPr="006D66BF" w:rsidRDefault="00347945" w:rsidP="00347945">
      <w:pPr>
        <w:pStyle w:val="Heading3"/>
        <w:jc w:val="both"/>
        <w:rPr>
          <w:rFonts w:ascii="Times New Roman" w:hAnsi="Times New Roman"/>
          <w:szCs w:val="24"/>
        </w:rPr>
      </w:pPr>
      <w:bookmarkStart w:id="45" w:name="_Toc32726018"/>
      <w:bookmarkStart w:id="46" w:name="_Toc32727201"/>
      <w:bookmarkStart w:id="47" w:name="_Toc93464276"/>
      <w:bookmarkStart w:id="48" w:name="_Toc171146303"/>
      <w:bookmarkStart w:id="49" w:name="_Toc282509916"/>
      <w:bookmarkStart w:id="50" w:name="_Toc297297711"/>
      <w:r w:rsidRPr="006D66BF">
        <w:rPr>
          <w:rFonts w:ascii="Times New Roman" w:hAnsi="Times New Roman"/>
          <w:szCs w:val="24"/>
        </w:rPr>
        <w:t>Photo-degradation</w:t>
      </w:r>
      <w:bookmarkEnd w:id="45"/>
      <w:bookmarkEnd w:id="46"/>
      <w:bookmarkEnd w:id="47"/>
      <w:bookmarkEnd w:id="48"/>
      <w:bookmarkEnd w:id="49"/>
      <w:bookmarkEnd w:id="50"/>
    </w:p>
    <w:p w14:paraId="30FFE5E6" w14:textId="77777777" w:rsidR="00347945" w:rsidRPr="006D66BF" w:rsidRDefault="00347945" w:rsidP="00347945">
      <w:pPr>
        <w:pStyle w:val="BodyText"/>
        <w:rPr>
          <w:snapToGrid w:val="0"/>
          <w:kern w:val="2"/>
          <w:szCs w:val="24"/>
          <w:lang w:val="en-US" w:eastAsia="ja-JP"/>
        </w:rPr>
      </w:pPr>
      <w:r w:rsidRPr="006D66BF">
        <w:rPr>
          <w:rFonts w:hint="eastAsia"/>
          <w:szCs w:val="24"/>
        </w:rPr>
        <w:t>1</w:t>
      </w:r>
      <w:proofErr w:type="gramStart"/>
      <w:r w:rsidRPr="006D66BF">
        <w:rPr>
          <w:rFonts w:hint="eastAsia"/>
          <w:szCs w:val="24"/>
        </w:rPr>
        <w:t>,1,1</w:t>
      </w:r>
      <w:proofErr w:type="gramEnd"/>
      <w:r w:rsidRPr="006D66BF">
        <w:rPr>
          <w:rFonts w:hint="eastAsia"/>
          <w:szCs w:val="24"/>
        </w:rPr>
        <w:t>-</w:t>
      </w:r>
      <w:r w:rsidRPr="006D66BF">
        <w:rPr>
          <w:rFonts w:hint="eastAsia"/>
          <w:szCs w:val="24"/>
          <w:lang w:eastAsia="ja-JP"/>
        </w:rPr>
        <w:t>T</w:t>
      </w:r>
      <w:r w:rsidRPr="006D66BF">
        <w:rPr>
          <w:rFonts w:hint="eastAsia"/>
          <w:szCs w:val="24"/>
        </w:rPr>
        <w:t>ris(hydroxymethyl)ethane</w:t>
      </w:r>
      <w:r w:rsidRPr="006D66BF" w:rsidDel="00A2586B">
        <w:rPr>
          <w:rFonts w:hint="eastAsia"/>
          <w:snapToGrid w:val="0"/>
          <w:kern w:val="2"/>
          <w:szCs w:val="24"/>
          <w:lang w:val="en-US" w:eastAsia="ja-JP"/>
        </w:rPr>
        <w:t xml:space="preserve"> </w:t>
      </w:r>
      <w:r w:rsidRPr="006D66BF">
        <w:rPr>
          <w:rFonts w:hint="eastAsia"/>
          <w:snapToGrid w:val="0"/>
          <w:kern w:val="2"/>
          <w:szCs w:val="24"/>
          <w:lang w:val="en-US" w:eastAsia="ja-JP"/>
        </w:rPr>
        <w:t xml:space="preserve">entering in the atmosphere is expected to be degraded by </w:t>
      </w:r>
      <w:r w:rsidRPr="006D66BF">
        <w:rPr>
          <w:snapToGrid w:val="0"/>
          <w:kern w:val="2"/>
          <w:szCs w:val="24"/>
          <w:lang w:val="en-US" w:eastAsia="ja-JP"/>
        </w:rPr>
        <w:t xml:space="preserve">hydroxyl </w:t>
      </w:r>
      <w:r w:rsidRPr="006D66BF">
        <w:rPr>
          <w:rFonts w:hint="eastAsia"/>
          <w:snapToGrid w:val="0"/>
          <w:kern w:val="2"/>
          <w:szCs w:val="24"/>
          <w:lang w:val="en-US" w:eastAsia="ja-JP"/>
        </w:rPr>
        <w:t xml:space="preserve">radicals. </w:t>
      </w:r>
      <w:r w:rsidRPr="006D66BF">
        <w:rPr>
          <w:snapToGrid w:val="0"/>
          <w:kern w:val="2"/>
          <w:szCs w:val="24"/>
          <w:lang w:val="en-US" w:eastAsia="ja-JP"/>
        </w:rPr>
        <w:t xml:space="preserve"> Using AOPW</w:t>
      </w:r>
      <w:r w:rsidRPr="006D66BF">
        <w:rPr>
          <w:rFonts w:hint="eastAsia"/>
          <w:snapToGrid w:val="0"/>
          <w:kern w:val="2"/>
          <w:szCs w:val="24"/>
          <w:lang w:val="en-US" w:eastAsia="ja-JP"/>
        </w:rPr>
        <w:t>IN</w:t>
      </w:r>
      <w:r w:rsidRPr="006D66BF">
        <w:rPr>
          <w:snapToGrid w:val="0"/>
          <w:kern w:val="2"/>
          <w:szCs w:val="24"/>
          <w:lang w:val="en-US" w:eastAsia="ja-JP"/>
        </w:rPr>
        <w:t xml:space="preserve"> (version 1.92a), a calculated half-life time of 0.</w:t>
      </w:r>
      <w:r w:rsidRPr="006D66BF">
        <w:rPr>
          <w:rFonts w:hint="eastAsia"/>
          <w:snapToGrid w:val="0"/>
          <w:kern w:val="2"/>
          <w:szCs w:val="24"/>
          <w:lang w:val="en-US" w:eastAsia="ja-JP"/>
        </w:rPr>
        <w:t>85</w:t>
      </w:r>
      <w:r w:rsidRPr="006D66BF">
        <w:rPr>
          <w:snapToGrid w:val="0"/>
          <w:kern w:val="2"/>
          <w:szCs w:val="24"/>
          <w:lang w:val="en-US" w:eastAsia="ja-JP"/>
        </w:rPr>
        <w:t xml:space="preserve"> days and a rate constant of </w:t>
      </w:r>
      <w:r w:rsidRPr="006D66BF">
        <w:rPr>
          <w:rFonts w:hint="eastAsia"/>
          <w:snapToGrid w:val="0"/>
          <w:kern w:val="2"/>
          <w:szCs w:val="24"/>
          <w:lang w:val="en-US" w:eastAsia="ja-JP"/>
        </w:rPr>
        <w:t>12.6</w:t>
      </w:r>
      <w:r w:rsidRPr="006D66BF">
        <w:rPr>
          <w:snapToGrid w:val="0"/>
          <w:kern w:val="2"/>
          <w:szCs w:val="24"/>
          <w:lang w:val="en-US" w:eastAsia="ja-JP"/>
        </w:rPr>
        <w:t>×10</w:t>
      </w:r>
      <w:r w:rsidRPr="006D66BF">
        <w:rPr>
          <w:snapToGrid w:val="0"/>
          <w:kern w:val="2"/>
          <w:szCs w:val="24"/>
          <w:vertAlign w:val="superscript"/>
          <w:lang w:val="en-US" w:eastAsia="ja-JP"/>
        </w:rPr>
        <w:t>-12</w:t>
      </w:r>
      <w:r w:rsidRPr="006D66BF">
        <w:rPr>
          <w:snapToGrid w:val="0"/>
          <w:kern w:val="2"/>
          <w:szCs w:val="24"/>
          <w:lang w:val="en-US" w:eastAsia="ja-JP"/>
        </w:rPr>
        <w:t xml:space="preserve"> cm</w:t>
      </w:r>
      <w:r w:rsidRPr="006D66BF">
        <w:rPr>
          <w:snapToGrid w:val="0"/>
          <w:kern w:val="2"/>
          <w:szCs w:val="24"/>
          <w:vertAlign w:val="superscript"/>
          <w:lang w:val="en-US" w:eastAsia="ja-JP"/>
        </w:rPr>
        <w:t>3</w:t>
      </w:r>
      <w:r w:rsidRPr="006D66BF">
        <w:rPr>
          <w:snapToGrid w:val="0"/>
          <w:kern w:val="2"/>
          <w:szCs w:val="24"/>
          <w:lang w:val="en-US" w:eastAsia="ja-JP"/>
        </w:rPr>
        <w:t xml:space="preserve">/molecule-sec are obtained for the indirect photo-oxidation of </w:t>
      </w:r>
      <w:r w:rsidRPr="006D66BF">
        <w:rPr>
          <w:rFonts w:hint="eastAsia"/>
          <w:szCs w:val="24"/>
        </w:rPr>
        <w:t>1,1,1-</w:t>
      </w:r>
      <w:r w:rsidRPr="006D66BF">
        <w:rPr>
          <w:rFonts w:hint="eastAsia"/>
          <w:szCs w:val="24"/>
          <w:lang w:eastAsia="ja-JP"/>
        </w:rPr>
        <w:t>t</w:t>
      </w:r>
      <w:r w:rsidRPr="006D66BF">
        <w:rPr>
          <w:rFonts w:hint="eastAsia"/>
          <w:szCs w:val="24"/>
        </w:rPr>
        <w:t>ris(hydroxymethyl)ethane</w:t>
      </w:r>
      <w:r w:rsidRPr="006D66BF" w:rsidDel="00A2586B">
        <w:rPr>
          <w:rFonts w:hint="eastAsia"/>
          <w:snapToGrid w:val="0"/>
          <w:kern w:val="2"/>
          <w:szCs w:val="24"/>
          <w:lang w:val="en-US" w:eastAsia="ja-JP"/>
        </w:rPr>
        <w:t xml:space="preserve"> </w:t>
      </w:r>
      <w:r w:rsidRPr="006D66BF">
        <w:rPr>
          <w:snapToGrid w:val="0"/>
          <w:kern w:val="2"/>
          <w:szCs w:val="24"/>
          <w:lang w:val="en-US" w:eastAsia="ja-JP"/>
        </w:rPr>
        <w:t>by reaction with hydroxyl radicals in air (USEPA, 2008b). Concentration of hydroxyl radicals was assumed to be 1.5×10</w:t>
      </w:r>
      <w:r w:rsidRPr="006D66BF">
        <w:rPr>
          <w:snapToGrid w:val="0"/>
          <w:kern w:val="2"/>
          <w:szCs w:val="24"/>
          <w:vertAlign w:val="superscript"/>
          <w:lang w:val="en-US" w:eastAsia="ja-JP"/>
        </w:rPr>
        <w:t>6</w:t>
      </w:r>
      <w:r w:rsidRPr="006D66BF">
        <w:rPr>
          <w:snapToGrid w:val="0"/>
          <w:kern w:val="2"/>
          <w:szCs w:val="24"/>
          <w:lang w:val="en-US" w:eastAsia="ja-JP"/>
        </w:rPr>
        <w:t xml:space="preserve"> OH/cm</w:t>
      </w:r>
      <w:r w:rsidRPr="006D66BF">
        <w:rPr>
          <w:snapToGrid w:val="0"/>
          <w:kern w:val="2"/>
          <w:szCs w:val="24"/>
          <w:vertAlign w:val="superscript"/>
          <w:lang w:val="en-US" w:eastAsia="ja-JP"/>
        </w:rPr>
        <w:t>3</w:t>
      </w:r>
      <w:r w:rsidRPr="006D66BF">
        <w:rPr>
          <w:snapToGrid w:val="0"/>
          <w:kern w:val="2"/>
          <w:szCs w:val="24"/>
          <w:lang w:val="en-US" w:eastAsia="ja-JP"/>
        </w:rPr>
        <w:t xml:space="preserve"> and time f</w:t>
      </w:r>
      <w:r w:rsidRPr="006D66BF">
        <w:rPr>
          <w:rFonts w:hint="eastAsia"/>
          <w:snapToGrid w:val="0"/>
          <w:kern w:val="2"/>
          <w:szCs w:val="24"/>
          <w:lang w:val="en-US" w:eastAsia="ja-JP"/>
        </w:rPr>
        <w:t>r</w:t>
      </w:r>
      <w:r w:rsidRPr="006D66BF">
        <w:rPr>
          <w:snapToGrid w:val="0"/>
          <w:kern w:val="2"/>
          <w:szCs w:val="24"/>
          <w:lang w:val="en-US" w:eastAsia="ja-JP"/>
        </w:rPr>
        <w:t xml:space="preserve">ame of hydroxyl radicals is 12 hours/day. </w:t>
      </w:r>
    </w:p>
    <w:p w14:paraId="30FFE5E7" w14:textId="77777777" w:rsidR="00347945" w:rsidRPr="006D66BF" w:rsidRDefault="00347945" w:rsidP="00347945">
      <w:pPr>
        <w:pStyle w:val="Heading3"/>
        <w:jc w:val="both"/>
        <w:rPr>
          <w:rFonts w:ascii="Times New Roman" w:hAnsi="Times New Roman"/>
          <w:szCs w:val="24"/>
        </w:rPr>
      </w:pPr>
      <w:bookmarkStart w:id="51" w:name="_Toc32726019"/>
      <w:bookmarkStart w:id="52" w:name="_Toc32727202"/>
      <w:bookmarkStart w:id="53" w:name="_Toc93464277"/>
      <w:bookmarkStart w:id="54" w:name="_Toc171146304"/>
      <w:bookmarkStart w:id="55" w:name="_Toc282509917"/>
      <w:bookmarkStart w:id="56" w:name="_Toc297297712"/>
      <w:r w:rsidRPr="006D66BF">
        <w:rPr>
          <w:rFonts w:ascii="Times New Roman" w:hAnsi="Times New Roman"/>
          <w:szCs w:val="24"/>
        </w:rPr>
        <w:t>Stability in Water</w:t>
      </w:r>
      <w:bookmarkEnd w:id="51"/>
      <w:bookmarkEnd w:id="52"/>
      <w:bookmarkEnd w:id="53"/>
      <w:bookmarkEnd w:id="54"/>
      <w:bookmarkEnd w:id="55"/>
      <w:bookmarkEnd w:id="56"/>
    </w:p>
    <w:p w14:paraId="30FFE5E8" w14:textId="77777777" w:rsidR="00347945" w:rsidRPr="006D66BF" w:rsidRDefault="00347945" w:rsidP="00347945">
      <w:pPr>
        <w:pStyle w:val="BodyText"/>
        <w:rPr>
          <w:kern w:val="2"/>
          <w:lang w:val="en-US" w:eastAsia="ja-JP"/>
        </w:rPr>
      </w:pPr>
      <w:r w:rsidRPr="006D66BF">
        <w:rPr>
          <w:rFonts w:hint="eastAsia"/>
          <w:szCs w:val="24"/>
        </w:rPr>
        <w:t>1</w:t>
      </w:r>
      <w:proofErr w:type="gramStart"/>
      <w:r w:rsidRPr="006D66BF">
        <w:rPr>
          <w:rFonts w:hint="eastAsia"/>
          <w:szCs w:val="24"/>
        </w:rPr>
        <w:t>,1,1</w:t>
      </w:r>
      <w:proofErr w:type="gramEnd"/>
      <w:r w:rsidRPr="006D66BF">
        <w:rPr>
          <w:rFonts w:hint="eastAsia"/>
          <w:szCs w:val="24"/>
        </w:rPr>
        <w:t>-</w:t>
      </w:r>
      <w:r w:rsidRPr="006D66BF">
        <w:rPr>
          <w:rFonts w:hint="eastAsia"/>
          <w:szCs w:val="24"/>
          <w:lang w:eastAsia="ja-JP"/>
        </w:rPr>
        <w:t>T</w:t>
      </w:r>
      <w:r w:rsidRPr="006D66BF">
        <w:rPr>
          <w:rFonts w:hint="eastAsia"/>
          <w:szCs w:val="24"/>
        </w:rPr>
        <w:t>ris(hydroxymethyl)ethane</w:t>
      </w:r>
      <w:r w:rsidRPr="006D66BF">
        <w:rPr>
          <w:snapToGrid w:val="0"/>
          <w:kern w:val="2"/>
          <w:szCs w:val="24"/>
          <w:lang w:val="en-US" w:eastAsia="ja-JP"/>
        </w:rPr>
        <w:t xml:space="preserve"> is not hydroly</w:t>
      </w:r>
      <w:r w:rsidRPr="006D66BF">
        <w:rPr>
          <w:rFonts w:hint="eastAsia"/>
          <w:snapToGrid w:val="0"/>
          <w:kern w:val="2"/>
          <w:szCs w:val="24"/>
          <w:lang w:val="en-US" w:eastAsia="ja-JP"/>
        </w:rPr>
        <w:t xml:space="preserve">zed </w:t>
      </w:r>
      <w:r w:rsidRPr="006D66BF">
        <w:rPr>
          <w:snapToGrid w:val="0"/>
          <w:kern w:val="2"/>
          <w:szCs w:val="24"/>
          <w:lang w:val="en-US" w:eastAsia="ja-JP"/>
        </w:rPr>
        <w:t xml:space="preserve">due to the lack of hydrolysable functional groups. </w:t>
      </w:r>
      <w:r w:rsidRPr="006D66BF">
        <w:rPr>
          <w:kern w:val="2"/>
          <w:lang w:val="en-US"/>
        </w:rPr>
        <w:t>A study according to OECD test</w:t>
      </w:r>
      <w:r w:rsidRPr="006D66BF">
        <w:rPr>
          <w:rFonts w:hint="eastAsia"/>
          <w:kern w:val="2"/>
          <w:lang w:val="en-US" w:eastAsia="ja-JP"/>
        </w:rPr>
        <w:t>-</w:t>
      </w:r>
      <w:r w:rsidRPr="006D66BF">
        <w:rPr>
          <w:kern w:val="2"/>
          <w:lang w:val="en-US"/>
        </w:rPr>
        <w:t xml:space="preserve">guideline 111 showed no hydrolysis of </w:t>
      </w:r>
      <w:r w:rsidRPr="006D66BF">
        <w:rPr>
          <w:rFonts w:hint="eastAsia"/>
          <w:szCs w:val="24"/>
        </w:rPr>
        <w:t>1,1,1-</w:t>
      </w:r>
      <w:r>
        <w:rPr>
          <w:rFonts w:hint="eastAsia"/>
          <w:szCs w:val="24"/>
          <w:lang w:eastAsia="ja-JP"/>
        </w:rPr>
        <w:t>t</w:t>
      </w:r>
      <w:r w:rsidRPr="006D66BF">
        <w:rPr>
          <w:rFonts w:hint="eastAsia"/>
          <w:szCs w:val="24"/>
        </w:rPr>
        <w:t>ris(hydroxymethyl)ethane</w:t>
      </w:r>
      <w:r w:rsidRPr="006D66BF">
        <w:rPr>
          <w:kern w:val="2"/>
          <w:lang w:val="en-US"/>
        </w:rPr>
        <w:t xml:space="preserve"> in water at pH 4, 7 and 9 in 50 </w:t>
      </w:r>
      <w:r w:rsidRPr="006D66BF">
        <w:rPr>
          <w:szCs w:val="24"/>
          <w:lang w:val="en-US" w:eastAsia="ja-JP"/>
        </w:rPr>
        <w:t>°C</w:t>
      </w:r>
      <w:r w:rsidRPr="006D66BF">
        <w:rPr>
          <w:kern w:val="2"/>
          <w:lang w:val="en-US"/>
        </w:rPr>
        <w:t xml:space="preserve"> after five days (C</w:t>
      </w:r>
      <w:r w:rsidRPr="006D66BF">
        <w:rPr>
          <w:rFonts w:hint="eastAsia"/>
          <w:kern w:val="2"/>
          <w:lang w:val="en-US" w:eastAsia="ja-JP"/>
        </w:rPr>
        <w:t>ITI</w:t>
      </w:r>
      <w:r w:rsidRPr="006D66BF">
        <w:rPr>
          <w:kern w:val="2"/>
          <w:lang w:val="en-US"/>
        </w:rPr>
        <w:t>, 199</w:t>
      </w:r>
      <w:r w:rsidRPr="006D66BF">
        <w:rPr>
          <w:rFonts w:hint="eastAsia"/>
          <w:kern w:val="2"/>
          <w:lang w:val="en-US" w:eastAsia="ja-JP"/>
        </w:rPr>
        <w:t>8</w:t>
      </w:r>
      <w:r w:rsidRPr="006D66BF">
        <w:rPr>
          <w:kern w:val="2"/>
          <w:lang w:val="en-US"/>
        </w:rPr>
        <w:t>).</w:t>
      </w:r>
    </w:p>
    <w:p w14:paraId="30FFE5E9" w14:textId="77777777" w:rsidR="00347945" w:rsidRPr="006D66BF" w:rsidRDefault="00347945" w:rsidP="00347945">
      <w:pPr>
        <w:pStyle w:val="Heading3"/>
        <w:jc w:val="both"/>
        <w:rPr>
          <w:rFonts w:ascii="Times New Roman" w:hAnsi="Times New Roman"/>
          <w:szCs w:val="24"/>
        </w:rPr>
      </w:pPr>
      <w:bookmarkStart w:id="57" w:name="_Toc282509889"/>
      <w:bookmarkStart w:id="58" w:name="_Toc297297713"/>
      <w:r w:rsidRPr="006D66BF">
        <w:rPr>
          <w:rFonts w:ascii="Times New Roman" w:hAnsi="Times New Roman"/>
          <w:szCs w:val="24"/>
        </w:rPr>
        <w:t>Transport between Environmental Compartments</w:t>
      </w:r>
      <w:bookmarkEnd w:id="57"/>
      <w:bookmarkEnd w:id="58"/>
    </w:p>
    <w:p w14:paraId="30FFE5EA" w14:textId="77777777" w:rsidR="00347945" w:rsidRPr="006D66BF" w:rsidRDefault="00347945" w:rsidP="00673F0B">
      <w:pPr>
        <w:spacing w:afterLines="50" w:after="120"/>
        <w:jc w:val="both"/>
        <w:rPr>
          <w:snapToGrid w:val="0"/>
        </w:rPr>
      </w:pPr>
      <w:r w:rsidRPr="006D66BF">
        <w:rPr>
          <w:snapToGrid w:val="0"/>
        </w:rPr>
        <w:t>Fugacity modeling (level III) for</w:t>
      </w:r>
      <w:r w:rsidRPr="006D66BF">
        <w:rPr>
          <w:rFonts w:hint="eastAsia"/>
          <w:snapToGrid w:val="0"/>
        </w:rPr>
        <w:t xml:space="preserve"> </w:t>
      </w:r>
      <w:r w:rsidRPr="006D66BF">
        <w:rPr>
          <w:rFonts w:hint="eastAsia"/>
        </w:rPr>
        <w:t>1</w:t>
      </w:r>
      <w:proofErr w:type="gramStart"/>
      <w:r w:rsidRPr="006D66BF">
        <w:rPr>
          <w:rFonts w:hint="eastAsia"/>
        </w:rPr>
        <w:t>,1,1</w:t>
      </w:r>
      <w:proofErr w:type="gramEnd"/>
      <w:r w:rsidRPr="006D66BF">
        <w:rPr>
          <w:rFonts w:hint="eastAsia"/>
        </w:rPr>
        <w:t>-tris(hydroxymethyl)ethane</w:t>
      </w:r>
      <w:r w:rsidRPr="006D66BF">
        <w:rPr>
          <w:snapToGrid w:val="0"/>
        </w:rPr>
        <w:t xml:space="preserve"> was conducted using EPISUITE, version 4.0 (USEPA, 2008c). Input parameters are melting point of </w:t>
      </w:r>
      <w:r w:rsidRPr="006D66BF">
        <w:rPr>
          <w:rFonts w:hint="eastAsia"/>
          <w:snapToGrid w:val="0"/>
        </w:rPr>
        <w:t>204</w:t>
      </w:r>
      <w:r w:rsidRPr="006D66BF">
        <w:rPr>
          <w:snapToGrid w:val="0"/>
        </w:rPr>
        <w:t xml:space="preserve"> °C, boiling point of </w:t>
      </w:r>
      <w:r w:rsidRPr="006D66BF">
        <w:rPr>
          <w:rFonts w:hint="eastAsia"/>
          <w:snapToGrid w:val="0"/>
        </w:rPr>
        <w:t>286.7</w:t>
      </w:r>
      <w:r w:rsidRPr="006D66BF">
        <w:rPr>
          <w:snapToGrid w:val="0"/>
        </w:rPr>
        <w:t xml:space="preserve"> °C</w:t>
      </w:r>
      <w:r w:rsidRPr="006D66BF">
        <w:rPr>
          <w:rFonts w:hint="eastAsia"/>
          <w:snapToGrid w:val="0"/>
        </w:rPr>
        <w:t xml:space="preserve">, </w:t>
      </w:r>
      <w:r w:rsidRPr="006D66BF">
        <w:rPr>
          <w:snapToGrid w:val="0"/>
        </w:rPr>
        <w:t>log K</w:t>
      </w:r>
      <w:r w:rsidRPr="006D66BF">
        <w:rPr>
          <w:snapToGrid w:val="0"/>
          <w:vertAlign w:val="subscript"/>
        </w:rPr>
        <w:t>ow</w:t>
      </w:r>
      <w:r w:rsidRPr="006D66BF">
        <w:rPr>
          <w:snapToGrid w:val="0"/>
        </w:rPr>
        <w:t xml:space="preserve"> of </w:t>
      </w:r>
      <w:r w:rsidRPr="006D66BF">
        <w:rPr>
          <w:rFonts w:hint="eastAsia"/>
          <w:snapToGrid w:val="0"/>
        </w:rPr>
        <w:t>-0.95</w:t>
      </w:r>
      <w:r w:rsidRPr="006D66BF">
        <w:rPr>
          <w:snapToGrid w:val="0"/>
        </w:rPr>
        <w:t xml:space="preserve">, vapour pressure of </w:t>
      </w:r>
      <w:r w:rsidRPr="006D66BF">
        <w:rPr>
          <w:rFonts w:hint="eastAsia"/>
        </w:rPr>
        <w:t>1.82 x 10</w:t>
      </w:r>
      <w:r w:rsidRPr="006D66BF">
        <w:rPr>
          <w:rFonts w:hint="eastAsia"/>
          <w:vertAlign w:val="superscript"/>
        </w:rPr>
        <w:t>-5</w:t>
      </w:r>
      <w:r w:rsidRPr="006D66BF">
        <w:rPr>
          <w:snapToGrid w:val="0"/>
        </w:rPr>
        <w:t xml:space="preserve"> Pa</w:t>
      </w:r>
      <w:r w:rsidRPr="006D66BF">
        <w:rPr>
          <w:rFonts w:hint="eastAsia"/>
          <w:snapToGrid w:val="0"/>
        </w:rPr>
        <w:t xml:space="preserve">, water solubility of 300 g/L (the lowest limit value) and </w:t>
      </w:r>
      <w:r w:rsidRPr="006D66BF">
        <w:t>Henry’s Law constant</w:t>
      </w:r>
      <w:r w:rsidRPr="006D66BF">
        <w:rPr>
          <w:rFonts w:hint="eastAsia"/>
        </w:rPr>
        <w:t xml:space="preserve"> of 1.13 x 10</w:t>
      </w:r>
      <w:r w:rsidRPr="006D66BF">
        <w:rPr>
          <w:rFonts w:hint="eastAsia"/>
          <w:vertAlign w:val="superscript"/>
        </w:rPr>
        <w:t>-3</w:t>
      </w:r>
      <w:r w:rsidRPr="006D66BF">
        <w:t xml:space="preserve"> Pa.m</w:t>
      </w:r>
      <w:r w:rsidRPr="006D66BF">
        <w:rPr>
          <w:vertAlign w:val="superscript"/>
        </w:rPr>
        <w:t>3</w:t>
      </w:r>
      <w:r w:rsidRPr="006D66BF">
        <w:t>/mole</w:t>
      </w:r>
      <w:r w:rsidRPr="006D66BF">
        <w:rPr>
          <w:rFonts w:hint="eastAsia"/>
          <w:snapToGrid w:val="0"/>
        </w:rPr>
        <w:t>.</w:t>
      </w:r>
      <w:r w:rsidRPr="006D66BF">
        <w:rPr>
          <w:snapToGrid w:val="0"/>
        </w:rPr>
        <w:t xml:space="preserve"> When equal and continuous release to air, water and soil is assumed,</w:t>
      </w:r>
      <w:r w:rsidRPr="006D66BF">
        <w:rPr>
          <w:rFonts w:hint="eastAsia"/>
          <w:snapToGrid w:val="0"/>
        </w:rPr>
        <w:t xml:space="preserve"> </w:t>
      </w:r>
      <w:r w:rsidRPr="006D66BF">
        <w:rPr>
          <w:rFonts w:hint="eastAsia"/>
        </w:rPr>
        <w:t>1</w:t>
      </w:r>
      <w:proofErr w:type="gramStart"/>
      <w:r w:rsidRPr="006D66BF">
        <w:rPr>
          <w:rFonts w:hint="eastAsia"/>
        </w:rPr>
        <w:t>,1,1</w:t>
      </w:r>
      <w:proofErr w:type="gramEnd"/>
      <w:r w:rsidRPr="006D66BF">
        <w:rPr>
          <w:rFonts w:hint="eastAsia"/>
        </w:rPr>
        <w:t>-tris(hydroxymethyl)ethane</w:t>
      </w:r>
      <w:r w:rsidRPr="006D66BF">
        <w:rPr>
          <w:snapToGrid w:val="0"/>
        </w:rPr>
        <w:t xml:space="preserve"> is mainly distributed in water and soil compar</w:t>
      </w:r>
      <w:r w:rsidRPr="006D66BF">
        <w:rPr>
          <w:rFonts w:hint="eastAsia"/>
          <w:snapToGrid w:val="0"/>
        </w:rPr>
        <w:t>tment</w:t>
      </w:r>
      <w:r w:rsidRPr="006D66BF">
        <w:rPr>
          <w:snapToGrid w:val="0"/>
        </w:rPr>
        <w:t>s. If released to the water compar</w:t>
      </w:r>
      <w:r w:rsidRPr="006D66BF">
        <w:rPr>
          <w:rFonts w:hint="eastAsia"/>
          <w:snapToGrid w:val="0"/>
        </w:rPr>
        <w:t>tment</w:t>
      </w:r>
      <w:r w:rsidRPr="006D66BF">
        <w:rPr>
          <w:snapToGrid w:val="0"/>
        </w:rPr>
        <w:t xml:space="preserve"> only, </w:t>
      </w:r>
      <w:r w:rsidRPr="006D66BF">
        <w:rPr>
          <w:rFonts w:hint="eastAsia"/>
        </w:rPr>
        <w:t>1</w:t>
      </w:r>
      <w:proofErr w:type="gramStart"/>
      <w:r w:rsidRPr="006D66BF">
        <w:rPr>
          <w:rFonts w:hint="eastAsia"/>
        </w:rPr>
        <w:t>,1,1</w:t>
      </w:r>
      <w:proofErr w:type="gramEnd"/>
      <w:r w:rsidRPr="006D66BF">
        <w:rPr>
          <w:rFonts w:hint="eastAsia"/>
        </w:rPr>
        <w:t>-tris(hydroxymethyl)ethane</w:t>
      </w:r>
      <w:r w:rsidRPr="006D66BF">
        <w:rPr>
          <w:snapToGrid w:val="0"/>
        </w:rPr>
        <w:t xml:space="preserve"> stays in the water compar</w:t>
      </w:r>
      <w:r w:rsidRPr="006D66BF">
        <w:rPr>
          <w:rFonts w:hint="eastAsia"/>
          <w:snapToGrid w:val="0"/>
        </w:rPr>
        <w:t>tme</w:t>
      </w:r>
      <w:r w:rsidRPr="006D66BF">
        <w:rPr>
          <w:snapToGrid w:val="0"/>
        </w:rPr>
        <w:t>nt.</w:t>
      </w:r>
      <w:r w:rsidRPr="006D66BF">
        <w:rPr>
          <w:rFonts w:hint="eastAsia"/>
          <w:snapToGrid w:val="0"/>
        </w:rPr>
        <w:t xml:space="preserve"> </w:t>
      </w:r>
    </w:p>
    <w:p w14:paraId="30FFE5EB" w14:textId="77777777" w:rsidR="00347945" w:rsidRPr="006D66BF" w:rsidRDefault="00347945" w:rsidP="00673F0B">
      <w:pPr>
        <w:pStyle w:val="Caption"/>
        <w:keepLines/>
        <w:ind w:leftChars="400" w:left="2023" w:hangingChars="441" w:hanging="1063"/>
        <w:rPr>
          <w:rFonts w:ascii="Times New Roman" w:hAnsi="Times New Roman"/>
          <w:szCs w:val="24"/>
        </w:rPr>
      </w:pPr>
      <w:bookmarkStart w:id="59" w:name="_Toc282509941"/>
      <w:bookmarkStart w:id="60" w:name="_Toc297298009"/>
      <w:r w:rsidRPr="006D66BF">
        <w:t xml:space="preserve">Table </w:t>
      </w:r>
      <w:fldSimple w:instr=" SEQ Table \* ARABIC ">
        <w:r>
          <w:rPr>
            <w:noProof/>
          </w:rPr>
          <w:t>3</w:t>
        </w:r>
      </w:fldSimple>
      <w:r w:rsidRPr="006D66BF">
        <w:rPr>
          <w:rFonts w:ascii="Times New Roman" w:hAnsi="Times New Roman"/>
          <w:szCs w:val="24"/>
          <w:lang w:eastAsia="ja-JP"/>
        </w:rPr>
        <w:t xml:space="preserve">  </w:t>
      </w:r>
      <w:r w:rsidRPr="006D66BF">
        <w:rPr>
          <w:rFonts w:ascii="Times New Roman" w:hAnsi="Times New Roman"/>
          <w:szCs w:val="24"/>
        </w:rPr>
        <w:t>Environmental distribution of 1</w:t>
      </w:r>
      <w:proofErr w:type="gramStart"/>
      <w:r w:rsidRPr="006D66BF">
        <w:rPr>
          <w:rFonts w:ascii="Times New Roman" w:hAnsi="Times New Roman"/>
          <w:szCs w:val="24"/>
        </w:rPr>
        <w:t>,1,1</w:t>
      </w:r>
      <w:proofErr w:type="gramEnd"/>
      <w:r w:rsidRPr="006D66BF">
        <w:rPr>
          <w:rFonts w:ascii="Times New Roman" w:hAnsi="Times New Roman"/>
          <w:szCs w:val="24"/>
        </w:rPr>
        <w:t>-tris(hydroxymethyl)ethane with Fugacity Level III model</w:t>
      </w:r>
      <w:bookmarkEnd w:id="59"/>
      <w:bookmarkEnd w:id="60"/>
    </w:p>
    <w:tbl>
      <w:tblPr>
        <w:tblW w:w="0" w:type="auto"/>
        <w:tblInd w:w="42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ook w:val="01E0" w:firstRow="1" w:lastRow="1" w:firstColumn="1" w:lastColumn="1" w:noHBand="0" w:noVBand="0"/>
      </w:tblPr>
      <w:tblGrid>
        <w:gridCol w:w="2625"/>
        <w:gridCol w:w="1680"/>
        <w:gridCol w:w="1365"/>
        <w:gridCol w:w="1365"/>
        <w:gridCol w:w="1406"/>
      </w:tblGrid>
      <w:tr w:rsidR="00347945" w:rsidRPr="006D66BF" w14:paraId="30FFE5F1" w14:textId="77777777" w:rsidTr="00E56A35">
        <w:tc>
          <w:tcPr>
            <w:tcW w:w="2625" w:type="dxa"/>
            <w:tcBorders>
              <w:top w:val="single" w:sz="12" w:space="0" w:color="000000" w:themeColor="text1"/>
              <w:bottom w:val="single" w:sz="12" w:space="0" w:color="000000" w:themeColor="text1"/>
            </w:tcBorders>
            <w:vAlign w:val="center"/>
          </w:tcPr>
          <w:p w14:paraId="30FFE5EC" w14:textId="77777777" w:rsidR="00347945" w:rsidRPr="006D66BF" w:rsidRDefault="00347945" w:rsidP="00673F0B">
            <w:pPr>
              <w:keepNext/>
              <w:keepLines/>
              <w:spacing w:afterLines="50" w:after="120"/>
              <w:rPr>
                <w:snapToGrid w:val="0"/>
              </w:rPr>
            </w:pPr>
          </w:p>
        </w:tc>
        <w:tc>
          <w:tcPr>
            <w:tcW w:w="1680" w:type="dxa"/>
            <w:tcBorders>
              <w:top w:val="single" w:sz="12" w:space="0" w:color="000000" w:themeColor="text1"/>
              <w:bottom w:val="single" w:sz="12" w:space="0" w:color="000000" w:themeColor="text1"/>
            </w:tcBorders>
            <w:vAlign w:val="center"/>
          </w:tcPr>
          <w:p w14:paraId="30FFE5ED" w14:textId="77777777" w:rsidR="00347945" w:rsidRPr="006D66BF" w:rsidRDefault="00347945" w:rsidP="00673F0B">
            <w:pPr>
              <w:keepNext/>
              <w:keepLines/>
              <w:spacing w:afterLines="50" w:after="120"/>
              <w:rPr>
                <w:snapToGrid w:val="0"/>
              </w:rPr>
            </w:pPr>
            <w:r w:rsidRPr="006D66BF">
              <w:rPr>
                <w:snapToGrid w:val="0"/>
              </w:rPr>
              <w:t xml:space="preserve">Release to air, water and soil  </w:t>
            </w:r>
          </w:p>
        </w:tc>
        <w:tc>
          <w:tcPr>
            <w:tcW w:w="1365" w:type="dxa"/>
            <w:tcBorders>
              <w:top w:val="single" w:sz="12" w:space="0" w:color="000000" w:themeColor="text1"/>
              <w:bottom w:val="single" w:sz="12" w:space="0" w:color="000000" w:themeColor="text1"/>
            </w:tcBorders>
            <w:vAlign w:val="center"/>
          </w:tcPr>
          <w:p w14:paraId="30FFE5EE" w14:textId="77777777" w:rsidR="00347945" w:rsidRPr="006D66BF" w:rsidRDefault="00347945" w:rsidP="00673F0B">
            <w:pPr>
              <w:keepNext/>
              <w:keepLines/>
              <w:spacing w:afterLines="50" w:after="120"/>
              <w:rPr>
                <w:snapToGrid w:val="0"/>
              </w:rPr>
            </w:pPr>
            <w:r w:rsidRPr="006D66BF">
              <w:rPr>
                <w:snapToGrid w:val="0"/>
              </w:rPr>
              <w:t>Release to air</w:t>
            </w:r>
          </w:p>
        </w:tc>
        <w:tc>
          <w:tcPr>
            <w:tcW w:w="1365" w:type="dxa"/>
            <w:tcBorders>
              <w:top w:val="single" w:sz="12" w:space="0" w:color="000000" w:themeColor="text1"/>
              <w:bottom w:val="single" w:sz="12" w:space="0" w:color="000000" w:themeColor="text1"/>
            </w:tcBorders>
            <w:vAlign w:val="center"/>
          </w:tcPr>
          <w:p w14:paraId="30FFE5EF" w14:textId="77777777" w:rsidR="00347945" w:rsidRPr="006D66BF" w:rsidRDefault="00347945" w:rsidP="00673F0B">
            <w:pPr>
              <w:keepNext/>
              <w:keepLines/>
              <w:spacing w:afterLines="50" w:after="120"/>
              <w:rPr>
                <w:snapToGrid w:val="0"/>
              </w:rPr>
            </w:pPr>
            <w:r w:rsidRPr="006D66BF">
              <w:rPr>
                <w:snapToGrid w:val="0"/>
              </w:rPr>
              <w:t>Release to water</w:t>
            </w:r>
          </w:p>
        </w:tc>
        <w:tc>
          <w:tcPr>
            <w:tcW w:w="1406" w:type="dxa"/>
            <w:tcBorders>
              <w:top w:val="single" w:sz="12" w:space="0" w:color="000000" w:themeColor="text1"/>
              <w:bottom w:val="single" w:sz="12" w:space="0" w:color="000000" w:themeColor="text1"/>
            </w:tcBorders>
            <w:vAlign w:val="center"/>
          </w:tcPr>
          <w:p w14:paraId="30FFE5F0" w14:textId="77777777" w:rsidR="00347945" w:rsidRPr="006D66BF" w:rsidRDefault="00347945" w:rsidP="00673F0B">
            <w:pPr>
              <w:keepNext/>
              <w:keepLines/>
              <w:spacing w:afterLines="50" w:after="120"/>
              <w:rPr>
                <w:snapToGrid w:val="0"/>
              </w:rPr>
            </w:pPr>
            <w:r w:rsidRPr="006D66BF">
              <w:rPr>
                <w:snapToGrid w:val="0"/>
              </w:rPr>
              <w:t>Release to soil</w:t>
            </w:r>
          </w:p>
        </w:tc>
      </w:tr>
      <w:tr w:rsidR="00347945" w:rsidRPr="006D66BF" w14:paraId="30FFE5F7" w14:textId="77777777" w:rsidTr="00E56A35">
        <w:trPr>
          <w:trHeight w:val="222"/>
        </w:trPr>
        <w:tc>
          <w:tcPr>
            <w:tcW w:w="2625" w:type="dxa"/>
            <w:tcBorders>
              <w:top w:val="single" w:sz="12" w:space="0" w:color="000000" w:themeColor="text1"/>
            </w:tcBorders>
            <w:vAlign w:val="center"/>
          </w:tcPr>
          <w:p w14:paraId="30FFE5F2" w14:textId="77777777" w:rsidR="00347945" w:rsidRPr="006D66BF" w:rsidRDefault="00347945" w:rsidP="00673F0B">
            <w:pPr>
              <w:keepNext/>
              <w:keepLines/>
              <w:spacing w:afterLines="50" w:after="120"/>
              <w:rPr>
                <w:snapToGrid w:val="0"/>
                <w:lang w:val="fr-FR"/>
              </w:rPr>
            </w:pPr>
            <w:r w:rsidRPr="006D66BF">
              <w:rPr>
                <w:snapToGrid w:val="0"/>
                <w:lang w:val="fr-FR"/>
              </w:rPr>
              <w:t>Air compar</w:t>
            </w:r>
            <w:r w:rsidRPr="006D66BF">
              <w:rPr>
                <w:rFonts w:hint="eastAsia"/>
                <w:snapToGrid w:val="0"/>
                <w:lang w:val="fr-FR"/>
              </w:rPr>
              <w:t>tment</w:t>
            </w:r>
          </w:p>
        </w:tc>
        <w:tc>
          <w:tcPr>
            <w:tcW w:w="1680" w:type="dxa"/>
            <w:tcBorders>
              <w:top w:val="single" w:sz="12" w:space="0" w:color="000000" w:themeColor="text1"/>
            </w:tcBorders>
            <w:vAlign w:val="center"/>
          </w:tcPr>
          <w:p w14:paraId="30FFE5F3" w14:textId="77777777" w:rsidR="00347945" w:rsidRPr="006D66BF" w:rsidRDefault="00347945" w:rsidP="00673F0B">
            <w:pPr>
              <w:keepNext/>
              <w:keepLines/>
              <w:spacing w:afterLines="50" w:after="120"/>
              <w:rPr>
                <w:snapToGrid w:val="0"/>
              </w:rPr>
            </w:pPr>
            <w:r w:rsidRPr="006D66BF">
              <w:rPr>
                <w:snapToGrid w:val="0"/>
                <w:lang w:val="fr-FR"/>
              </w:rPr>
              <w:t xml:space="preserve"> </w:t>
            </w:r>
            <w:r w:rsidRPr="006D66BF">
              <w:rPr>
                <w:snapToGrid w:val="0"/>
              </w:rPr>
              <w:t>0.</w:t>
            </w:r>
            <w:r w:rsidRPr="006D66BF">
              <w:rPr>
                <w:rFonts w:hint="eastAsia"/>
                <w:snapToGrid w:val="0"/>
              </w:rPr>
              <w:t xml:space="preserve">3 </w:t>
            </w:r>
            <w:r w:rsidRPr="006D66BF">
              <w:rPr>
                <w:snapToGrid w:val="0"/>
              </w:rPr>
              <w:t>%</w:t>
            </w:r>
          </w:p>
        </w:tc>
        <w:tc>
          <w:tcPr>
            <w:tcW w:w="1365" w:type="dxa"/>
            <w:tcBorders>
              <w:top w:val="single" w:sz="12" w:space="0" w:color="000000" w:themeColor="text1"/>
            </w:tcBorders>
            <w:vAlign w:val="center"/>
          </w:tcPr>
          <w:p w14:paraId="30FFE5F4" w14:textId="77777777" w:rsidR="00347945" w:rsidRPr="006D66BF" w:rsidRDefault="00347945" w:rsidP="00673F0B">
            <w:pPr>
              <w:keepNext/>
              <w:keepLines/>
              <w:spacing w:afterLines="50" w:after="120"/>
              <w:rPr>
                <w:snapToGrid w:val="0"/>
              </w:rPr>
            </w:pPr>
            <w:r w:rsidRPr="006D66BF">
              <w:rPr>
                <w:snapToGrid w:val="0"/>
              </w:rPr>
              <w:t xml:space="preserve"> </w:t>
            </w:r>
            <w:r w:rsidRPr="006D66BF">
              <w:rPr>
                <w:rFonts w:hint="eastAsia"/>
                <w:snapToGrid w:val="0"/>
              </w:rPr>
              <w:t xml:space="preserve">0.7 </w:t>
            </w:r>
            <w:r w:rsidRPr="006D66BF">
              <w:rPr>
                <w:snapToGrid w:val="0"/>
              </w:rPr>
              <w:t>%</w:t>
            </w:r>
          </w:p>
        </w:tc>
        <w:tc>
          <w:tcPr>
            <w:tcW w:w="1365" w:type="dxa"/>
            <w:tcBorders>
              <w:top w:val="single" w:sz="12" w:space="0" w:color="000000" w:themeColor="text1"/>
            </w:tcBorders>
            <w:vAlign w:val="center"/>
          </w:tcPr>
          <w:p w14:paraId="30FFE5F5" w14:textId="77777777" w:rsidR="00347945" w:rsidRPr="006D66BF" w:rsidRDefault="00347945" w:rsidP="00673F0B">
            <w:pPr>
              <w:keepNext/>
              <w:keepLines/>
              <w:spacing w:afterLines="50" w:after="120"/>
              <w:rPr>
                <w:snapToGrid w:val="0"/>
              </w:rPr>
            </w:pPr>
            <w:r w:rsidRPr="006D66BF">
              <w:rPr>
                <w:snapToGrid w:val="0"/>
              </w:rPr>
              <w:t xml:space="preserve"> 0.0 %</w:t>
            </w:r>
          </w:p>
        </w:tc>
        <w:tc>
          <w:tcPr>
            <w:tcW w:w="1406" w:type="dxa"/>
            <w:tcBorders>
              <w:top w:val="single" w:sz="12" w:space="0" w:color="000000" w:themeColor="text1"/>
            </w:tcBorders>
            <w:vAlign w:val="center"/>
          </w:tcPr>
          <w:p w14:paraId="30FFE5F6" w14:textId="77777777" w:rsidR="00347945" w:rsidRPr="006D66BF" w:rsidRDefault="00347945" w:rsidP="00673F0B">
            <w:pPr>
              <w:keepNext/>
              <w:keepLines/>
              <w:spacing w:afterLines="50" w:after="120"/>
              <w:rPr>
                <w:snapToGrid w:val="0"/>
              </w:rPr>
            </w:pPr>
            <w:r w:rsidRPr="006D66BF">
              <w:rPr>
                <w:snapToGrid w:val="0"/>
              </w:rPr>
              <w:t xml:space="preserve"> 0.0 %</w:t>
            </w:r>
          </w:p>
        </w:tc>
      </w:tr>
      <w:tr w:rsidR="00347945" w:rsidRPr="006D66BF" w14:paraId="30FFE5FD" w14:textId="77777777" w:rsidTr="00E56A35">
        <w:trPr>
          <w:trHeight w:val="191"/>
        </w:trPr>
        <w:tc>
          <w:tcPr>
            <w:tcW w:w="2625" w:type="dxa"/>
            <w:vAlign w:val="center"/>
          </w:tcPr>
          <w:p w14:paraId="30FFE5F8" w14:textId="77777777" w:rsidR="00347945" w:rsidRPr="006D66BF" w:rsidRDefault="00347945" w:rsidP="00673F0B">
            <w:pPr>
              <w:keepNext/>
              <w:keepLines/>
              <w:spacing w:afterLines="50" w:after="120"/>
              <w:rPr>
                <w:snapToGrid w:val="0"/>
              </w:rPr>
            </w:pPr>
            <w:r w:rsidRPr="006D66BF">
              <w:rPr>
                <w:snapToGrid w:val="0"/>
              </w:rPr>
              <w:t xml:space="preserve">Water </w:t>
            </w:r>
            <w:r w:rsidRPr="006D66BF">
              <w:rPr>
                <w:snapToGrid w:val="0"/>
                <w:lang w:val="fr-FR"/>
              </w:rPr>
              <w:t>compar</w:t>
            </w:r>
            <w:r w:rsidRPr="006D66BF">
              <w:rPr>
                <w:rFonts w:hint="eastAsia"/>
                <w:snapToGrid w:val="0"/>
                <w:lang w:val="fr-FR"/>
              </w:rPr>
              <w:t>tment</w:t>
            </w:r>
          </w:p>
        </w:tc>
        <w:tc>
          <w:tcPr>
            <w:tcW w:w="1680" w:type="dxa"/>
            <w:vAlign w:val="center"/>
          </w:tcPr>
          <w:p w14:paraId="30FFE5F9" w14:textId="77777777" w:rsidR="00347945" w:rsidRPr="006D66BF" w:rsidRDefault="00347945" w:rsidP="00673F0B">
            <w:pPr>
              <w:keepNext/>
              <w:keepLines/>
              <w:spacing w:afterLines="50" w:after="120"/>
              <w:rPr>
                <w:snapToGrid w:val="0"/>
              </w:rPr>
            </w:pPr>
            <w:r w:rsidRPr="006D66BF">
              <w:rPr>
                <w:snapToGrid w:val="0"/>
              </w:rPr>
              <w:t xml:space="preserve"> </w:t>
            </w:r>
            <w:r w:rsidRPr="006D66BF">
              <w:rPr>
                <w:rFonts w:hint="eastAsia"/>
                <w:snapToGrid w:val="0"/>
              </w:rPr>
              <w:t>38.7</w:t>
            </w:r>
            <w:r w:rsidRPr="006D66BF">
              <w:rPr>
                <w:snapToGrid w:val="0"/>
              </w:rPr>
              <w:t xml:space="preserve"> %</w:t>
            </w:r>
          </w:p>
        </w:tc>
        <w:tc>
          <w:tcPr>
            <w:tcW w:w="1365" w:type="dxa"/>
            <w:vAlign w:val="center"/>
          </w:tcPr>
          <w:p w14:paraId="30FFE5FA" w14:textId="77777777" w:rsidR="00347945" w:rsidRPr="006D66BF" w:rsidRDefault="00347945" w:rsidP="00673F0B">
            <w:pPr>
              <w:keepNext/>
              <w:keepLines/>
              <w:spacing w:afterLines="50" w:after="120"/>
              <w:rPr>
                <w:snapToGrid w:val="0"/>
              </w:rPr>
            </w:pPr>
            <w:r w:rsidRPr="006D66BF">
              <w:rPr>
                <w:snapToGrid w:val="0"/>
              </w:rPr>
              <w:t xml:space="preserve"> </w:t>
            </w:r>
            <w:r w:rsidRPr="006D66BF">
              <w:rPr>
                <w:rFonts w:hint="eastAsia"/>
                <w:snapToGrid w:val="0"/>
              </w:rPr>
              <w:t>24.7</w:t>
            </w:r>
            <w:r w:rsidRPr="006D66BF">
              <w:rPr>
                <w:snapToGrid w:val="0"/>
              </w:rPr>
              <w:t xml:space="preserve"> %</w:t>
            </w:r>
          </w:p>
        </w:tc>
        <w:tc>
          <w:tcPr>
            <w:tcW w:w="1365" w:type="dxa"/>
            <w:vAlign w:val="center"/>
          </w:tcPr>
          <w:p w14:paraId="30FFE5FB" w14:textId="77777777" w:rsidR="00347945" w:rsidRPr="006D66BF" w:rsidRDefault="00347945" w:rsidP="00673F0B">
            <w:pPr>
              <w:keepNext/>
              <w:keepLines/>
              <w:spacing w:afterLines="50" w:after="120"/>
              <w:rPr>
                <w:snapToGrid w:val="0"/>
              </w:rPr>
            </w:pPr>
            <w:r w:rsidRPr="006D66BF">
              <w:rPr>
                <w:snapToGrid w:val="0"/>
              </w:rPr>
              <w:t xml:space="preserve"> 99.</w:t>
            </w:r>
            <w:r w:rsidRPr="006D66BF">
              <w:rPr>
                <w:rFonts w:hint="eastAsia"/>
                <w:snapToGrid w:val="0"/>
              </w:rPr>
              <w:t>8</w:t>
            </w:r>
            <w:r w:rsidRPr="006D66BF">
              <w:rPr>
                <w:snapToGrid w:val="0"/>
              </w:rPr>
              <w:t xml:space="preserve"> %</w:t>
            </w:r>
          </w:p>
        </w:tc>
        <w:tc>
          <w:tcPr>
            <w:tcW w:w="1406" w:type="dxa"/>
            <w:vAlign w:val="center"/>
          </w:tcPr>
          <w:p w14:paraId="30FFE5FC" w14:textId="77777777" w:rsidR="00347945" w:rsidRPr="006D66BF" w:rsidRDefault="00347945" w:rsidP="00673F0B">
            <w:pPr>
              <w:keepNext/>
              <w:keepLines/>
              <w:spacing w:afterLines="50" w:after="120"/>
              <w:rPr>
                <w:snapToGrid w:val="0"/>
              </w:rPr>
            </w:pPr>
            <w:r w:rsidRPr="006D66BF">
              <w:rPr>
                <w:snapToGrid w:val="0"/>
              </w:rPr>
              <w:t xml:space="preserve"> </w:t>
            </w:r>
            <w:r w:rsidRPr="006D66BF">
              <w:rPr>
                <w:rFonts w:hint="eastAsia"/>
                <w:snapToGrid w:val="0"/>
              </w:rPr>
              <w:t>20.9</w:t>
            </w:r>
            <w:r w:rsidRPr="006D66BF">
              <w:rPr>
                <w:snapToGrid w:val="0"/>
              </w:rPr>
              <w:t xml:space="preserve"> %</w:t>
            </w:r>
          </w:p>
        </w:tc>
      </w:tr>
      <w:tr w:rsidR="00347945" w:rsidRPr="006D66BF" w14:paraId="30FFE603" w14:textId="77777777" w:rsidTr="00E56A35">
        <w:tc>
          <w:tcPr>
            <w:tcW w:w="2625" w:type="dxa"/>
            <w:vAlign w:val="center"/>
          </w:tcPr>
          <w:p w14:paraId="30FFE5FE" w14:textId="77777777" w:rsidR="00347945" w:rsidRPr="006D66BF" w:rsidRDefault="00347945" w:rsidP="00673F0B">
            <w:pPr>
              <w:keepNext/>
              <w:keepLines/>
              <w:spacing w:afterLines="50" w:after="120"/>
              <w:rPr>
                <w:snapToGrid w:val="0"/>
                <w:lang w:val="fr-FR"/>
              </w:rPr>
            </w:pPr>
            <w:r w:rsidRPr="006D66BF">
              <w:rPr>
                <w:snapToGrid w:val="0"/>
                <w:lang w:val="fr-FR"/>
              </w:rPr>
              <w:t>Soil compar</w:t>
            </w:r>
            <w:r w:rsidRPr="006D66BF">
              <w:rPr>
                <w:rFonts w:hint="eastAsia"/>
                <w:snapToGrid w:val="0"/>
                <w:lang w:val="fr-FR"/>
              </w:rPr>
              <w:t>tment</w:t>
            </w:r>
          </w:p>
        </w:tc>
        <w:tc>
          <w:tcPr>
            <w:tcW w:w="1680" w:type="dxa"/>
            <w:vAlign w:val="center"/>
          </w:tcPr>
          <w:p w14:paraId="30FFE5FF" w14:textId="77777777" w:rsidR="00347945" w:rsidRPr="006D66BF" w:rsidRDefault="00347945" w:rsidP="00673F0B">
            <w:pPr>
              <w:keepNext/>
              <w:keepLines/>
              <w:spacing w:afterLines="50" w:after="120"/>
              <w:rPr>
                <w:snapToGrid w:val="0"/>
              </w:rPr>
            </w:pPr>
            <w:r w:rsidRPr="006D66BF">
              <w:rPr>
                <w:snapToGrid w:val="0"/>
                <w:lang w:val="fr-FR"/>
              </w:rPr>
              <w:t xml:space="preserve"> </w:t>
            </w:r>
            <w:r w:rsidRPr="006D66BF">
              <w:rPr>
                <w:snapToGrid w:val="0"/>
              </w:rPr>
              <w:t>6</w:t>
            </w:r>
            <w:r w:rsidRPr="006D66BF">
              <w:rPr>
                <w:rFonts w:hint="eastAsia"/>
                <w:snapToGrid w:val="0"/>
              </w:rPr>
              <w:t>1.0</w:t>
            </w:r>
            <w:r w:rsidRPr="006D66BF">
              <w:rPr>
                <w:snapToGrid w:val="0"/>
              </w:rPr>
              <w:t xml:space="preserve"> %</w:t>
            </w:r>
          </w:p>
        </w:tc>
        <w:tc>
          <w:tcPr>
            <w:tcW w:w="1365" w:type="dxa"/>
            <w:vAlign w:val="center"/>
          </w:tcPr>
          <w:p w14:paraId="30FFE600" w14:textId="77777777" w:rsidR="00347945" w:rsidRPr="006D66BF" w:rsidRDefault="00347945" w:rsidP="00673F0B">
            <w:pPr>
              <w:keepNext/>
              <w:keepLines/>
              <w:spacing w:afterLines="50" w:after="120"/>
              <w:rPr>
                <w:snapToGrid w:val="0"/>
              </w:rPr>
            </w:pPr>
            <w:r w:rsidRPr="006D66BF">
              <w:rPr>
                <w:snapToGrid w:val="0"/>
              </w:rPr>
              <w:t xml:space="preserve"> </w:t>
            </w:r>
            <w:r w:rsidRPr="006D66BF">
              <w:rPr>
                <w:rFonts w:hint="eastAsia"/>
                <w:snapToGrid w:val="0"/>
              </w:rPr>
              <w:t>74.6</w:t>
            </w:r>
            <w:r w:rsidRPr="006D66BF">
              <w:rPr>
                <w:snapToGrid w:val="0"/>
              </w:rPr>
              <w:t xml:space="preserve"> %</w:t>
            </w:r>
          </w:p>
        </w:tc>
        <w:tc>
          <w:tcPr>
            <w:tcW w:w="1365" w:type="dxa"/>
            <w:vAlign w:val="center"/>
          </w:tcPr>
          <w:p w14:paraId="30FFE601" w14:textId="77777777" w:rsidR="00347945" w:rsidRPr="006D66BF" w:rsidRDefault="00347945" w:rsidP="00673F0B">
            <w:pPr>
              <w:keepNext/>
              <w:keepLines/>
              <w:spacing w:afterLines="50" w:after="120"/>
              <w:rPr>
                <w:snapToGrid w:val="0"/>
              </w:rPr>
            </w:pPr>
            <w:r w:rsidRPr="006D66BF">
              <w:rPr>
                <w:snapToGrid w:val="0"/>
              </w:rPr>
              <w:t xml:space="preserve"> 0.0 %</w:t>
            </w:r>
          </w:p>
        </w:tc>
        <w:tc>
          <w:tcPr>
            <w:tcW w:w="1406" w:type="dxa"/>
            <w:vAlign w:val="center"/>
          </w:tcPr>
          <w:p w14:paraId="30FFE602" w14:textId="77777777" w:rsidR="00347945" w:rsidRPr="006D66BF" w:rsidRDefault="00347945" w:rsidP="00673F0B">
            <w:pPr>
              <w:keepNext/>
              <w:keepLines/>
              <w:spacing w:afterLines="50" w:after="120"/>
              <w:rPr>
                <w:snapToGrid w:val="0"/>
              </w:rPr>
            </w:pPr>
            <w:r w:rsidRPr="006D66BF">
              <w:rPr>
                <w:snapToGrid w:val="0"/>
              </w:rPr>
              <w:t xml:space="preserve"> </w:t>
            </w:r>
            <w:r w:rsidRPr="006D66BF">
              <w:rPr>
                <w:rFonts w:hint="eastAsia"/>
                <w:snapToGrid w:val="0"/>
              </w:rPr>
              <w:t>79.0</w:t>
            </w:r>
            <w:r w:rsidRPr="006D66BF">
              <w:rPr>
                <w:snapToGrid w:val="0"/>
              </w:rPr>
              <w:t xml:space="preserve"> %</w:t>
            </w:r>
          </w:p>
        </w:tc>
      </w:tr>
      <w:tr w:rsidR="00347945" w:rsidRPr="006D66BF" w14:paraId="30FFE609" w14:textId="77777777" w:rsidTr="00E56A35">
        <w:tc>
          <w:tcPr>
            <w:tcW w:w="2625" w:type="dxa"/>
            <w:vAlign w:val="center"/>
          </w:tcPr>
          <w:p w14:paraId="30FFE604" w14:textId="77777777" w:rsidR="00347945" w:rsidRPr="006D66BF" w:rsidRDefault="00347945" w:rsidP="00673F0B">
            <w:pPr>
              <w:keepNext/>
              <w:keepLines/>
              <w:spacing w:afterLines="50" w:after="120"/>
              <w:rPr>
                <w:snapToGrid w:val="0"/>
                <w:lang w:val="fr-FR"/>
              </w:rPr>
            </w:pPr>
            <w:r w:rsidRPr="006D66BF">
              <w:rPr>
                <w:snapToGrid w:val="0"/>
                <w:lang w:val="fr-FR"/>
              </w:rPr>
              <w:t>Sediment compar</w:t>
            </w:r>
            <w:r w:rsidRPr="006D66BF">
              <w:rPr>
                <w:rFonts w:hint="eastAsia"/>
                <w:snapToGrid w:val="0"/>
                <w:lang w:val="fr-FR"/>
              </w:rPr>
              <w:t>tment</w:t>
            </w:r>
          </w:p>
        </w:tc>
        <w:tc>
          <w:tcPr>
            <w:tcW w:w="1680" w:type="dxa"/>
            <w:vAlign w:val="center"/>
          </w:tcPr>
          <w:p w14:paraId="30FFE605" w14:textId="77777777" w:rsidR="00347945" w:rsidRPr="006D66BF" w:rsidRDefault="00347945" w:rsidP="00673F0B">
            <w:pPr>
              <w:keepNext/>
              <w:keepLines/>
              <w:spacing w:afterLines="50" w:after="120"/>
              <w:rPr>
                <w:snapToGrid w:val="0"/>
              </w:rPr>
            </w:pPr>
            <w:r w:rsidRPr="006D66BF">
              <w:rPr>
                <w:snapToGrid w:val="0"/>
                <w:lang w:val="fr-FR"/>
              </w:rPr>
              <w:t xml:space="preserve"> </w:t>
            </w:r>
            <w:r w:rsidRPr="006D66BF">
              <w:rPr>
                <w:snapToGrid w:val="0"/>
              </w:rPr>
              <w:t>0.1 %</w:t>
            </w:r>
          </w:p>
        </w:tc>
        <w:tc>
          <w:tcPr>
            <w:tcW w:w="1365" w:type="dxa"/>
            <w:vAlign w:val="center"/>
          </w:tcPr>
          <w:p w14:paraId="30FFE606" w14:textId="77777777" w:rsidR="00347945" w:rsidRPr="006D66BF" w:rsidRDefault="00347945" w:rsidP="00673F0B">
            <w:pPr>
              <w:keepNext/>
              <w:keepLines/>
              <w:spacing w:afterLines="50" w:after="120"/>
              <w:rPr>
                <w:snapToGrid w:val="0"/>
              </w:rPr>
            </w:pPr>
            <w:r w:rsidRPr="006D66BF">
              <w:rPr>
                <w:snapToGrid w:val="0"/>
              </w:rPr>
              <w:t xml:space="preserve"> 0.0 %</w:t>
            </w:r>
          </w:p>
        </w:tc>
        <w:tc>
          <w:tcPr>
            <w:tcW w:w="1365" w:type="dxa"/>
            <w:vAlign w:val="center"/>
          </w:tcPr>
          <w:p w14:paraId="30FFE607" w14:textId="77777777" w:rsidR="00347945" w:rsidRPr="006D66BF" w:rsidRDefault="00347945" w:rsidP="00673F0B">
            <w:pPr>
              <w:keepNext/>
              <w:keepLines/>
              <w:spacing w:afterLines="50" w:after="120"/>
              <w:rPr>
                <w:snapToGrid w:val="0"/>
              </w:rPr>
            </w:pPr>
            <w:r w:rsidRPr="006D66BF">
              <w:rPr>
                <w:snapToGrid w:val="0"/>
              </w:rPr>
              <w:t xml:space="preserve"> 0.</w:t>
            </w:r>
            <w:r w:rsidRPr="006D66BF">
              <w:rPr>
                <w:rFonts w:hint="eastAsia"/>
                <w:snapToGrid w:val="0"/>
              </w:rPr>
              <w:t>2</w:t>
            </w:r>
            <w:r w:rsidRPr="006D66BF">
              <w:rPr>
                <w:snapToGrid w:val="0"/>
              </w:rPr>
              <w:t xml:space="preserve"> %</w:t>
            </w:r>
          </w:p>
        </w:tc>
        <w:tc>
          <w:tcPr>
            <w:tcW w:w="1406" w:type="dxa"/>
            <w:vAlign w:val="center"/>
          </w:tcPr>
          <w:p w14:paraId="30FFE608" w14:textId="77777777" w:rsidR="00347945" w:rsidRPr="006D66BF" w:rsidRDefault="00347945" w:rsidP="00673F0B">
            <w:pPr>
              <w:keepNext/>
              <w:keepLines/>
              <w:spacing w:afterLines="50" w:after="120"/>
              <w:rPr>
                <w:snapToGrid w:val="0"/>
              </w:rPr>
            </w:pPr>
            <w:r w:rsidRPr="006D66BF">
              <w:rPr>
                <w:snapToGrid w:val="0"/>
              </w:rPr>
              <w:t xml:space="preserve"> 0.0 %</w:t>
            </w:r>
          </w:p>
        </w:tc>
      </w:tr>
    </w:tbl>
    <w:p w14:paraId="30FFE60A" w14:textId="77777777" w:rsidR="00347945" w:rsidRPr="006D66BF" w:rsidRDefault="00347945" w:rsidP="00673F0B">
      <w:pPr>
        <w:spacing w:afterLines="50" w:after="120"/>
        <w:rPr>
          <w:snapToGrid w:val="0"/>
        </w:rPr>
      </w:pPr>
    </w:p>
    <w:p w14:paraId="30FFE60B" w14:textId="77777777" w:rsidR="00347945" w:rsidRPr="006D66BF" w:rsidRDefault="00347945" w:rsidP="00673F0B">
      <w:pPr>
        <w:spacing w:afterLines="50" w:after="120"/>
      </w:pPr>
      <w:r w:rsidRPr="006D66BF">
        <w:rPr>
          <w:snapToGrid w:val="0"/>
        </w:rPr>
        <w:t xml:space="preserve">A Henry’s law constant of </w:t>
      </w:r>
      <w:r w:rsidRPr="006D66BF">
        <w:rPr>
          <w:rFonts w:hint="eastAsia"/>
        </w:rPr>
        <w:t>1.13 x 10</w:t>
      </w:r>
      <w:r w:rsidRPr="006D66BF">
        <w:rPr>
          <w:rFonts w:hint="eastAsia"/>
          <w:vertAlign w:val="superscript"/>
        </w:rPr>
        <w:t>-3</w:t>
      </w:r>
      <w:r w:rsidRPr="006D66BF">
        <w:t xml:space="preserve"> </w:t>
      </w:r>
      <w:r w:rsidRPr="006D66BF">
        <w:rPr>
          <w:snapToGrid w:val="0"/>
        </w:rPr>
        <w:t>Pa.m</w:t>
      </w:r>
      <w:r w:rsidRPr="006D66BF">
        <w:rPr>
          <w:snapToGrid w:val="0"/>
          <w:vertAlign w:val="superscript"/>
        </w:rPr>
        <w:t>3</w:t>
      </w:r>
      <w:r w:rsidRPr="006D66BF">
        <w:rPr>
          <w:snapToGrid w:val="0"/>
        </w:rPr>
        <w:t>/mole at 25 °C suggests that</w:t>
      </w:r>
      <w:r w:rsidRPr="006D66BF">
        <w:rPr>
          <w:rFonts w:hint="eastAsia"/>
          <w:snapToGrid w:val="0"/>
        </w:rPr>
        <w:t xml:space="preserve"> </w:t>
      </w:r>
      <w:r w:rsidRPr="006D66BF">
        <w:rPr>
          <w:rFonts w:hint="eastAsia"/>
        </w:rPr>
        <w:t>1</w:t>
      </w:r>
      <w:proofErr w:type="gramStart"/>
      <w:r w:rsidRPr="006D66BF">
        <w:rPr>
          <w:rFonts w:hint="eastAsia"/>
        </w:rPr>
        <w:t>,1,1</w:t>
      </w:r>
      <w:proofErr w:type="gramEnd"/>
      <w:r w:rsidRPr="006D66BF">
        <w:rPr>
          <w:rFonts w:hint="eastAsia"/>
        </w:rPr>
        <w:t>-tris(hydroxymethyl)ethane</w:t>
      </w:r>
      <w:r w:rsidRPr="006D66BF">
        <w:rPr>
          <w:snapToGrid w:val="0"/>
        </w:rPr>
        <w:t xml:space="preserve"> </w:t>
      </w:r>
      <w:r w:rsidRPr="006D66BF">
        <w:rPr>
          <w:rFonts w:hint="eastAsia"/>
          <w:snapToGrid w:val="0"/>
        </w:rPr>
        <w:t xml:space="preserve">is nonvolatile </w:t>
      </w:r>
      <w:r w:rsidRPr="006D66BF">
        <w:rPr>
          <w:snapToGrid w:val="0"/>
        </w:rPr>
        <w:t>from water (</w:t>
      </w:r>
      <w:r w:rsidRPr="006D66BF">
        <w:rPr>
          <w:rFonts w:hint="eastAsia"/>
          <w:snapToGrid w:val="0"/>
        </w:rPr>
        <w:t>USEPA, 2009b</w:t>
      </w:r>
      <w:r w:rsidRPr="006D66BF">
        <w:rPr>
          <w:snapToGrid w:val="0"/>
        </w:rPr>
        <w:t>). A soil adsorption coefficient of log K</w:t>
      </w:r>
      <w:r w:rsidRPr="006D66BF">
        <w:rPr>
          <w:snapToGrid w:val="0"/>
          <w:vertAlign w:val="subscript"/>
        </w:rPr>
        <w:t>oc</w:t>
      </w:r>
      <w:r w:rsidRPr="006D66BF">
        <w:rPr>
          <w:snapToGrid w:val="0"/>
        </w:rPr>
        <w:t xml:space="preserve"> = </w:t>
      </w:r>
      <w:r w:rsidRPr="006D66BF">
        <w:rPr>
          <w:rFonts w:hint="eastAsia"/>
          <w:snapToGrid w:val="0"/>
        </w:rPr>
        <w:t>-0.4</w:t>
      </w:r>
      <w:r w:rsidRPr="006D66BF">
        <w:rPr>
          <w:snapToGrid w:val="0"/>
        </w:rPr>
        <w:t xml:space="preserve"> indicates </w:t>
      </w:r>
      <w:r w:rsidRPr="006D66BF">
        <w:rPr>
          <w:rFonts w:hint="eastAsia"/>
        </w:rPr>
        <w:t>1</w:t>
      </w:r>
      <w:proofErr w:type="gramStart"/>
      <w:r w:rsidRPr="006D66BF">
        <w:rPr>
          <w:rFonts w:hint="eastAsia"/>
        </w:rPr>
        <w:t>,1,1</w:t>
      </w:r>
      <w:proofErr w:type="gramEnd"/>
      <w:r w:rsidRPr="006D66BF">
        <w:rPr>
          <w:rFonts w:hint="eastAsia"/>
        </w:rPr>
        <w:t>-tris(hydroxymethyl)ethane</w:t>
      </w:r>
      <w:r w:rsidRPr="006D66BF">
        <w:rPr>
          <w:snapToGrid w:val="0"/>
        </w:rPr>
        <w:t xml:space="preserve"> ha</w:t>
      </w:r>
      <w:r w:rsidRPr="006D66BF">
        <w:rPr>
          <w:rFonts w:hint="eastAsia"/>
          <w:snapToGrid w:val="0"/>
        </w:rPr>
        <w:t>s</w:t>
      </w:r>
      <w:r w:rsidRPr="006D66BF">
        <w:rPr>
          <w:snapToGrid w:val="0"/>
        </w:rPr>
        <w:t xml:space="preserve"> low adsorption to soil and sediment.</w:t>
      </w:r>
    </w:p>
    <w:p w14:paraId="30FFE60C" w14:textId="77777777" w:rsidR="00347945" w:rsidRPr="006D66BF" w:rsidRDefault="00347945" w:rsidP="00347945">
      <w:pPr>
        <w:pStyle w:val="Heading3"/>
        <w:jc w:val="both"/>
        <w:rPr>
          <w:rFonts w:ascii="Times New Roman" w:hAnsi="Times New Roman"/>
          <w:szCs w:val="24"/>
        </w:rPr>
      </w:pPr>
      <w:bookmarkStart w:id="61" w:name="_Toc32726021"/>
      <w:bookmarkStart w:id="62" w:name="_Toc32727204"/>
      <w:bookmarkStart w:id="63" w:name="_Toc93464279"/>
      <w:bookmarkStart w:id="64" w:name="_Toc171146306"/>
      <w:bookmarkStart w:id="65" w:name="_Toc282509919"/>
      <w:bookmarkStart w:id="66" w:name="_Toc297297714"/>
      <w:r w:rsidRPr="006D66BF">
        <w:rPr>
          <w:rFonts w:ascii="Times New Roman" w:hAnsi="Times New Roman"/>
          <w:szCs w:val="24"/>
        </w:rPr>
        <w:t>Biodegradation</w:t>
      </w:r>
      <w:bookmarkEnd w:id="61"/>
      <w:bookmarkEnd w:id="62"/>
      <w:bookmarkEnd w:id="63"/>
      <w:bookmarkEnd w:id="64"/>
      <w:bookmarkEnd w:id="65"/>
      <w:bookmarkEnd w:id="66"/>
    </w:p>
    <w:p w14:paraId="30FFE60D" w14:textId="77777777" w:rsidR="00347945" w:rsidRPr="006D66BF" w:rsidRDefault="00347945" w:rsidP="00347945">
      <w:pPr>
        <w:pStyle w:val="BodyText"/>
        <w:rPr>
          <w:szCs w:val="24"/>
          <w:lang w:val="en-US" w:eastAsia="ja-JP"/>
        </w:rPr>
      </w:pPr>
      <w:r w:rsidRPr="006D66BF">
        <w:rPr>
          <w:szCs w:val="24"/>
          <w:lang w:val="en-US" w:eastAsia="ja-JP"/>
        </w:rPr>
        <w:t xml:space="preserve">An OECD test guideline 301C test was conducted with </w:t>
      </w:r>
      <w:r w:rsidRPr="006D66BF">
        <w:rPr>
          <w:rFonts w:hint="eastAsia"/>
          <w:szCs w:val="24"/>
        </w:rPr>
        <w:t>1</w:t>
      </w:r>
      <w:proofErr w:type="gramStart"/>
      <w:r w:rsidRPr="006D66BF">
        <w:rPr>
          <w:rFonts w:hint="eastAsia"/>
          <w:szCs w:val="24"/>
        </w:rPr>
        <w:t>,1,1</w:t>
      </w:r>
      <w:proofErr w:type="gramEnd"/>
      <w:r w:rsidRPr="006D66BF">
        <w:rPr>
          <w:rFonts w:hint="eastAsia"/>
          <w:szCs w:val="24"/>
        </w:rPr>
        <w:t>-tris(hydroxymethyl)ethane</w:t>
      </w:r>
      <w:r w:rsidRPr="006D66BF">
        <w:rPr>
          <w:szCs w:val="24"/>
          <w:lang w:val="en-US" w:eastAsia="ja-JP"/>
        </w:rPr>
        <w:t xml:space="preserve"> with activated sludge for four weeks (CERI, 199</w:t>
      </w:r>
      <w:r w:rsidRPr="006D66BF">
        <w:rPr>
          <w:rFonts w:hint="eastAsia"/>
          <w:szCs w:val="24"/>
          <w:lang w:val="en-US" w:eastAsia="ja-JP"/>
        </w:rPr>
        <w:t>3b</w:t>
      </w:r>
      <w:r w:rsidRPr="006D66BF">
        <w:rPr>
          <w:szCs w:val="24"/>
          <w:lang w:val="en-US" w:eastAsia="ja-JP"/>
        </w:rPr>
        <w:t xml:space="preserve">). The concentration of the test substance was 100 mg/L and the concentration of the activated sludge was 30 mg/L as suspended solid matters. The test result showed </w:t>
      </w:r>
      <w:r w:rsidRPr="006D66BF">
        <w:rPr>
          <w:rFonts w:hint="eastAsia"/>
          <w:szCs w:val="24"/>
          <w:lang w:val="en-US" w:eastAsia="ja-JP"/>
        </w:rPr>
        <w:t>3-6</w:t>
      </w:r>
      <w:r w:rsidRPr="006D66BF">
        <w:rPr>
          <w:szCs w:val="24"/>
          <w:lang w:val="en-US" w:eastAsia="ja-JP"/>
        </w:rPr>
        <w:t xml:space="preserve"> % degradation by BOD. </w:t>
      </w:r>
      <w:r w:rsidRPr="006D66BF">
        <w:rPr>
          <w:rFonts w:hint="eastAsia"/>
          <w:szCs w:val="24"/>
        </w:rPr>
        <w:t>1</w:t>
      </w:r>
      <w:proofErr w:type="gramStart"/>
      <w:r w:rsidRPr="006D66BF">
        <w:rPr>
          <w:rFonts w:hint="eastAsia"/>
          <w:szCs w:val="24"/>
        </w:rPr>
        <w:t>,1,1</w:t>
      </w:r>
      <w:proofErr w:type="gramEnd"/>
      <w:r w:rsidRPr="006D66BF">
        <w:rPr>
          <w:rFonts w:hint="eastAsia"/>
          <w:szCs w:val="24"/>
        </w:rPr>
        <w:t>-</w:t>
      </w:r>
      <w:r>
        <w:rPr>
          <w:rFonts w:hint="eastAsia"/>
          <w:szCs w:val="24"/>
          <w:lang w:eastAsia="ja-JP"/>
        </w:rPr>
        <w:t>T</w:t>
      </w:r>
      <w:r w:rsidRPr="006D66BF">
        <w:rPr>
          <w:rFonts w:hint="eastAsia"/>
          <w:szCs w:val="24"/>
        </w:rPr>
        <w:t>ris(hydroxymethyl)ethane</w:t>
      </w:r>
      <w:r w:rsidRPr="006D66BF">
        <w:rPr>
          <w:rFonts w:hint="eastAsia"/>
          <w:szCs w:val="24"/>
          <w:lang w:val="en-US" w:eastAsia="ja-JP"/>
        </w:rPr>
        <w:t xml:space="preserve"> </w:t>
      </w:r>
      <w:r>
        <w:rPr>
          <w:rFonts w:hint="eastAsia"/>
          <w:szCs w:val="24"/>
          <w:lang w:val="en-US" w:eastAsia="ja-JP"/>
        </w:rPr>
        <w:t xml:space="preserve">is not </w:t>
      </w:r>
      <w:r>
        <w:rPr>
          <w:szCs w:val="24"/>
          <w:lang w:val="en-US" w:eastAsia="ja-JP"/>
        </w:rPr>
        <w:t>likely</w:t>
      </w:r>
      <w:r>
        <w:rPr>
          <w:rFonts w:hint="eastAsia"/>
          <w:szCs w:val="24"/>
          <w:lang w:val="en-US" w:eastAsia="ja-JP"/>
        </w:rPr>
        <w:t xml:space="preserve"> to be toxic to microorganisms given the absence of toxicity to aquatic organisms. </w:t>
      </w:r>
      <w:r w:rsidRPr="006D66BF">
        <w:rPr>
          <w:rFonts w:hint="eastAsia"/>
          <w:szCs w:val="24"/>
          <w:lang w:val="en-US" w:eastAsia="ja-JP"/>
        </w:rPr>
        <w:t xml:space="preserve">According to the result, </w:t>
      </w:r>
      <w:r w:rsidRPr="006D66BF">
        <w:rPr>
          <w:rFonts w:hint="eastAsia"/>
          <w:szCs w:val="24"/>
        </w:rPr>
        <w:t>1</w:t>
      </w:r>
      <w:proofErr w:type="gramStart"/>
      <w:r w:rsidRPr="006D66BF">
        <w:rPr>
          <w:rFonts w:hint="eastAsia"/>
          <w:szCs w:val="24"/>
        </w:rPr>
        <w:t>,1,1</w:t>
      </w:r>
      <w:proofErr w:type="gramEnd"/>
      <w:r w:rsidRPr="006D66BF">
        <w:rPr>
          <w:rFonts w:hint="eastAsia"/>
          <w:szCs w:val="24"/>
        </w:rPr>
        <w:t>-tris(hydroxymethyl)ethane</w:t>
      </w:r>
      <w:r w:rsidRPr="006D66BF">
        <w:rPr>
          <w:rFonts w:hint="eastAsia"/>
          <w:szCs w:val="24"/>
          <w:lang w:val="en-US" w:eastAsia="ja-JP"/>
        </w:rPr>
        <w:t xml:space="preserve"> is considered to be not-readily biodegradable.</w:t>
      </w:r>
      <w:r w:rsidRPr="006D66BF">
        <w:rPr>
          <w:szCs w:val="24"/>
          <w:lang w:val="en-US" w:eastAsia="ja-JP"/>
        </w:rPr>
        <w:t xml:space="preserve"> </w:t>
      </w:r>
    </w:p>
    <w:p w14:paraId="30FFE60E" w14:textId="77777777" w:rsidR="00347945" w:rsidRPr="006D66BF" w:rsidRDefault="00347945" w:rsidP="00347945">
      <w:pPr>
        <w:pStyle w:val="Heading3"/>
        <w:jc w:val="both"/>
        <w:rPr>
          <w:b w:val="0"/>
        </w:rPr>
      </w:pPr>
      <w:bookmarkStart w:id="67" w:name="_Toc32726022"/>
      <w:bookmarkStart w:id="68" w:name="_Toc32727205"/>
      <w:bookmarkStart w:id="69" w:name="_Toc93464280"/>
      <w:bookmarkStart w:id="70" w:name="_Toc171146307"/>
      <w:bookmarkStart w:id="71" w:name="_Toc282509920"/>
      <w:bookmarkStart w:id="72" w:name="_Toc297297715"/>
      <w:r w:rsidRPr="006D66BF">
        <w:rPr>
          <w:b w:val="0"/>
        </w:rPr>
        <w:t>Bioaccumulation</w:t>
      </w:r>
      <w:bookmarkEnd w:id="67"/>
      <w:bookmarkEnd w:id="68"/>
      <w:bookmarkEnd w:id="69"/>
      <w:bookmarkEnd w:id="70"/>
      <w:bookmarkEnd w:id="71"/>
      <w:bookmarkEnd w:id="72"/>
    </w:p>
    <w:p w14:paraId="30FFE60F" w14:textId="77777777" w:rsidR="00347945" w:rsidRPr="006D66BF" w:rsidRDefault="00347945" w:rsidP="00673F0B">
      <w:pPr>
        <w:pStyle w:val="BodyText"/>
        <w:spacing w:afterLines="80" w:after="192"/>
        <w:rPr>
          <w:snapToGrid w:val="0"/>
          <w:kern w:val="2"/>
          <w:szCs w:val="24"/>
          <w:lang w:val="en-US" w:eastAsia="ja-JP"/>
        </w:rPr>
      </w:pPr>
      <w:r w:rsidRPr="006D66BF">
        <w:rPr>
          <w:snapToGrid w:val="0"/>
          <w:kern w:val="2"/>
          <w:szCs w:val="24"/>
          <w:lang w:val="en-US" w:eastAsia="ja-JP"/>
        </w:rPr>
        <w:t xml:space="preserve">No information </w:t>
      </w:r>
      <w:r w:rsidRPr="006D66BF">
        <w:rPr>
          <w:rFonts w:hint="eastAsia"/>
          <w:snapToGrid w:val="0"/>
          <w:kern w:val="2"/>
          <w:szCs w:val="24"/>
          <w:lang w:val="en-US" w:eastAsia="ja-JP"/>
        </w:rPr>
        <w:t xml:space="preserve">was available </w:t>
      </w:r>
      <w:r w:rsidRPr="006D66BF">
        <w:rPr>
          <w:snapToGrid w:val="0"/>
          <w:kern w:val="2"/>
          <w:szCs w:val="24"/>
          <w:lang w:val="en-US" w:eastAsia="ja-JP"/>
        </w:rPr>
        <w:t xml:space="preserve">on the bio-concentration on </w:t>
      </w:r>
      <w:r w:rsidRPr="006D66BF">
        <w:rPr>
          <w:rFonts w:hint="eastAsia"/>
          <w:szCs w:val="24"/>
        </w:rPr>
        <w:t>1</w:t>
      </w:r>
      <w:proofErr w:type="gramStart"/>
      <w:r w:rsidRPr="006D66BF">
        <w:rPr>
          <w:rFonts w:hint="eastAsia"/>
          <w:szCs w:val="24"/>
        </w:rPr>
        <w:t>,1,1</w:t>
      </w:r>
      <w:proofErr w:type="gramEnd"/>
      <w:r w:rsidRPr="006D66BF">
        <w:rPr>
          <w:rFonts w:hint="eastAsia"/>
          <w:szCs w:val="24"/>
        </w:rPr>
        <w:t>-tris(hydroxymethyl)ethane</w:t>
      </w:r>
      <w:r w:rsidRPr="006D66BF">
        <w:rPr>
          <w:snapToGrid w:val="0"/>
          <w:kern w:val="2"/>
          <w:szCs w:val="24"/>
          <w:lang w:val="en-US" w:eastAsia="ja-JP"/>
        </w:rPr>
        <w:t>. Using an</w:t>
      </w:r>
      <w:r w:rsidRPr="006D66BF">
        <w:rPr>
          <w:rFonts w:hint="eastAsia"/>
          <w:snapToGrid w:val="0"/>
          <w:kern w:val="2"/>
          <w:szCs w:val="24"/>
          <w:lang w:val="en-US" w:eastAsia="ja-JP"/>
        </w:rPr>
        <w:t xml:space="preserve"> octanol-water partition coefficient</w:t>
      </w:r>
      <w:r w:rsidRPr="006D66BF">
        <w:rPr>
          <w:snapToGrid w:val="0"/>
          <w:kern w:val="2"/>
          <w:szCs w:val="24"/>
          <w:lang w:val="en-US" w:eastAsia="ja-JP"/>
        </w:rPr>
        <w:t xml:space="preserve"> (log K</w:t>
      </w:r>
      <w:r w:rsidRPr="006D66BF">
        <w:rPr>
          <w:snapToGrid w:val="0"/>
          <w:kern w:val="2"/>
          <w:szCs w:val="24"/>
          <w:vertAlign w:val="subscript"/>
          <w:lang w:val="en-US" w:eastAsia="ja-JP"/>
        </w:rPr>
        <w:t>ow</w:t>
      </w:r>
      <w:r w:rsidRPr="006D66BF">
        <w:rPr>
          <w:snapToGrid w:val="0"/>
          <w:kern w:val="2"/>
          <w:szCs w:val="24"/>
          <w:lang w:val="en-US" w:eastAsia="ja-JP"/>
        </w:rPr>
        <w:t xml:space="preserve">) of </w:t>
      </w:r>
      <w:r w:rsidRPr="006D66BF">
        <w:rPr>
          <w:rFonts w:hint="eastAsia"/>
          <w:snapToGrid w:val="0"/>
          <w:kern w:val="2"/>
          <w:szCs w:val="24"/>
          <w:lang w:val="en-US" w:eastAsia="ja-JP"/>
        </w:rPr>
        <w:t>-0.95, a bio</w:t>
      </w:r>
      <w:r w:rsidRPr="006D66BF">
        <w:rPr>
          <w:snapToGrid w:val="0"/>
          <w:kern w:val="2"/>
          <w:szCs w:val="24"/>
          <w:lang w:val="en-US" w:eastAsia="ja-JP"/>
        </w:rPr>
        <w:t>-</w:t>
      </w:r>
      <w:r w:rsidRPr="006D66BF">
        <w:rPr>
          <w:rFonts w:hint="eastAsia"/>
          <w:snapToGrid w:val="0"/>
          <w:kern w:val="2"/>
          <w:szCs w:val="24"/>
          <w:lang w:val="en-US" w:eastAsia="ja-JP"/>
        </w:rPr>
        <w:t xml:space="preserve">concentration factor </w:t>
      </w:r>
      <w:r w:rsidRPr="006D66BF">
        <w:rPr>
          <w:snapToGrid w:val="0"/>
          <w:kern w:val="2"/>
          <w:szCs w:val="24"/>
          <w:lang w:val="en-US" w:eastAsia="ja-JP"/>
        </w:rPr>
        <w:t xml:space="preserve">of </w:t>
      </w:r>
      <w:r w:rsidRPr="006D66BF">
        <w:rPr>
          <w:rFonts w:hint="eastAsia"/>
          <w:snapToGrid w:val="0"/>
          <w:kern w:val="2"/>
          <w:szCs w:val="24"/>
          <w:lang w:val="en-US" w:eastAsia="ja-JP"/>
        </w:rPr>
        <w:t>3.2</w:t>
      </w:r>
      <w:r w:rsidRPr="006D66BF">
        <w:rPr>
          <w:snapToGrid w:val="0"/>
          <w:kern w:val="2"/>
          <w:szCs w:val="24"/>
          <w:lang w:val="en-US" w:eastAsia="ja-JP"/>
        </w:rPr>
        <w:t xml:space="preserve"> </w:t>
      </w:r>
      <w:r w:rsidRPr="006D66BF">
        <w:rPr>
          <w:rFonts w:hint="eastAsia"/>
          <w:snapToGrid w:val="0"/>
          <w:kern w:val="2"/>
          <w:szCs w:val="24"/>
          <w:lang w:val="en-US" w:eastAsia="ja-JP"/>
        </w:rPr>
        <w:t>was</w:t>
      </w:r>
      <w:r w:rsidRPr="006D66BF">
        <w:rPr>
          <w:snapToGrid w:val="0"/>
          <w:kern w:val="2"/>
          <w:szCs w:val="24"/>
          <w:lang w:val="en-US" w:eastAsia="ja-JP"/>
        </w:rPr>
        <w:t xml:space="preserve"> calculated with </w:t>
      </w:r>
      <w:r w:rsidRPr="006D66BF">
        <w:rPr>
          <w:rFonts w:hint="eastAsia"/>
          <w:snapToGrid w:val="0"/>
          <w:kern w:val="2"/>
          <w:szCs w:val="24"/>
          <w:lang w:val="en-US" w:eastAsia="ja-JP"/>
        </w:rPr>
        <w:t>BCF</w:t>
      </w:r>
      <w:r w:rsidRPr="006D66BF">
        <w:rPr>
          <w:snapToGrid w:val="0"/>
          <w:kern w:val="2"/>
          <w:szCs w:val="24"/>
          <w:lang w:val="en-US" w:eastAsia="ja-JP"/>
        </w:rPr>
        <w:t>BAF, version 3.00 (USEPA, 2008d)</w:t>
      </w:r>
      <w:r w:rsidRPr="006D66BF">
        <w:rPr>
          <w:rFonts w:hint="eastAsia"/>
          <w:snapToGrid w:val="0"/>
          <w:kern w:val="2"/>
          <w:szCs w:val="24"/>
          <w:lang w:val="en-US" w:eastAsia="ja-JP"/>
        </w:rPr>
        <w:t>.</w:t>
      </w:r>
      <w:r w:rsidRPr="006D66BF">
        <w:rPr>
          <w:snapToGrid w:val="0"/>
          <w:kern w:val="2"/>
          <w:szCs w:val="24"/>
          <w:lang w:val="en-US" w:eastAsia="ja-JP"/>
        </w:rPr>
        <w:t xml:space="preserve"> This </w:t>
      </w:r>
      <w:r w:rsidRPr="006D66BF">
        <w:rPr>
          <w:rFonts w:hint="eastAsia"/>
          <w:snapToGrid w:val="0"/>
          <w:kern w:val="2"/>
          <w:szCs w:val="24"/>
          <w:lang w:val="en-US" w:eastAsia="ja-JP"/>
        </w:rPr>
        <w:t>chemical is not expected to bioaccumulate.</w:t>
      </w:r>
    </w:p>
    <w:p w14:paraId="30FFE610" w14:textId="77777777" w:rsidR="00280EFA" w:rsidRDefault="00280EFA" w:rsidP="00280EFA">
      <w:pPr>
        <w:pStyle w:val="Heading3"/>
      </w:pPr>
      <w:bookmarkStart w:id="73" w:name="_Toc32726023"/>
      <w:bookmarkStart w:id="74" w:name="_Toc32727206"/>
      <w:bookmarkStart w:id="75" w:name="_Toc43868654"/>
      <w:r>
        <w:t>Other Information on Environmental Fate</w:t>
      </w:r>
      <w:bookmarkEnd w:id="73"/>
      <w:bookmarkEnd w:id="74"/>
      <w:bookmarkEnd w:id="75"/>
    </w:p>
    <w:p w14:paraId="30FFE611" w14:textId="77777777" w:rsidR="00347945" w:rsidRPr="006D66BF" w:rsidRDefault="00347945" w:rsidP="00347945">
      <w:pPr>
        <w:pStyle w:val="Heading2"/>
        <w:rPr>
          <w:rFonts w:ascii="Times New Roman" w:hAnsi="Times New Roman"/>
          <w:szCs w:val="24"/>
        </w:rPr>
      </w:pPr>
      <w:r w:rsidRPr="006D66BF">
        <w:rPr>
          <w:rFonts w:ascii="Times New Roman" w:hAnsi="Times New Roman"/>
          <w:szCs w:val="24"/>
        </w:rPr>
        <w:t>Human Exposure</w:t>
      </w:r>
    </w:p>
    <w:p w14:paraId="30FFE612" w14:textId="77777777" w:rsidR="00347945" w:rsidRPr="006D66BF" w:rsidRDefault="00347945" w:rsidP="00347945">
      <w:pPr>
        <w:pStyle w:val="Heading3"/>
        <w:jc w:val="both"/>
      </w:pPr>
      <w:r w:rsidRPr="006D66BF">
        <w:t>Occupational Exposure</w:t>
      </w:r>
    </w:p>
    <w:p w14:paraId="30FFE613" w14:textId="77777777" w:rsidR="00383972" w:rsidRPr="00280EFA" w:rsidRDefault="00383972" w:rsidP="00383972">
      <w:pPr>
        <w:pStyle w:val="BodyText"/>
        <w:rPr>
          <w:szCs w:val="24"/>
          <w:lang w:val="da-DK" w:eastAsia="ja-JP"/>
        </w:rPr>
      </w:pPr>
      <w:r w:rsidRPr="00280EFA">
        <w:rPr>
          <w:szCs w:val="24"/>
          <w:lang w:eastAsia="ja-JP"/>
        </w:rPr>
        <w:t xml:space="preserve">According to the vapour pressure of this substance of </w:t>
      </w:r>
      <w:r w:rsidRPr="00280EFA">
        <w:rPr>
          <w:szCs w:val="24"/>
          <w:lang w:val="da-DK" w:eastAsia="ja-JP"/>
        </w:rPr>
        <w:t>1.82 x 10</w:t>
      </w:r>
      <w:r w:rsidRPr="00280EFA">
        <w:rPr>
          <w:szCs w:val="24"/>
          <w:vertAlign w:val="superscript"/>
          <w:lang w:val="da-DK" w:eastAsia="ja-JP"/>
        </w:rPr>
        <w:t>-5</w:t>
      </w:r>
      <w:r w:rsidRPr="00280EFA">
        <w:rPr>
          <w:szCs w:val="24"/>
          <w:lang w:val="da-DK" w:eastAsia="ja-JP"/>
        </w:rPr>
        <w:t xml:space="preserve"> Pa at 25 °C, which corresponds to maximum vapour concentration of less than 0.2 ppb, inahlation of vapor may be negligible, but inhalation of mist of this substance may be a concern where aerosol formation is possible. </w:t>
      </w:r>
      <w:r w:rsidRPr="00280EFA">
        <w:rPr>
          <w:snapToGrid w:val="0"/>
          <w:kern w:val="2"/>
          <w:szCs w:val="24"/>
          <w:lang w:val="en-US" w:eastAsia="ja-JP"/>
        </w:rPr>
        <w:t xml:space="preserve">The log Kow of this chemical is -0.95, so dermal intake is also a concern. To prevent worker exposure to mist, some kind of worker protection measures such as LEV or PPE are necessary at production sites, also proper worker protection measures may be necessary at user sites. </w:t>
      </w:r>
    </w:p>
    <w:p w14:paraId="30FFE614" w14:textId="77777777" w:rsidR="00347945" w:rsidRPr="006D66BF" w:rsidRDefault="00347945" w:rsidP="00347945">
      <w:pPr>
        <w:pStyle w:val="BodyText"/>
        <w:rPr>
          <w:sz w:val="22"/>
          <w:szCs w:val="22"/>
          <w:lang w:val="en-US" w:eastAsia="ja-JP"/>
        </w:rPr>
      </w:pPr>
      <w:r>
        <w:rPr>
          <w:rFonts w:hint="eastAsia"/>
          <w:szCs w:val="24"/>
          <w:lang w:eastAsia="ja-JP"/>
        </w:rPr>
        <w:t xml:space="preserve">As </w:t>
      </w:r>
      <w:r>
        <w:rPr>
          <w:rFonts w:hint="eastAsia"/>
          <w:szCs w:val="24"/>
        </w:rPr>
        <w:t>1</w:t>
      </w:r>
      <w:proofErr w:type="gramStart"/>
      <w:r>
        <w:rPr>
          <w:rFonts w:hint="eastAsia"/>
          <w:szCs w:val="24"/>
        </w:rPr>
        <w:t>,1,1</w:t>
      </w:r>
      <w:proofErr w:type="gramEnd"/>
      <w:r>
        <w:rPr>
          <w:rFonts w:hint="eastAsia"/>
          <w:szCs w:val="24"/>
        </w:rPr>
        <w:t>-</w:t>
      </w:r>
      <w:r>
        <w:rPr>
          <w:rFonts w:hint="eastAsia"/>
          <w:szCs w:val="24"/>
          <w:lang w:eastAsia="ja-JP"/>
        </w:rPr>
        <w:t>t</w:t>
      </w:r>
      <w:r w:rsidRPr="006D66BF">
        <w:rPr>
          <w:rFonts w:hint="eastAsia"/>
          <w:szCs w:val="24"/>
        </w:rPr>
        <w:t>ris(hydroxymethyl)ethane</w:t>
      </w:r>
      <w:r w:rsidRPr="006D66BF">
        <w:rPr>
          <w:sz w:val="22"/>
          <w:szCs w:val="22"/>
          <w:lang w:eastAsia="ja-JP"/>
        </w:rPr>
        <w:t xml:space="preserve"> is not produced in </w:t>
      </w:r>
      <w:smartTag w:uri="urn:schemas-microsoft-com:office:smarttags" w:element="country-region">
        <w:smartTag w:uri="urn:schemas-microsoft-com:office:smarttags" w:element="place">
          <w:r w:rsidRPr="006D66BF">
            <w:rPr>
              <w:sz w:val="22"/>
              <w:szCs w:val="22"/>
              <w:lang w:eastAsia="ja-JP"/>
            </w:rPr>
            <w:t>Japan</w:t>
          </w:r>
        </w:smartTag>
      </w:smartTag>
      <w:r>
        <w:rPr>
          <w:rFonts w:hint="eastAsia"/>
          <w:sz w:val="22"/>
          <w:szCs w:val="22"/>
          <w:lang w:eastAsia="ja-JP"/>
        </w:rPr>
        <w:t xml:space="preserve">, </w:t>
      </w:r>
      <w:r w:rsidRPr="006D66BF">
        <w:rPr>
          <w:sz w:val="22"/>
          <w:szCs w:val="22"/>
          <w:lang w:eastAsia="ja-JP"/>
        </w:rPr>
        <w:t xml:space="preserve">no actual exposure data are available. </w:t>
      </w:r>
    </w:p>
    <w:p w14:paraId="30FFE615" w14:textId="77777777" w:rsidR="00383972" w:rsidRPr="00280EFA" w:rsidRDefault="00383972" w:rsidP="00673F0B">
      <w:pPr>
        <w:pStyle w:val="BodyText"/>
        <w:spacing w:afterLines="80" w:after="192"/>
        <w:rPr>
          <w:szCs w:val="24"/>
          <w:lang w:val="da-DK" w:eastAsia="ja-JP"/>
        </w:rPr>
      </w:pPr>
      <w:bookmarkStart w:id="76" w:name="_Toc32726026"/>
      <w:bookmarkStart w:id="77" w:name="_Toc32727209"/>
      <w:bookmarkStart w:id="78" w:name="_Toc93464282"/>
      <w:bookmarkStart w:id="79" w:name="_Toc171146310"/>
      <w:bookmarkStart w:id="80" w:name="_Toc282509923"/>
      <w:bookmarkStart w:id="81" w:name="_Toc297297718"/>
      <w:r w:rsidRPr="00280EFA">
        <w:rPr>
          <w:szCs w:val="24"/>
          <w:lang w:val="da-DK" w:eastAsia="ja-JP"/>
        </w:rPr>
        <w:t xml:space="preserve">No occupational exposure limit value are established for </w:t>
      </w:r>
      <w:r w:rsidRPr="00280EFA">
        <w:rPr>
          <w:szCs w:val="24"/>
        </w:rPr>
        <w:t>1,1,1-</w:t>
      </w:r>
      <w:r w:rsidRPr="00280EFA">
        <w:rPr>
          <w:szCs w:val="24"/>
          <w:lang w:eastAsia="ja-JP"/>
        </w:rPr>
        <w:t>t</w:t>
      </w:r>
      <w:r w:rsidRPr="00280EFA">
        <w:rPr>
          <w:szCs w:val="24"/>
        </w:rPr>
        <w:t>ris(hydroxymethyl)ethane</w:t>
      </w:r>
      <w:r w:rsidR="000A245C" w:rsidRPr="00280EFA">
        <w:rPr>
          <w:szCs w:val="24"/>
          <w:lang w:val="da-DK" w:eastAsia="ja-JP"/>
        </w:rPr>
        <w:t xml:space="preserve"> in the sponsor country.</w:t>
      </w:r>
    </w:p>
    <w:p w14:paraId="30FFE616" w14:textId="77777777" w:rsidR="00D23AF3" w:rsidRPr="006D66BF" w:rsidRDefault="00D23AF3" w:rsidP="00D23AF3">
      <w:pPr>
        <w:pStyle w:val="Heading3"/>
        <w:jc w:val="both"/>
        <w:rPr>
          <w:rFonts w:ascii="Times New Roman" w:hAnsi="Times New Roman"/>
          <w:szCs w:val="24"/>
        </w:rPr>
      </w:pPr>
      <w:r w:rsidRPr="006D66BF">
        <w:rPr>
          <w:rFonts w:ascii="Times New Roman" w:hAnsi="Times New Roman"/>
          <w:szCs w:val="24"/>
        </w:rPr>
        <w:t>Consumer Exposure</w:t>
      </w:r>
      <w:bookmarkEnd w:id="76"/>
      <w:bookmarkEnd w:id="77"/>
      <w:bookmarkEnd w:id="78"/>
      <w:bookmarkEnd w:id="79"/>
      <w:bookmarkEnd w:id="80"/>
      <w:bookmarkEnd w:id="81"/>
    </w:p>
    <w:p w14:paraId="30FFE617" w14:textId="77777777" w:rsidR="00D23AF3" w:rsidRPr="006D66BF" w:rsidRDefault="00D23AF3" w:rsidP="00D23AF3">
      <w:pPr>
        <w:pStyle w:val="BodyText"/>
        <w:spacing w:before="100" w:beforeAutospacing="1" w:after="100" w:afterAutospacing="1"/>
        <w:rPr>
          <w:szCs w:val="24"/>
          <w:lang w:val="en-US" w:eastAsia="ja-JP"/>
        </w:rPr>
      </w:pPr>
      <w:r w:rsidRPr="006D66BF">
        <w:rPr>
          <w:snapToGrid w:val="0"/>
          <w:kern w:val="2"/>
          <w:szCs w:val="24"/>
          <w:lang w:val="en-US" w:eastAsia="ja-JP"/>
        </w:rPr>
        <w:t>As</w:t>
      </w:r>
      <w:r w:rsidRPr="006D66BF">
        <w:rPr>
          <w:rFonts w:hint="eastAsia"/>
          <w:szCs w:val="24"/>
          <w:lang w:eastAsia="ja-JP"/>
        </w:rPr>
        <w:t xml:space="preserve"> </w:t>
      </w:r>
      <w:r w:rsidRPr="006D66BF">
        <w:rPr>
          <w:rFonts w:hint="eastAsia"/>
          <w:szCs w:val="24"/>
        </w:rPr>
        <w:t>1</w:t>
      </w:r>
      <w:proofErr w:type="gramStart"/>
      <w:r w:rsidRPr="006D66BF">
        <w:rPr>
          <w:rFonts w:hint="eastAsia"/>
          <w:szCs w:val="24"/>
        </w:rPr>
        <w:t>,1,1</w:t>
      </w:r>
      <w:proofErr w:type="gramEnd"/>
      <w:r w:rsidRPr="006D66BF">
        <w:rPr>
          <w:rFonts w:hint="eastAsia"/>
          <w:szCs w:val="24"/>
        </w:rPr>
        <w:t>-tris(hydroxymethyl)ethane</w:t>
      </w:r>
      <w:r w:rsidRPr="006D66BF">
        <w:rPr>
          <w:rFonts w:hint="eastAsia"/>
          <w:szCs w:val="24"/>
          <w:lang w:eastAsia="ja-JP"/>
        </w:rPr>
        <w:t xml:space="preserve"> may be included in consumer products such as paints and coatings,</w:t>
      </w:r>
      <w:r w:rsidRPr="006D66BF">
        <w:rPr>
          <w:rFonts w:hint="eastAsia"/>
          <w:snapToGrid w:val="0"/>
          <w:kern w:val="2"/>
          <w:szCs w:val="24"/>
          <w:lang w:val="en-US" w:eastAsia="ja-JP"/>
        </w:rPr>
        <w:t xml:space="preserve"> </w:t>
      </w:r>
      <w:r w:rsidRPr="006D66BF">
        <w:rPr>
          <w:szCs w:val="24"/>
          <w:lang w:eastAsia="ja-JP"/>
        </w:rPr>
        <w:t xml:space="preserve">consumer exposure </w:t>
      </w:r>
      <w:r w:rsidRPr="006D66BF">
        <w:rPr>
          <w:rFonts w:hint="eastAsia"/>
          <w:szCs w:val="24"/>
          <w:lang w:eastAsia="ja-JP"/>
        </w:rPr>
        <w:t>is anticipated</w:t>
      </w:r>
      <w:r w:rsidRPr="006D66BF">
        <w:rPr>
          <w:szCs w:val="24"/>
          <w:lang w:eastAsia="ja-JP"/>
        </w:rPr>
        <w:t>.</w:t>
      </w:r>
      <w:r w:rsidRPr="006D66BF">
        <w:rPr>
          <w:rFonts w:hint="eastAsia"/>
          <w:szCs w:val="24"/>
          <w:lang w:eastAsia="ja-JP"/>
        </w:rPr>
        <w:t xml:space="preserve"> However, n</w:t>
      </w:r>
      <w:r w:rsidRPr="006D66BF">
        <w:rPr>
          <w:szCs w:val="24"/>
        </w:rPr>
        <w:t>o detailed information is obtained for the consumer exposure.</w:t>
      </w:r>
    </w:p>
    <w:p w14:paraId="30FFE619" w14:textId="77777777" w:rsidR="009D0EC2" w:rsidRPr="006D66BF" w:rsidRDefault="009D0EC2" w:rsidP="009D0EC2">
      <w:pPr>
        <w:pStyle w:val="Heading1"/>
      </w:pPr>
      <w:bookmarkStart w:id="82" w:name="_Toc32726027"/>
      <w:bookmarkStart w:id="83" w:name="_Toc32727210"/>
      <w:bookmarkStart w:id="84" w:name="_Toc43868658"/>
      <w:bookmarkStart w:id="85" w:name="_Toc200358246"/>
      <w:bookmarkStart w:id="86" w:name="_Toc297297719"/>
      <w:r w:rsidRPr="006D66BF">
        <w:t>human health hazards</w:t>
      </w:r>
      <w:bookmarkEnd w:id="82"/>
      <w:bookmarkEnd w:id="83"/>
      <w:bookmarkEnd w:id="84"/>
      <w:bookmarkEnd w:id="85"/>
      <w:bookmarkEnd w:id="86"/>
    </w:p>
    <w:p w14:paraId="30FFE61A" w14:textId="77777777" w:rsidR="009D0EC2" w:rsidRPr="006D66BF" w:rsidRDefault="009D0EC2">
      <w:pPr>
        <w:pStyle w:val="Heading2"/>
      </w:pPr>
      <w:bookmarkStart w:id="87" w:name="_Toc32726028"/>
      <w:bookmarkStart w:id="88" w:name="_Toc32727211"/>
      <w:bookmarkStart w:id="89" w:name="_Toc43868659"/>
      <w:bookmarkStart w:id="90" w:name="_Toc200358247"/>
      <w:bookmarkStart w:id="91" w:name="_Toc297297720"/>
      <w:r w:rsidRPr="006D66BF">
        <w:t>Effects on Human Health</w:t>
      </w:r>
      <w:bookmarkEnd w:id="87"/>
      <w:bookmarkEnd w:id="88"/>
      <w:bookmarkEnd w:id="89"/>
      <w:bookmarkEnd w:id="90"/>
      <w:bookmarkEnd w:id="91"/>
    </w:p>
    <w:p w14:paraId="30FFE61B" w14:textId="77777777" w:rsidR="009D0EC2" w:rsidRPr="006D66BF" w:rsidRDefault="009D0EC2">
      <w:pPr>
        <w:pStyle w:val="Heading3"/>
      </w:pPr>
      <w:bookmarkStart w:id="92" w:name="_Toc32726029"/>
      <w:bookmarkStart w:id="93" w:name="_Toc32727212"/>
      <w:bookmarkStart w:id="94" w:name="_Toc43868660"/>
      <w:bookmarkStart w:id="95" w:name="_Toc200358248"/>
      <w:bookmarkStart w:id="96" w:name="_Toc297297721"/>
      <w:r w:rsidRPr="006D66BF">
        <w:t>Toxicokinetics, Metabolism and Distribution</w:t>
      </w:r>
      <w:bookmarkEnd w:id="92"/>
      <w:bookmarkEnd w:id="93"/>
      <w:bookmarkEnd w:id="94"/>
      <w:bookmarkEnd w:id="95"/>
      <w:bookmarkEnd w:id="96"/>
    </w:p>
    <w:p w14:paraId="30FFE61C" w14:textId="77777777" w:rsidR="009D0EC2" w:rsidRPr="006D66BF" w:rsidRDefault="009D0EC2">
      <w:pPr>
        <w:pStyle w:val="Heading8"/>
        <w:rPr>
          <w:lang w:eastAsia="ja-JP"/>
        </w:rPr>
      </w:pPr>
      <w:r w:rsidRPr="006D66BF">
        <w:t>Studies in Animals</w:t>
      </w:r>
    </w:p>
    <w:p w14:paraId="30FFE61D" w14:textId="77777777" w:rsidR="009D0EC2" w:rsidRPr="006D66BF" w:rsidRDefault="009D0EC2" w:rsidP="009D0EC2">
      <w:pPr>
        <w:pStyle w:val="Heading9"/>
      </w:pPr>
      <w:r w:rsidRPr="006D66BF">
        <w:t>In vitro Studies</w:t>
      </w:r>
    </w:p>
    <w:p w14:paraId="30FFE61E" w14:textId="77777777" w:rsidR="009D0EC2" w:rsidRPr="006D66BF" w:rsidRDefault="009D0EC2" w:rsidP="009D0EC2">
      <w:pPr>
        <w:pStyle w:val="BodyText"/>
        <w:rPr>
          <w:szCs w:val="24"/>
          <w:lang w:eastAsia="ja-JP"/>
        </w:rPr>
      </w:pPr>
      <w:r w:rsidRPr="006D66BF">
        <w:rPr>
          <w:rFonts w:hint="eastAsia"/>
          <w:szCs w:val="24"/>
          <w:lang w:eastAsia="ja-JP"/>
        </w:rPr>
        <w:t xml:space="preserve">No </w:t>
      </w:r>
      <w:r w:rsidRPr="006D66BF">
        <w:rPr>
          <w:rFonts w:hint="eastAsia"/>
          <w:szCs w:val="24"/>
        </w:rPr>
        <w:t>information</w:t>
      </w:r>
      <w:r w:rsidRPr="006D66BF">
        <w:rPr>
          <w:rFonts w:hint="eastAsia"/>
          <w:szCs w:val="24"/>
          <w:lang w:eastAsia="ja-JP"/>
        </w:rPr>
        <w:t xml:space="preserve"> is available.</w:t>
      </w:r>
    </w:p>
    <w:p w14:paraId="30FFE61F" w14:textId="77777777" w:rsidR="009D0EC2" w:rsidRPr="006D66BF" w:rsidRDefault="009D0EC2">
      <w:pPr>
        <w:pStyle w:val="Heading9"/>
      </w:pPr>
      <w:r w:rsidRPr="006D66BF">
        <w:t>In vivo Studies</w:t>
      </w:r>
    </w:p>
    <w:p w14:paraId="30FFE620" w14:textId="77777777" w:rsidR="009D0EC2" w:rsidRPr="006D66BF" w:rsidRDefault="009D0EC2" w:rsidP="009D0EC2">
      <w:pPr>
        <w:pStyle w:val="BodyText"/>
        <w:rPr>
          <w:lang w:val="en-US" w:eastAsia="ja-JP"/>
        </w:rPr>
      </w:pPr>
      <w:r w:rsidRPr="006D66BF">
        <w:rPr>
          <w:rFonts w:hint="eastAsia"/>
          <w:lang w:eastAsia="ja-JP"/>
        </w:rPr>
        <w:t xml:space="preserve">No information is </w:t>
      </w:r>
      <w:r w:rsidRPr="006D66BF">
        <w:rPr>
          <w:lang w:eastAsia="ja-JP"/>
        </w:rPr>
        <w:t>available</w:t>
      </w:r>
      <w:r w:rsidRPr="006D66BF">
        <w:rPr>
          <w:rFonts w:hint="eastAsia"/>
          <w:lang w:eastAsia="ja-JP"/>
        </w:rPr>
        <w:t xml:space="preserve"> for toxicokinetics, metabolism and </w:t>
      </w:r>
      <w:r w:rsidRPr="006D66BF">
        <w:rPr>
          <w:lang w:eastAsia="ja-JP"/>
        </w:rPr>
        <w:t>distribution</w:t>
      </w:r>
      <w:r w:rsidRPr="006D66BF">
        <w:rPr>
          <w:rFonts w:hint="eastAsia"/>
          <w:lang w:eastAsia="ja-JP"/>
        </w:rPr>
        <w:t xml:space="preserve">. </w:t>
      </w:r>
      <w:r w:rsidR="00BA584B" w:rsidRPr="000017E8">
        <w:t>The slight liver toxicity seen in rats given 1000</w:t>
      </w:r>
      <w:r w:rsidR="00BA584B">
        <w:t> </w:t>
      </w:r>
      <w:r w:rsidR="00BA584B" w:rsidRPr="000017E8">
        <w:t xml:space="preserve">mg/kg bw bw/day </w:t>
      </w:r>
      <w:r w:rsidR="00BA584B">
        <w:t xml:space="preserve">(in the repeated dose study described in section 3.1.5) </w:t>
      </w:r>
      <w:r w:rsidR="00BA584B" w:rsidRPr="000017E8">
        <w:t>indicates that 1</w:t>
      </w:r>
      <w:proofErr w:type="gramStart"/>
      <w:r w:rsidR="00BA584B" w:rsidRPr="000017E8">
        <w:t>,1,1</w:t>
      </w:r>
      <w:proofErr w:type="gramEnd"/>
      <w:r w:rsidR="00BA584B" w:rsidRPr="000017E8">
        <w:t>-tris(hydroxymethyl)ethane is absorbed through the gastrointestinal tract to some degree.</w:t>
      </w:r>
      <w:r w:rsidRPr="006D66BF">
        <w:rPr>
          <w:lang w:val="en-US"/>
        </w:rPr>
        <w:t>.</w:t>
      </w:r>
    </w:p>
    <w:p w14:paraId="30FFE621" w14:textId="77777777" w:rsidR="009D0EC2" w:rsidRPr="006D66BF" w:rsidRDefault="009D0EC2">
      <w:pPr>
        <w:pStyle w:val="Heading8"/>
      </w:pPr>
      <w:r w:rsidRPr="006D66BF">
        <w:t>Studies in Humans</w:t>
      </w:r>
    </w:p>
    <w:p w14:paraId="30FFE622" w14:textId="77777777" w:rsidR="009D0EC2" w:rsidRPr="006D66BF" w:rsidRDefault="009D0EC2" w:rsidP="009D0EC2">
      <w:pPr>
        <w:pStyle w:val="Heading9"/>
      </w:pPr>
      <w:r w:rsidRPr="006D66BF">
        <w:t>In vitro Studies</w:t>
      </w:r>
    </w:p>
    <w:p w14:paraId="30FFE623" w14:textId="77777777" w:rsidR="009D0EC2" w:rsidRPr="006D66BF" w:rsidRDefault="009D0EC2" w:rsidP="009D0EC2">
      <w:pPr>
        <w:pStyle w:val="BodyText"/>
      </w:pPr>
      <w:r w:rsidRPr="006D66BF">
        <w:rPr>
          <w:rFonts w:hint="eastAsia"/>
          <w:szCs w:val="24"/>
        </w:rPr>
        <w:t>No information on humans</w:t>
      </w:r>
      <w:r w:rsidRPr="006D66BF">
        <w:rPr>
          <w:szCs w:val="24"/>
        </w:rPr>
        <w:t xml:space="preserve"> is available.</w:t>
      </w:r>
    </w:p>
    <w:p w14:paraId="30FFE624" w14:textId="77777777" w:rsidR="009D0EC2" w:rsidRPr="006D66BF" w:rsidRDefault="009D0EC2">
      <w:pPr>
        <w:pStyle w:val="Heading9"/>
      </w:pPr>
      <w:r w:rsidRPr="006D66BF">
        <w:t>In vivo Studies</w:t>
      </w:r>
    </w:p>
    <w:p w14:paraId="30FFE625" w14:textId="77777777" w:rsidR="009D0EC2" w:rsidRPr="006D66BF" w:rsidRDefault="009D0EC2">
      <w:pPr>
        <w:pStyle w:val="BodyText"/>
        <w:rPr>
          <w:lang w:eastAsia="ja-JP"/>
        </w:rPr>
      </w:pPr>
      <w:r w:rsidRPr="006D66BF">
        <w:rPr>
          <w:rFonts w:hint="eastAsia"/>
          <w:szCs w:val="24"/>
        </w:rPr>
        <w:t>No information on humans</w:t>
      </w:r>
      <w:r w:rsidRPr="006D66BF">
        <w:rPr>
          <w:szCs w:val="24"/>
        </w:rPr>
        <w:t xml:space="preserve"> is available.</w:t>
      </w:r>
    </w:p>
    <w:p w14:paraId="30FFE626" w14:textId="77777777" w:rsidR="009D0EC2" w:rsidRPr="006D66BF" w:rsidRDefault="009D0EC2">
      <w:pPr>
        <w:pStyle w:val="Heading8"/>
      </w:pPr>
      <w:r w:rsidRPr="006D66BF">
        <w:t>Conclusion</w:t>
      </w:r>
    </w:p>
    <w:p w14:paraId="30FFE627" w14:textId="77777777" w:rsidR="00280EFA" w:rsidRDefault="00BA584B" w:rsidP="00280EFA">
      <w:pPr>
        <w:spacing w:after="180"/>
        <w:jc w:val="both"/>
      </w:pPr>
      <w:r w:rsidRPr="000017E8">
        <w:t xml:space="preserve">No specific study on toxicokinetics, metabolism and distribution has been identified. The slight liver toxicity seen in rats given 1000 mg/kg bw bw/day </w:t>
      </w:r>
      <w:r>
        <w:t xml:space="preserve">(in the repeated dose study described in section 3.1.5) </w:t>
      </w:r>
      <w:r w:rsidRPr="000017E8">
        <w:t>indicates that 1</w:t>
      </w:r>
      <w:proofErr w:type="gramStart"/>
      <w:r w:rsidRPr="000017E8">
        <w:t>,1,1</w:t>
      </w:r>
      <w:proofErr w:type="gramEnd"/>
      <w:r w:rsidRPr="000017E8">
        <w:t>-tris</w:t>
      </w:r>
      <w:r>
        <w:t>-</w:t>
      </w:r>
      <w:r w:rsidRPr="000017E8">
        <w:t>(hydroxymethyl)ethane is absorbed through the gastrointestinal tract to some degree.</w:t>
      </w:r>
      <w:bookmarkStart w:id="97" w:name="_Toc32726030"/>
      <w:bookmarkStart w:id="98" w:name="_Toc32727213"/>
      <w:bookmarkStart w:id="99" w:name="_Toc43868661"/>
      <w:bookmarkStart w:id="100" w:name="_Toc200358249"/>
      <w:bookmarkStart w:id="101" w:name="_Toc297297722"/>
    </w:p>
    <w:p w14:paraId="30FFE628" w14:textId="77777777" w:rsidR="009D0EC2" w:rsidRPr="006D66BF" w:rsidRDefault="009D0EC2" w:rsidP="00280EFA">
      <w:pPr>
        <w:pStyle w:val="Heading3"/>
      </w:pPr>
      <w:r w:rsidRPr="006D66BF">
        <w:t>Acute Toxicity</w:t>
      </w:r>
      <w:bookmarkEnd w:id="97"/>
      <w:bookmarkEnd w:id="98"/>
      <w:bookmarkEnd w:id="99"/>
      <w:bookmarkEnd w:id="100"/>
      <w:bookmarkEnd w:id="101"/>
    </w:p>
    <w:p w14:paraId="30FFE629" w14:textId="77777777" w:rsidR="009D0EC2" w:rsidRPr="006D66BF" w:rsidRDefault="009D0EC2">
      <w:pPr>
        <w:pStyle w:val="Heading8"/>
      </w:pPr>
      <w:r w:rsidRPr="006D66BF">
        <w:t>Studies in Animals</w:t>
      </w:r>
    </w:p>
    <w:p w14:paraId="30FFE62A" w14:textId="77777777" w:rsidR="009D0EC2" w:rsidRPr="006D66BF" w:rsidRDefault="009D0EC2">
      <w:pPr>
        <w:pStyle w:val="Heading9"/>
      </w:pPr>
      <w:r w:rsidRPr="006D66BF">
        <w:t>Oral</w:t>
      </w:r>
    </w:p>
    <w:p w14:paraId="30FFE62B" w14:textId="77777777" w:rsidR="009D0EC2" w:rsidRPr="006D66BF" w:rsidRDefault="009D0EC2" w:rsidP="00673F0B">
      <w:pPr>
        <w:autoSpaceDE w:val="0"/>
        <w:autoSpaceDN w:val="0"/>
        <w:adjustRightInd w:val="0"/>
        <w:spacing w:afterLines="50" w:after="120"/>
      </w:pPr>
      <w:r w:rsidRPr="006D66BF">
        <w:rPr>
          <w:rFonts w:hint="eastAsia"/>
        </w:rPr>
        <w:t xml:space="preserve">One reliable acute oral study is </w:t>
      </w:r>
      <w:r w:rsidRPr="006D66BF">
        <w:t>available</w:t>
      </w:r>
      <w:r w:rsidRPr="006D66BF">
        <w:rPr>
          <w:rFonts w:hint="eastAsia"/>
        </w:rPr>
        <w:t xml:space="preserve">. This study was conducted </w:t>
      </w:r>
      <w:r w:rsidRPr="006D66BF">
        <w:rPr>
          <w:rFonts w:hint="eastAsia"/>
          <w:lang w:eastAsia="ja-JP"/>
        </w:rPr>
        <w:t xml:space="preserve">in </w:t>
      </w:r>
      <w:r w:rsidRPr="006D66BF">
        <w:t>accord</w:t>
      </w:r>
      <w:r w:rsidRPr="006D66BF">
        <w:rPr>
          <w:rFonts w:hint="eastAsia"/>
          <w:lang w:eastAsia="ja-JP"/>
        </w:rPr>
        <w:t>ance</w:t>
      </w:r>
      <w:r w:rsidRPr="006D66BF">
        <w:rPr>
          <w:rFonts w:hint="eastAsia"/>
        </w:rPr>
        <w:t xml:space="preserve"> </w:t>
      </w:r>
      <w:r w:rsidRPr="006D66BF">
        <w:rPr>
          <w:rFonts w:hint="eastAsia"/>
          <w:lang w:eastAsia="ja-JP"/>
        </w:rPr>
        <w:t>with</w:t>
      </w:r>
      <w:r w:rsidRPr="006D66BF">
        <w:rPr>
          <w:rFonts w:hint="eastAsia"/>
        </w:rPr>
        <w:t xml:space="preserve"> </w:t>
      </w:r>
      <w:r w:rsidRPr="006D66BF">
        <w:rPr>
          <w:rFonts w:hint="eastAsia"/>
          <w:lang w:eastAsia="ja-JP"/>
        </w:rPr>
        <w:t>an a</w:t>
      </w:r>
      <w:r w:rsidRPr="006D66BF">
        <w:rPr>
          <w:lang w:eastAsia="ja-JP"/>
        </w:rPr>
        <w:t xml:space="preserve">cute </w:t>
      </w:r>
      <w:r w:rsidRPr="006D66BF">
        <w:rPr>
          <w:rFonts w:hint="eastAsia"/>
          <w:lang w:eastAsia="ja-JP"/>
        </w:rPr>
        <w:t>o</w:t>
      </w:r>
      <w:r w:rsidRPr="006D66BF">
        <w:rPr>
          <w:lang w:eastAsia="ja-JP"/>
        </w:rPr>
        <w:t xml:space="preserve">ral </w:t>
      </w:r>
      <w:r w:rsidRPr="006D66BF">
        <w:rPr>
          <w:rFonts w:hint="eastAsia"/>
          <w:lang w:eastAsia="ja-JP"/>
        </w:rPr>
        <w:t>t</w:t>
      </w:r>
      <w:r w:rsidRPr="006D66BF">
        <w:rPr>
          <w:lang w:eastAsia="ja-JP"/>
        </w:rPr>
        <w:t xml:space="preserve">oxicity </w:t>
      </w:r>
      <w:r w:rsidRPr="006D66BF">
        <w:rPr>
          <w:rFonts w:hint="eastAsia"/>
          <w:lang w:eastAsia="ja-JP"/>
        </w:rPr>
        <w:t>[</w:t>
      </w:r>
      <w:r w:rsidRPr="006D66BF">
        <w:rPr>
          <w:rFonts w:hint="eastAsia"/>
        </w:rPr>
        <w:t>OECD TG 4</w:t>
      </w:r>
      <w:r w:rsidRPr="006D66BF">
        <w:rPr>
          <w:rFonts w:hint="eastAsia"/>
          <w:lang w:eastAsia="ja-JP"/>
        </w:rPr>
        <w:t xml:space="preserve">01] </w:t>
      </w:r>
      <w:r w:rsidRPr="006D66BF">
        <w:rPr>
          <w:rFonts w:hint="eastAsia"/>
        </w:rPr>
        <w:t>under GLP</w:t>
      </w:r>
      <w:r w:rsidRPr="006D66BF">
        <w:rPr>
          <w:rFonts w:hint="eastAsia"/>
          <w:lang w:eastAsia="ja-JP"/>
        </w:rPr>
        <w:t xml:space="preserve"> [</w:t>
      </w:r>
      <w:r w:rsidRPr="006D66BF">
        <w:rPr>
          <w:lang w:eastAsia="ja-JP"/>
        </w:rPr>
        <w:t xml:space="preserve">MHW Japan, </w:t>
      </w:r>
      <w:r w:rsidRPr="006D66BF">
        <w:rPr>
          <w:rFonts w:hint="eastAsia"/>
          <w:lang w:eastAsia="ja-JP"/>
        </w:rPr>
        <w:t>1998a]</w:t>
      </w:r>
      <w:r w:rsidRPr="006D66BF">
        <w:rPr>
          <w:rFonts w:hint="eastAsia"/>
        </w:rPr>
        <w:t xml:space="preserve">. Details of the study are as follows.  </w:t>
      </w:r>
    </w:p>
    <w:p w14:paraId="30FFE62C" w14:textId="77777777" w:rsidR="009D0EC2" w:rsidRPr="006D66BF" w:rsidRDefault="009D0EC2" w:rsidP="00673F0B">
      <w:pPr>
        <w:autoSpaceDE w:val="0"/>
        <w:autoSpaceDN w:val="0"/>
        <w:adjustRightInd w:val="0"/>
        <w:spacing w:afterLines="25" w:after="60"/>
      </w:pPr>
      <w:r w:rsidRPr="006D66BF">
        <w:rPr>
          <w:rFonts w:hint="eastAsia"/>
        </w:rPr>
        <w:t>Crj:</w:t>
      </w:r>
      <w:r w:rsidRPr="006D66BF">
        <w:t xml:space="preserve"> </w:t>
      </w:r>
      <w:r w:rsidRPr="006D66BF">
        <w:rPr>
          <w:rFonts w:hint="eastAsia"/>
        </w:rPr>
        <w:t>CD</w:t>
      </w:r>
      <w:r w:rsidRPr="006D66BF">
        <w:rPr>
          <w:rFonts w:hint="eastAsia"/>
          <w:lang w:eastAsia="ja-JP"/>
        </w:rPr>
        <w:t xml:space="preserve"> </w:t>
      </w:r>
      <w:r w:rsidRPr="006D66BF">
        <w:rPr>
          <w:rFonts w:hint="eastAsia"/>
        </w:rPr>
        <w:t xml:space="preserve">(SD) </w:t>
      </w:r>
      <w:r w:rsidRPr="006D66BF">
        <w:rPr>
          <w:rFonts w:hint="eastAsia"/>
          <w:lang w:eastAsia="ja-JP"/>
        </w:rPr>
        <w:t xml:space="preserve">rats </w:t>
      </w:r>
      <w:r w:rsidRPr="006D66BF">
        <w:rPr>
          <w:rFonts w:hint="eastAsia"/>
        </w:rPr>
        <w:t>(</w:t>
      </w:r>
      <w:r w:rsidRPr="006D66BF">
        <w:rPr>
          <w:rFonts w:hint="eastAsia"/>
          <w:lang w:eastAsia="ja-JP"/>
        </w:rPr>
        <w:t>5</w:t>
      </w:r>
      <w:r w:rsidRPr="006D66BF">
        <w:rPr>
          <w:rFonts w:hint="eastAsia"/>
        </w:rPr>
        <w:t xml:space="preserve"> </w:t>
      </w:r>
      <w:r w:rsidRPr="006D66BF">
        <w:rPr>
          <w:rFonts w:hint="eastAsia"/>
          <w:lang w:eastAsia="ja-JP"/>
        </w:rPr>
        <w:t>animals</w:t>
      </w:r>
      <w:r w:rsidRPr="006D66BF">
        <w:rPr>
          <w:rFonts w:hint="eastAsia"/>
        </w:rPr>
        <w:t>/</w:t>
      </w:r>
      <w:r w:rsidRPr="006D66BF">
        <w:rPr>
          <w:rFonts w:hint="eastAsia"/>
          <w:lang w:eastAsia="ja-JP"/>
        </w:rPr>
        <w:t>sex</w:t>
      </w:r>
      <w:r w:rsidRPr="006D66BF">
        <w:rPr>
          <w:rFonts w:hint="eastAsia"/>
        </w:rPr>
        <w:t xml:space="preserve">) were given </w:t>
      </w:r>
      <w:r w:rsidR="00FC3A3D" w:rsidRPr="006D66BF">
        <w:rPr>
          <w:rFonts w:hint="eastAsia"/>
        </w:rPr>
        <w:t>1</w:t>
      </w:r>
      <w:proofErr w:type="gramStart"/>
      <w:r w:rsidR="00FC3A3D" w:rsidRPr="006D66BF">
        <w:rPr>
          <w:rFonts w:hint="eastAsia"/>
        </w:rPr>
        <w:t>,1,1</w:t>
      </w:r>
      <w:proofErr w:type="gramEnd"/>
      <w:r w:rsidR="00FC3A3D" w:rsidRPr="006D66BF">
        <w:rPr>
          <w:rFonts w:hint="eastAsia"/>
        </w:rPr>
        <w:t>-tris(hydroxymethyl)ethane</w:t>
      </w:r>
      <w:r w:rsidRPr="006D66BF">
        <w:rPr>
          <w:rFonts w:hint="eastAsia"/>
        </w:rPr>
        <w:t xml:space="preserve"> by gavage at 2</w:t>
      </w:r>
      <w:r w:rsidRPr="006D66BF">
        <w:rPr>
          <w:rFonts w:hint="eastAsia"/>
          <w:lang w:eastAsia="ja-JP"/>
        </w:rPr>
        <w:t>,</w:t>
      </w:r>
      <w:r w:rsidRPr="006D66BF">
        <w:rPr>
          <w:rFonts w:hint="eastAsia"/>
        </w:rPr>
        <w:t>000 mg/kg bw (</w:t>
      </w:r>
      <w:r w:rsidRPr="006D66BF">
        <w:rPr>
          <w:rFonts w:hint="eastAsia"/>
          <w:lang w:eastAsia="ja-JP"/>
        </w:rPr>
        <w:t>20%(w/v)</w:t>
      </w:r>
      <w:r w:rsidRPr="006D66BF">
        <w:rPr>
          <w:rFonts w:hint="eastAsia"/>
        </w:rPr>
        <w:t xml:space="preserve">). The </w:t>
      </w:r>
      <w:r w:rsidR="00A56F65">
        <w:rPr>
          <w:rFonts w:hint="eastAsia"/>
          <w:lang w:eastAsia="ja-JP"/>
        </w:rPr>
        <w:t xml:space="preserve">gavage vehicle was distilled water </w:t>
      </w:r>
      <w:r w:rsidRPr="006D66BF">
        <w:rPr>
          <w:rFonts w:hint="eastAsia"/>
        </w:rPr>
        <w:t xml:space="preserve">and the observation period was 14 days. </w:t>
      </w:r>
    </w:p>
    <w:p w14:paraId="30FFE62D" w14:textId="77777777" w:rsidR="009D0EC2" w:rsidRDefault="009D0EC2" w:rsidP="00673F0B">
      <w:pPr>
        <w:autoSpaceDE w:val="0"/>
        <w:autoSpaceDN w:val="0"/>
        <w:adjustRightInd w:val="0"/>
        <w:spacing w:afterLines="50" w:after="120"/>
        <w:rPr>
          <w:lang w:eastAsia="ja-JP"/>
        </w:rPr>
      </w:pPr>
      <w:r w:rsidRPr="006D66BF">
        <w:t>No death</w:t>
      </w:r>
      <w:r w:rsidRPr="006D66BF">
        <w:rPr>
          <w:rFonts w:hint="eastAsia"/>
          <w:lang w:eastAsia="ja-JP"/>
        </w:rPr>
        <w:t>s</w:t>
      </w:r>
      <w:r w:rsidRPr="006D66BF">
        <w:t xml:space="preserve"> occurred in either males or females in the treated groups. No effects were found in </w:t>
      </w:r>
      <w:r w:rsidRPr="006D66BF">
        <w:rPr>
          <w:rFonts w:hint="eastAsia"/>
          <w:lang w:eastAsia="ja-JP"/>
        </w:rPr>
        <w:t>clinical signs</w:t>
      </w:r>
      <w:r w:rsidRPr="006D66BF">
        <w:t>, body weight changes or autopsy findings.</w:t>
      </w:r>
      <w:r w:rsidRPr="006D66BF">
        <w:rPr>
          <w:rFonts w:hint="eastAsia"/>
        </w:rPr>
        <w:t xml:space="preserve"> </w:t>
      </w:r>
      <w:r w:rsidRPr="006D66BF">
        <w:t>The single dose toxicity test revealed an LD</w:t>
      </w:r>
      <w:r w:rsidRPr="006D66BF">
        <w:rPr>
          <w:vertAlign w:val="subscript"/>
        </w:rPr>
        <w:t>50</w:t>
      </w:r>
      <w:r w:rsidRPr="006D66BF">
        <w:t xml:space="preserve"> value of above 2</w:t>
      </w:r>
      <w:r w:rsidRPr="006D66BF">
        <w:rPr>
          <w:rFonts w:hint="eastAsia"/>
          <w:lang w:eastAsia="ja-JP"/>
        </w:rPr>
        <w:t>,</w:t>
      </w:r>
      <w:r w:rsidRPr="006D66BF">
        <w:t>000 mg/kg</w:t>
      </w:r>
      <w:r w:rsidRPr="006D66BF">
        <w:rPr>
          <w:rFonts w:hint="eastAsia"/>
          <w:lang w:eastAsia="ja-JP"/>
        </w:rPr>
        <w:t xml:space="preserve"> </w:t>
      </w:r>
      <w:proofErr w:type="gramStart"/>
      <w:r w:rsidRPr="006D66BF">
        <w:rPr>
          <w:rFonts w:hint="eastAsia"/>
          <w:lang w:eastAsia="ja-JP"/>
        </w:rPr>
        <w:t>bw</w:t>
      </w:r>
      <w:proofErr w:type="gramEnd"/>
      <w:r w:rsidRPr="006D66BF">
        <w:t xml:space="preserve"> for both sexes </w:t>
      </w:r>
      <w:r w:rsidRPr="006D66BF">
        <w:rPr>
          <w:rFonts w:hint="eastAsia"/>
        </w:rPr>
        <w:t xml:space="preserve">[MHW, </w:t>
      </w:r>
      <w:smartTag w:uri="urn:schemas-microsoft-com:office:smarttags" w:element="place">
        <w:smartTag w:uri="urn:schemas-microsoft-com:office:smarttags" w:element="country-region">
          <w:r w:rsidRPr="006D66BF">
            <w:rPr>
              <w:rFonts w:hint="eastAsia"/>
            </w:rPr>
            <w:t>Japan</w:t>
          </w:r>
        </w:smartTag>
      </w:smartTag>
      <w:r w:rsidRPr="006D66BF">
        <w:rPr>
          <w:rFonts w:hint="eastAsia"/>
        </w:rPr>
        <w:t xml:space="preserve">, </w:t>
      </w:r>
      <w:r w:rsidRPr="006D66BF">
        <w:rPr>
          <w:rFonts w:hint="eastAsia"/>
          <w:lang w:eastAsia="ja-JP"/>
        </w:rPr>
        <w:t>1998a</w:t>
      </w:r>
      <w:r w:rsidRPr="006D66BF">
        <w:rPr>
          <w:rFonts w:hint="eastAsia"/>
        </w:rPr>
        <w:t>].</w:t>
      </w:r>
    </w:p>
    <w:p w14:paraId="30FFE62E" w14:textId="77777777" w:rsidR="00A56F65" w:rsidRPr="006D66BF" w:rsidRDefault="00A56F65" w:rsidP="00A56F65">
      <w:pPr>
        <w:pStyle w:val="Heading9"/>
      </w:pPr>
      <w:r w:rsidRPr="006D66BF">
        <w:t>Inhalation</w:t>
      </w:r>
    </w:p>
    <w:p w14:paraId="30FFE62F" w14:textId="77777777" w:rsidR="00A56F65" w:rsidRPr="006D66BF" w:rsidRDefault="00A56F65" w:rsidP="00A56F65">
      <w:pPr>
        <w:pStyle w:val="BodyText"/>
        <w:rPr>
          <w:lang w:eastAsia="ja-JP"/>
        </w:rPr>
      </w:pPr>
      <w:r w:rsidRPr="006D66BF">
        <w:rPr>
          <w:rFonts w:hint="eastAsia"/>
          <w:szCs w:val="24"/>
          <w:lang w:eastAsia="ja-JP"/>
        </w:rPr>
        <w:t xml:space="preserve">No </w:t>
      </w:r>
      <w:r w:rsidRPr="006D66BF">
        <w:rPr>
          <w:rFonts w:hint="eastAsia"/>
          <w:szCs w:val="24"/>
        </w:rPr>
        <w:t>information</w:t>
      </w:r>
      <w:r w:rsidRPr="006D66BF">
        <w:rPr>
          <w:rFonts w:hint="eastAsia"/>
          <w:szCs w:val="24"/>
          <w:lang w:eastAsia="ja-JP"/>
        </w:rPr>
        <w:t xml:space="preserve"> is available.</w:t>
      </w:r>
    </w:p>
    <w:p w14:paraId="30FFE630" w14:textId="77777777" w:rsidR="00A56F65" w:rsidRPr="006D66BF" w:rsidRDefault="00A56F65" w:rsidP="00A56F65">
      <w:pPr>
        <w:pStyle w:val="Heading9"/>
      </w:pPr>
      <w:r w:rsidRPr="006D66BF">
        <w:t>Dermal</w:t>
      </w:r>
    </w:p>
    <w:p w14:paraId="30FFE631" w14:textId="77777777" w:rsidR="00A56F65" w:rsidRPr="006D66BF" w:rsidRDefault="00A56F65" w:rsidP="00A56F65">
      <w:pPr>
        <w:pStyle w:val="BodyText"/>
        <w:rPr>
          <w:lang w:eastAsia="ja-JP"/>
        </w:rPr>
      </w:pPr>
      <w:r w:rsidRPr="006D66BF">
        <w:rPr>
          <w:rFonts w:hint="eastAsia"/>
          <w:szCs w:val="24"/>
          <w:lang w:eastAsia="ja-JP"/>
        </w:rPr>
        <w:t xml:space="preserve">No </w:t>
      </w:r>
      <w:r w:rsidRPr="006D66BF">
        <w:rPr>
          <w:rFonts w:hint="eastAsia"/>
          <w:szCs w:val="24"/>
        </w:rPr>
        <w:t>information</w:t>
      </w:r>
      <w:r w:rsidRPr="006D66BF">
        <w:rPr>
          <w:rFonts w:hint="eastAsia"/>
          <w:szCs w:val="24"/>
          <w:lang w:eastAsia="ja-JP"/>
        </w:rPr>
        <w:t xml:space="preserve"> is available.</w:t>
      </w:r>
    </w:p>
    <w:p w14:paraId="30FFE632" w14:textId="77777777" w:rsidR="009D0EC2" w:rsidRPr="006D66BF" w:rsidRDefault="009D0EC2">
      <w:pPr>
        <w:pStyle w:val="Heading9"/>
      </w:pPr>
      <w:r w:rsidRPr="006D66BF">
        <w:t>Other Routes of Exposure</w:t>
      </w:r>
    </w:p>
    <w:p w14:paraId="30FFE633" w14:textId="77777777" w:rsidR="009D0EC2" w:rsidRPr="006D66BF" w:rsidRDefault="009D0EC2" w:rsidP="009D0EC2">
      <w:pPr>
        <w:pStyle w:val="BodyText"/>
        <w:rPr>
          <w:lang w:eastAsia="ja-JP"/>
        </w:rPr>
      </w:pPr>
      <w:r w:rsidRPr="006D66BF">
        <w:rPr>
          <w:rFonts w:hint="eastAsia"/>
          <w:szCs w:val="24"/>
          <w:lang w:eastAsia="ja-JP"/>
        </w:rPr>
        <w:t xml:space="preserve">No </w:t>
      </w:r>
      <w:r w:rsidRPr="006D66BF">
        <w:rPr>
          <w:rFonts w:hint="eastAsia"/>
          <w:szCs w:val="24"/>
        </w:rPr>
        <w:t>information</w:t>
      </w:r>
      <w:r w:rsidRPr="006D66BF">
        <w:rPr>
          <w:rFonts w:hint="eastAsia"/>
          <w:szCs w:val="24"/>
          <w:lang w:eastAsia="ja-JP"/>
        </w:rPr>
        <w:t xml:space="preserve"> is available.</w:t>
      </w:r>
    </w:p>
    <w:p w14:paraId="30FFE634" w14:textId="77777777" w:rsidR="009D0EC2" w:rsidRPr="006D66BF" w:rsidRDefault="009D0EC2">
      <w:pPr>
        <w:pStyle w:val="Heading8"/>
      </w:pPr>
      <w:r w:rsidRPr="006D66BF">
        <w:t>Studies in Humans</w:t>
      </w:r>
    </w:p>
    <w:p w14:paraId="30FFE635" w14:textId="77777777" w:rsidR="009D0EC2" w:rsidRPr="006D66BF" w:rsidRDefault="009D0EC2">
      <w:pPr>
        <w:pStyle w:val="Heading9"/>
      </w:pPr>
      <w:r w:rsidRPr="006D66BF">
        <w:t>Inhalation</w:t>
      </w:r>
    </w:p>
    <w:p w14:paraId="30FFE636" w14:textId="77777777" w:rsidR="009D0EC2" w:rsidRPr="006D66BF" w:rsidRDefault="009D0EC2">
      <w:pPr>
        <w:pStyle w:val="BodyText"/>
      </w:pPr>
      <w:r w:rsidRPr="006D66BF">
        <w:rPr>
          <w:rFonts w:hint="eastAsia"/>
          <w:szCs w:val="24"/>
        </w:rPr>
        <w:t>No information on humans</w:t>
      </w:r>
      <w:r w:rsidRPr="006D66BF">
        <w:rPr>
          <w:szCs w:val="24"/>
        </w:rPr>
        <w:t xml:space="preserve"> is available.</w:t>
      </w:r>
    </w:p>
    <w:p w14:paraId="30FFE637" w14:textId="77777777" w:rsidR="009D0EC2" w:rsidRPr="006D66BF" w:rsidRDefault="009D0EC2">
      <w:pPr>
        <w:pStyle w:val="Heading9"/>
      </w:pPr>
      <w:r w:rsidRPr="006D66BF">
        <w:t>Dermal</w:t>
      </w:r>
    </w:p>
    <w:p w14:paraId="30FFE638" w14:textId="77777777" w:rsidR="009D0EC2" w:rsidRPr="006D66BF" w:rsidRDefault="009D0EC2">
      <w:pPr>
        <w:pStyle w:val="BodyText"/>
      </w:pPr>
      <w:r w:rsidRPr="006D66BF">
        <w:rPr>
          <w:rFonts w:hint="eastAsia"/>
          <w:szCs w:val="24"/>
        </w:rPr>
        <w:t>No information on humans</w:t>
      </w:r>
      <w:r w:rsidRPr="006D66BF">
        <w:rPr>
          <w:szCs w:val="24"/>
        </w:rPr>
        <w:t xml:space="preserve"> is available.</w:t>
      </w:r>
    </w:p>
    <w:p w14:paraId="30FFE639" w14:textId="77777777" w:rsidR="009D0EC2" w:rsidRPr="006D66BF" w:rsidRDefault="009D0EC2">
      <w:pPr>
        <w:pStyle w:val="Heading9"/>
      </w:pPr>
      <w:r w:rsidRPr="006D66BF">
        <w:t>Oral</w:t>
      </w:r>
    </w:p>
    <w:p w14:paraId="30FFE63A" w14:textId="77777777" w:rsidR="009D0EC2" w:rsidRPr="006D66BF" w:rsidRDefault="009D0EC2">
      <w:pPr>
        <w:pStyle w:val="BodyText"/>
      </w:pPr>
      <w:r w:rsidRPr="006D66BF">
        <w:rPr>
          <w:rFonts w:hint="eastAsia"/>
          <w:szCs w:val="24"/>
        </w:rPr>
        <w:t>No information on humans</w:t>
      </w:r>
      <w:r w:rsidRPr="006D66BF">
        <w:rPr>
          <w:szCs w:val="24"/>
        </w:rPr>
        <w:t xml:space="preserve"> is available.</w:t>
      </w:r>
    </w:p>
    <w:p w14:paraId="30FFE63B" w14:textId="77777777" w:rsidR="009D0EC2" w:rsidRPr="006D66BF" w:rsidRDefault="009D0EC2">
      <w:pPr>
        <w:pStyle w:val="Heading9"/>
      </w:pPr>
      <w:r w:rsidRPr="006D66BF">
        <w:t>Other Routes of Exposure</w:t>
      </w:r>
    </w:p>
    <w:p w14:paraId="30FFE63C" w14:textId="77777777" w:rsidR="009D0EC2" w:rsidRPr="006D66BF" w:rsidRDefault="009D0EC2">
      <w:pPr>
        <w:pStyle w:val="BodyText"/>
      </w:pPr>
      <w:r w:rsidRPr="006D66BF">
        <w:rPr>
          <w:rFonts w:hint="eastAsia"/>
          <w:szCs w:val="24"/>
        </w:rPr>
        <w:t>No information on humans</w:t>
      </w:r>
      <w:r w:rsidRPr="006D66BF">
        <w:rPr>
          <w:szCs w:val="24"/>
        </w:rPr>
        <w:t xml:space="preserve"> is available.</w:t>
      </w:r>
    </w:p>
    <w:p w14:paraId="30FFE63D" w14:textId="77777777" w:rsidR="009D0EC2" w:rsidRPr="006D66BF" w:rsidRDefault="009D0EC2">
      <w:pPr>
        <w:pStyle w:val="Heading8"/>
      </w:pPr>
      <w:r w:rsidRPr="006D66BF">
        <w:t>Conclusion</w:t>
      </w:r>
    </w:p>
    <w:p w14:paraId="30FFE63E" w14:textId="77777777" w:rsidR="00A27169" w:rsidRPr="00D82338" w:rsidRDefault="009D0EC2" w:rsidP="00A27169">
      <w:pPr>
        <w:pStyle w:val="BodyText"/>
        <w:ind w:leftChars="65" w:left="156" w:rightChars="117" w:right="281"/>
        <w:rPr>
          <w:sz w:val="20"/>
          <w:lang w:eastAsia="ja-JP"/>
        </w:rPr>
      </w:pPr>
      <w:r w:rsidRPr="006D66BF">
        <w:rPr>
          <w:rFonts w:hint="eastAsia"/>
          <w:szCs w:val="24"/>
        </w:rPr>
        <w:t>In the acute oral toxicity study, no deaths or signs of toxicity were observed at 2</w:t>
      </w:r>
      <w:r w:rsidRPr="006D66BF">
        <w:rPr>
          <w:rFonts w:hint="eastAsia"/>
          <w:szCs w:val="24"/>
          <w:lang w:eastAsia="ja-JP"/>
        </w:rPr>
        <w:t>,</w:t>
      </w:r>
      <w:r w:rsidRPr="006D66BF">
        <w:rPr>
          <w:rFonts w:hint="eastAsia"/>
          <w:szCs w:val="24"/>
        </w:rPr>
        <w:t xml:space="preserve">000 mg/kg </w:t>
      </w:r>
      <w:proofErr w:type="gramStart"/>
      <w:r w:rsidRPr="006D66BF">
        <w:rPr>
          <w:rFonts w:hint="eastAsia"/>
          <w:szCs w:val="24"/>
        </w:rPr>
        <w:t>bw</w:t>
      </w:r>
      <w:proofErr w:type="gramEnd"/>
      <w:r w:rsidRPr="006D66BF">
        <w:rPr>
          <w:rFonts w:hint="eastAsia"/>
          <w:szCs w:val="24"/>
        </w:rPr>
        <w:t xml:space="preserve"> in rats</w:t>
      </w:r>
      <w:r w:rsidRPr="006D66BF">
        <w:rPr>
          <w:szCs w:val="24"/>
        </w:rPr>
        <w:t xml:space="preserve">. </w:t>
      </w:r>
      <w:r w:rsidRPr="006D66BF">
        <w:rPr>
          <w:rFonts w:hint="eastAsia"/>
          <w:szCs w:val="24"/>
        </w:rPr>
        <w:t>Therefore, the oral LD</w:t>
      </w:r>
      <w:r w:rsidRPr="006D66BF">
        <w:rPr>
          <w:rFonts w:hint="eastAsia"/>
          <w:szCs w:val="24"/>
          <w:vertAlign w:val="subscript"/>
        </w:rPr>
        <w:t>50</w:t>
      </w:r>
      <w:r w:rsidRPr="006D66BF">
        <w:rPr>
          <w:rFonts w:hint="eastAsia"/>
          <w:szCs w:val="24"/>
        </w:rPr>
        <w:t xml:space="preserve"> value of </w:t>
      </w:r>
      <w:r w:rsidR="00FC3A3D" w:rsidRPr="006D66BF">
        <w:rPr>
          <w:rFonts w:hint="eastAsia"/>
          <w:szCs w:val="24"/>
        </w:rPr>
        <w:t>1</w:t>
      </w:r>
      <w:proofErr w:type="gramStart"/>
      <w:r w:rsidR="00FC3A3D" w:rsidRPr="006D66BF">
        <w:rPr>
          <w:rFonts w:hint="eastAsia"/>
          <w:szCs w:val="24"/>
        </w:rPr>
        <w:t>,1,1</w:t>
      </w:r>
      <w:proofErr w:type="gramEnd"/>
      <w:r w:rsidR="00FC3A3D" w:rsidRPr="006D66BF">
        <w:rPr>
          <w:rFonts w:hint="eastAsia"/>
          <w:szCs w:val="24"/>
        </w:rPr>
        <w:t>-tris(hydroxymethyl)ethane</w:t>
      </w:r>
      <w:r w:rsidRPr="006D66BF">
        <w:rPr>
          <w:szCs w:val="24"/>
        </w:rPr>
        <w:t xml:space="preserve"> </w:t>
      </w:r>
      <w:r w:rsidRPr="006D66BF">
        <w:rPr>
          <w:rFonts w:hint="eastAsia"/>
          <w:szCs w:val="24"/>
        </w:rPr>
        <w:t>was concluded to be &gt; 2</w:t>
      </w:r>
      <w:r w:rsidRPr="006D66BF">
        <w:rPr>
          <w:rFonts w:hint="eastAsia"/>
          <w:szCs w:val="24"/>
          <w:lang w:eastAsia="ja-JP"/>
        </w:rPr>
        <w:t>,</w:t>
      </w:r>
      <w:r w:rsidRPr="006D66BF">
        <w:rPr>
          <w:rFonts w:hint="eastAsia"/>
          <w:szCs w:val="24"/>
        </w:rPr>
        <w:t xml:space="preserve">000 mg/kg bw. </w:t>
      </w:r>
      <w:r w:rsidR="00C702F3" w:rsidRPr="00C702F3">
        <w:rPr>
          <w:lang w:eastAsia="ja-JP"/>
        </w:rPr>
        <w:t>D</w:t>
      </w:r>
      <w:r w:rsidR="00C702F3" w:rsidRPr="00C702F3">
        <w:t xml:space="preserve">ata on </w:t>
      </w:r>
      <w:r w:rsidR="00C702F3" w:rsidRPr="00C702F3">
        <w:rPr>
          <w:lang w:eastAsia="ja-JP"/>
        </w:rPr>
        <w:t xml:space="preserve">acute </w:t>
      </w:r>
      <w:r w:rsidR="00C702F3" w:rsidRPr="00C702F3">
        <w:t>dermal and inhalative toxicity are not available</w:t>
      </w:r>
      <w:r w:rsidR="00C702F3" w:rsidRPr="00C702F3">
        <w:rPr>
          <w:lang w:eastAsia="ja-JP"/>
        </w:rPr>
        <w:t xml:space="preserve">, but toxicity via these exposure routes is suggested to be low concern taking into account of low acute oral toxicity and vapour pressure of this chemical. </w:t>
      </w:r>
    </w:p>
    <w:p w14:paraId="30FFE63F" w14:textId="77777777" w:rsidR="009D0EC2" w:rsidRPr="006D66BF" w:rsidRDefault="009D0EC2">
      <w:pPr>
        <w:pStyle w:val="Heading3"/>
      </w:pPr>
      <w:bookmarkStart w:id="102" w:name="_Toc32726031"/>
      <w:bookmarkStart w:id="103" w:name="_Toc32727214"/>
      <w:bookmarkStart w:id="104" w:name="_Toc43868662"/>
      <w:bookmarkStart w:id="105" w:name="_Toc200358250"/>
      <w:bookmarkStart w:id="106" w:name="_Toc297297723"/>
      <w:r w:rsidRPr="006D66BF">
        <w:t>Irritation</w:t>
      </w:r>
      <w:bookmarkEnd w:id="102"/>
      <w:bookmarkEnd w:id="103"/>
      <w:bookmarkEnd w:id="104"/>
      <w:bookmarkEnd w:id="105"/>
      <w:bookmarkEnd w:id="106"/>
    </w:p>
    <w:p w14:paraId="30FFE640" w14:textId="77777777" w:rsidR="009D0EC2" w:rsidRPr="006D66BF" w:rsidRDefault="009D0EC2">
      <w:pPr>
        <w:pStyle w:val="Heading8"/>
      </w:pPr>
      <w:r w:rsidRPr="006D66BF">
        <w:t>Skin Irritation</w:t>
      </w:r>
    </w:p>
    <w:p w14:paraId="30FFE641" w14:textId="77777777" w:rsidR="009D0EC2" w:rsidRPr="006D66BF" w:rsidRDefault="009D0EC2">
      <w:pPr>
        <w:pStyle w:val="Heading9"/>
      </w:pPr>
      <w:r w:rsidRPr="006D66BF">
        <w:t>Studies in Animals</w:t>
      </w:r>
    </w:p>
    <w:p w14:paraId="30FFE642" w14:textId="77777777" w:rsidR="009D0EC2" w:rsidRPr="006D66BF" w:rsidRDefault="009D0EC2" w:rsidP="00673F0B">
      <w:pPr>
        <w:autoSpaceDE w:val="0"/>
        <w:autoSpaceDN w:val="0"/>
        <w:adjustRightInd w:val="0"/>
        <w:spacing w:afterLines="50" w:after="120"/>
      </w:pPr>
      <w:r w:rsidRPr="006D66BF">
        <w:rPr>
          <w:rFonts w:hint="eastAsia"/>
          <w:lang w:eastAsia="ja-JP"/>
        </w:rPr>
        <w:t xml:space="preserve">No reliable studies are available. </w:t>
      </w:r>
    </w:p>
    <w:p w14:paraId="30FFE643" w14:textId="77777777" w:rsidR="009D0EC2" w:rsidRPr="006D66BF" w:rsidRDefault="009D0EC2">
      <w:pPr>
        <w:pStyle w:val="Heading9"/>
      </w:pPr>
      <w:r w:rsidRPr="006D66BF">
        <w:t>Studies in Humans</w:t>
      </w:r>
    </w:p>
    <w:p w14:paraId="30FFE644" w14:textId="77777777" w:rsidR="009D0EC2" w:rsidRPr="006D66BF" w:rsidRDefault="009D0EC2">
      <w:pPr>
        <w:pStyle w:val="BodyText"/>
        <w:rPr>
          <w:lang w:eastAsia="ja-JP"/>
        </w:rPr>
      </w:pPr>
      <w:r w:rsidRPr="006D66BF">
        <w:rPr>
          <w:rFonts w:hint="eastAsia"/>
          <w:szCs w:val="24"/>
        </w:rPr>
        <w:t>No information on humans</w:t>
      </w:r>
      <w:r w:rsidRPr="006D66BF">
        <w:rPr>
          <w:szCs w:val="24"/>
        </w:rPr>
        <w:t xml:space="preserve"> is available.</w:t>
      </w:r>
    </w:p>
    <w:p w14:paraId="30FFE645" w14:textId="77777777" w:rsidR="009D0EC2" w:rsidRPr="006D66BF" w:rsidRDefault="009D0EC2">
      <w:pPr>
        <w:pStyle w:val="Heading8"/>
      </w:pPr>
      <w:r w:rsidRPr="006D66BF">
        <w:t>Eye Irritation</w:t>
      </w:r>
    </w:p>
    <w:p w14:paraId="30FFE646" w14:textId="77777777" w:rsidR="009D0EC2" w:rsidRPr="006D66BF" w:rsidRDefault="009D0EC2">
      <w:pPr>
        <w:pStyle w:val="Heading9"/>
      </w:pPr>
      <w:r w:rsidRPr="006D66BF">
        <w:t>Studies in Animals</w:t>
      </w:r>
    </w:p>
    <w:p w14:paraId="30FFE647" w14:textId="77777777" w:rsidR="009D0EC2" w:rsidRPr="006D66BF" w:rsidRDefault="009D0EC2" w:rsidP="009D0EC2">
      <w:pPr>
        <w:pStyle w:val="BodyText"/>
        <w:rPr>
          <w:lang w:eastAsia="ja-JP"/>
        </w:rPr>
      </w:pPr>
      <w:r w:rsidRPr="006D66BF">
        <w:rPr>
          <w:rFonts w:hint="eastAsia"/>
          <w:lang w:eastAsia="ja-JP"/>
        </w:rPr>
        <w:t>No</w:t>
      </w:r>
      <w:r w:rsidRPr="006D66BF">
        <w:rPr>
          <w:rFonts w:hint="eastAsia"/>
          <w:szCs w:val="24"/>
          <w:lang w:eastAsia="ja-JP"/>
        </w:rPr>
        <w:t xml:space="preserve"> </w:t>
      </w:r>
      <w:r w:rsidRPr="006D66BF">
        <w:rPr>
          <w:rFonts w:hint="eastAsia"/>
          <w:szCs w:val="24"/>
        </w:rPr>
        <w:t>information</w:t>
      </w:r>
      <w:r w:rsidRPr="006D66BF">
        <w:rPr>
          <w:rFonts w:hint="eastAsia"/>
          <w:szCs w:val="24"/>
          <w:lang w:eastAsia="ja-JP"/>
        </w:rPr>
        <w:t xml:space="preserve"> is</w:t>
      </w:r>
      <w:r w:rsidRPr="006D66BF">
        <w:rPr>
          <w:rFonts w:hint="eastAsia"/>
          <w:lang w:eastAsia="ja-JP"/>
        </w:rPr>
        <w:t xml:space="preserve"> available.</w:t>
      </w:r>
    </w:p>
    <w:p w14:paraId="30FFE648" w14:textId="77777777" w:rsidR="009D0EC2" w:rsidRPr="006D66BF" w:rsidRDefault="009D0EC2">
      <w:pPr>
        <w:pStyle w:val="Heading9"/>
      </w:pPr>
      <w:r w:rsidRPr="006D66BF">
        <w:t>Studies in Humans</w:t>
      </w:r>
    </w:p>
    <w:p w14:paraId="30FFE649" w14:textId="77777777" w:rsidR="009D0EC2" w:rsidRPr="006D66BF" w:rsidRDefault="009D0EC2">
      <w:pPr>
        <w:pStyle w:val="BodyText"/>
      </w:pPr>
      <w:r w:rsidRPr="006D66BF">
        <w:rPr>
          <w:rFonts w:hint="eastAsia"/>
          <w:szCs w:val="24"/>
        </w:rPr>
        <w:t>No information on humans</w:t>
      </w:r>
      <w:r w:rsidRPr="006D66BF">
        <w:rPr>
          <w:szCs w:val="24"/>
        </w:rPr>
        <w:t xml:space="preserve"> is available.</w:t>
      </w:r>
    </w:p>
    <w:p w14:paraId="30FFE64A" w14:textId="77777777" w:rsidR="009D0EC2" w:rsidRPr="006D66BF" w:rsidRDefault="009D0EC2">
      <w:pPr>
        <w:pStyle w:val="Heading8"/>
        <w:rPr>
          <w:lang w:eastAsia="ja-JP"/>
        </w:rPr>
      </w:pPr>
      <w:r w:rsidRPr="006D66BF">
        <w:t>Respiratory Tract Irritation</w:t>
      </w:r>
    </w:p>
    <w:p w14:paraId="30FFE64B" w14:textId="77777777" w:rsidR="009D0EC2" w:rsidRPr="006D66BF" w:rsidRDefault="009D0EC2">
      <w:pPr>
        <w:pStyle w:val="Heading9"/>
      </w:pPr>
      <w:r w:rsidRPr="006D66BF">
        <w:t>Studies in Animals</w:t>
      </w:r>
    </w:p>
    <w:p w14:paraId="30FFE64C" w14:textId="77777777" w:rsidR="009D0EC2" w:rsidRPr="006D66BF" w:rsidRDefault="009D0EC2">
      <w:pPr>
        <w:pStyle w:val="BodyText"/>
        <w:rPr>
          <w:lang w:eastAsia="ja-JP"/>
        </w:rPr>
      </w:pPr>
      <w:r w:rsidRPr="006D66BF">
        <w:rPr>
          <w:rFonts w:hint="eastAsia"/>
          <w:szCs w:val="24"/>
          <w:lang w:eastAsia="ja-JP"/>
        </w:rPr>
        <w:t xml:space="preserve">No </w:t>
      </w:r>
      <w:r w:rsidRPr="006D66BF">
        <w:rPr>
          <w:rFonts w:hint="eastAsia"/>
          <w:szCs w:val="24"/>
        </w:rPr>
        <w:t>information</w:t>
      </w:r>
      <w:r w:rsidRPr="006D66BF">
        <w:rPr>
          <w:rFonts w:hint="eastAsia"/>
          <w:szCs w:val="24"/>
          <w:lang w:eastAsia="ja-JP"/>
        </w:rPr>
        <w:t xml:space="preserve"> is available.</w:t>
      </w:r>
    </w:p>
    <w:p w14:paraId="30FFE64D" w14:textId="77777777" w:rsidR="009D0EC2" w:rsidRPr="006D66BF" w:rsidRDefault="009D0EC2">
      <w:pPr>
        <w:pStyle w:val="Heading9"/>
      </w:pPr>
      <w:r w:rsidRPr="006D66BF">
        <w:t>Studies in Humans</w:t>
      </w:r>
    </w:p>
    <w:p w14:paraId="30FFE64E" w14:textId="77777777" w:rsidR="009D0EC2" w:rsidRPr="006D66BF" w:rsidRDefault="009D0EC2">
      <w:pPr>
        <w:pStyle w:val="BodyText"/>
      </w:pPr>
      <w:r w:rsidRPr="006D66BF">
        <w:rPr>
          <w:rFonts w:hint="eastAsia"/>
          <w:szCs w:val="24"/>
        </w:rPr>
        <w:t>No information on humans</w:t>
      </w:r>
      <w:r w:rsidRPr="006D66BF">
        <w:rPr>
          <w:szCs w:val="24"/>
        </w:rPr>
        <w:t xml:space="preserve"> is available.</w:t>
      </w:r>
    </w:p>
    <w:p w14:paraId="30FFE64F" w14:textId="77777777" w:rsidR="009D0EC2" w:rsidRPr="006D66BF" w:rsidRDefault="009D0EC2">
      <w:pPr>
        <w:pStyle w:val="Heading8"/>
        <w:rPr>
          <w:lang w:eastAsia="ja-JP"/>
        </w:rPr>
      </w:pPr>
      <w:r w:rsidRPr="006D66BF">
        <w:t>Conclusion</w:t>
      </w:r>
    </w:p>
    <w:p w14:paraId="30FFE650" w14:textId="77777777" w:rsidR="009D0EC2" w:rsidRPr="006D66BF" w:rsidRDefault="009D0EC2">
      <w:pPr>
        <w:pStyle w:val="BodyText"/>
        <w:rPr>
          <w:lang w:eastAsia="ja-JP"/>
        </w:rPr>
      </w:pPr>
      <w:r w:rsidRPr="006D66BF">
        <w:rPr>
          <w:rFonts w:hint="eastAsia"/>
          <w:szCs w:val="24"/>
          <w:lang w:val="en-US" w:eastAsia="ja-JP"/>
        </w:rPr>
        <w:t>No reliable studies are available on skin irritation, and no information is available on eye and respiratory tract irritation.</w:t>
      </w:r>
    </w:p>
    <w:p w14:paraId="30FFE651" w14:textId="77777777" w:rsidR="009D0EC2" w:rsidRPr="006D66BF" w:rsidRDefault="009D0EC2">
      <w:pPr>
        <w:pStyle w:val="Heading3"/>
      </w:pPr>
      <w:bookmarkStart w:id="107" w:name="_Toc32726032"/>
      <w:bookmarkStart w:id="108" w:name="_Toc32727215"/>
      <w:bookmarkStart w:id="109" w:name="_Toc43868663"/>
      <w:bookmarkStart w:id="110" w:name="_Toc200358251"/>
      <w:bookmarkStart w:id="111" w:name="_Toc297297724"/>
      <w:r w:rsidRPr="006D66BF">
        <w:t>Sensitisation</w:t>
      </w:r>
      <w:bookmarkEnd w:id="107"/>
      <w:bookmarkEnd w:id="108"/>
      <w:bookmarkEnd w:id="109"/>
      <w:bookmarkEnd w:id="110"/>
      <w:bookmarkEnd w:id="111"/>
    </w:p>
    <w:p w14:paraId="30FFE652" w14:textId="77777777" w:rsidR="009D0EC2" w:rsidRPr="006D66BF" w:rsidRDefault="009D0EC2">
      <w:pPr>
        <w:pStyle w:val="Heading8"/>
      </w:pPr>
      <w:r w:rsidRPr="006D66BF">
        <w:t>Studies in Animals</w:t>
      </w:r>
    </w:p>
    <w:p w14:paraId="30FFE653" w14:textId="77777777" w:rsidR="009D0EC2" w:rsidRPr="006D66BF" w:rsidRDefault="009D0EC2">
      <w:pPr>
        <w:pStyle w:val="Heading9"/>
      </w:pPr>
      <w:r w:rsidRPr="006D66BF">
        <w:t>Skin</w:t>
      </w:r>
    </w:p>
    <w:p w14:paraId="30FFE654" w14:textId="77777777" w:rsidR="009D0EC2" w:rsidRPr="006D66BF" w:rsidRDefault="009D0EC2" w:rsidP="00673F0B">
      <w:pPr>
        <w:autoSpaceDE w:val="0"/>
        <w:autoSpaceDN w:val="0"/>
        <w:adjustRightInd w:val="0"/>
        <w:spacing w:afterLines="50" w:after="120"/>
      </w:pPr>
      <w:r w:rsidRPr="006D66BF">
        <w:rPr>
          <w:rFonts w:hint="eastAsia"/>
          <w:lang w:eastAsia="ja-JP"/>
        </w:rPr>
        <w:t>No reliable studies are available.</w:t>
      </w:r>
      <w:r w:rsidRPr="006D66BF">
        <w:rPr>
          <w:rFonts w:hint="eastAsia"/>
        </w:rPr>
        <w:t xml:space="preserve"> </w:t>
      </w:r>
    </w:p>
    <w:p w14:paraId="30FFE655" w14:textId="77777777" w:rsidR="009D0EC2" w:rsidRPr="006D66BF" w:rsidRDefault="009D0EC2">
      <w:pPr>
        <w:pStyle w:val="Heading9"/>
      </w:pPr>
      <w:r w:rsidRPr="006D66BF">
        <w:t>Respiratory Tract</w:t>
      </w:r>
    </w:p>
    <w:p w14:paraId="30FFE656" w14:textId="77777777" w:rsidR="009D0EC2" w:rsidRPr="006D66BF" w:rsidRDefault="009D0EC2">
      <w:pPr>
        <w:pStyle w:val="BodyText"/>
      </w:pPr>
      <w:r w:rsidRPr="006D66BF">
        <w:rPr>
          <w:rFonts w:hint="eastAsia"/>
          <w:szCs w:val="24"/>
          <w:lang w:eastAsia="ja-JP"/>
        </w:rPr>
        <w:t xml:space="preserve">No </w:t>
      </w:r>
      <w:r w:rsidRPr="006D66BF">
        <w:rPr>
          <w:rFonts w:hint="eastAsia"/>
          <w:szCs w:val="24"/>
        </w:rPr>
        <w:t>information</w:t>
      </w:r>
      <w:r w:rsidRPr="006D66BF">
        <w:rPr>
          <w:rFonts w:hint="eastAsia"/>
          <w:szCs w:val="24"/>
          <w:lang w:eastAsia="ja-JP"/>
        </w:rPr>
        <w:t xml:space="preserve"> is available.</w:t>
      </w:r>
    </w:p>
    <w:p w14:paraId="30FFE657" w14:textId="77777777" w:rsidR="009D0EC2" w:rsidRPr="006D66BF" w:rsidRDefault="009D0EC2">
      <w:pPr>
        <w:pStyle w:val="Heading8"/>
      </w:pPr>
      <w:r w:rsidRPr="006D66BF">
        <w:t>Studies in Humans</w:t>
      </w:r>
    </w:p>
    <w:p w14:paraId="30FFE658" w14:textId="77777777" w:rsidR="009D0EC2" w:rsidRPr="006D66BF" w:rsidRDefault="009D0EC2">
      <w:pPr>
        <w:pStyle w:val="Heading9"/>
      </w:pPr>
      <w:r w:rsidRPr="006D66BF">
        <w:t>Skin</w:t>
      </w:r>
    </w:p>
    <w:p w14:paraId="30FFE659" w14:textId="77777777" w:rsidR="009D0EC2" w:rsidRPr="006D66BF" w:rsidRDefault="009D0EC2">
      <w:pPr>
        <w:pStyle w:val="BodyText"/>
      </w:pPr>
      <w:r w:rsidRPr="006D66BF">
        <w:rPr>
          <w:rFonts w:hint="eastAsia"/>
          <w:szCs w:val="24"/>
        </w:rPr>
        <w:t>No information on humans</w:t>
      </w:r>
      <w:r w:rsidRPr="006D66BF">
        <w:rPr>
          <w:szCs w:val="24"/>
        </w:rPr>
        <w:t xml:space="preserve"> is available.</w:t>
      </w:r>
    </w:p>
    <w:p w14:paraId="30FFE65A" w14:textId="77777777" w:rsidR="009D0EC2" w:rsidRPr="006D66BF" w:rsidRDefault="009D0EC2">
      <w:pPr>
        <w:pStyle w:val="Heading9"/>
      </w:pPr>
      <w:r w:rsidRPr="006D66BF">
        <w:t>Respiratory Tract</w:t>
      </w:r>
    </w:p>
    <w:p w14:paraId="30FFE65B" w14:textId="77777777" w:rsidR="009D0EC2" w:rsidRPr="006D66BF" w:rsidRDefault="009D0EC2">
      <w:pPr>
        <w:pStyle w:val="BodyText"/>
      </w:pPr>
      <w:r w:rsidRPr="006D66BF">
        <w:rPr>
          <w:rFonts w:hint="eastAsia"/>
          <w:szCs w:val="24"/>
        </w:rPr>
        <w:t>No information on humans</w:t>
      </w:r>
      <w:r w:rsidRPr="006D66BF">
        <w:rPr>
          <w:szCs w:val="24"/>
        </w:rPr>
        <w:t xml:space="preserve"> is available.</w:t>
      </w:r>
    </w:p>
    <w:p w14:paraId="30FFE65C" w14:textId="77777777" w:rsidR="009D0EC2" w:rsidRPr="006D66BF" w:rsidRDefault="009D0EC2">
      <w:pPr>
        <w:pStyle w:val="Heading8"/>
      </w:pPr>
      <w:r w:rsidRPr="006D66BF">
        <w:t>Conclusion</w:t>
      </w:r>
    </w:p>
    <w:p w14:paraId="30FFE65D" w14:textId="77777777" w:rsidR="009D0EC2" w:rsidRPr="006D66BF" w:rsidRDefault="009D0EC2" w:rsidP="009D0EC2">
      <w:pPr>
        <w:pStyle w:val="BodyText"/>
        <w:rPr>
          <w:lang w:eastAsia="ja-JP"/>
        </w:rPr>
      </w:pPr>
      <w:r w:rsidRPr="006D66BF">
        <w:rPr>
          <w:rFonts w:hint="eastAsia"/>
          <w:szCs w:val="24"/>
          <w:lang w:val="en-US" w:eastAsia="ja-JP"/>
        </w:rPr>
        <w:t xml:space="preserve">No reliable studies are available on skin </w:t>
      </w:r>
      <w:r w:rsidRPr="006D66BF">
        <w:rPr>
          <w:szCs w:val="24"/>
          <w:lang w:val="en-US" w:eastAsia="ja-JP"/>
        </w:rPr>
        <w:t>sensiti</w:t>
      </w:r>
      <w:r w:rsidR="00D93728" w:rsidRPr="006D66BF">
        <w:rPr>
          <w:rFonts w:hint="eastAsia"/>
          <w:szCs w:val="24"/>
          <w:lang w:val="en-US" w:eastAsia="ja-JP"/>
        </w:rPr>
        <w:t>s</w:t>
      </w:r>
      <w:r w:rsidRPr="006D66BF">
        <w:rPr>
          <w:szCs w:val="24"/>
          <w:lang w:val="en-US" w:eastAsia="ja-JP"/>
        </w:rPr>
        <w:t>ation</w:t>
      </w:r>
      <w:r w:rsidRPr="006D66BF">
        <w:rPr>
          <w:rFonts w:hint="eastAsia"/>
          <w:szCs w:val="24"/>
          <w:lang w:val="en-US" w:eastAsia="ja-JP"/>
        </w:rPr>
        <w:t xml:space="preserve">, and no </w:t>
      </w:r>
      <w:r w:rsidRPr="006D66BF">
        <w:rPr>
          <w:szCs w:val="24"/>
          <w:lang w:val="en-US" w:eastAsia="ja-JP"/>
        </w:rPr>
        <w:t>information</w:t>
      </w:r>
      <w:r w:rsidRPr="006D66BF">
        <w:rPr>
          <w:rFonts w:hint="eastAsia"/>
          <w:szCs w:val="24"/>
          <w:lang w:val="en-US" w:eastAsia="ja-JP"/>
        </w:rPr>
        <w:t xml:space="preserve"> is available on respiratory tract sensiti</w:t>
      </w:r>
      <w:r w:rsidR="00D93728" w:rsidRPr="006D66BF">
        <w:rPr>
          <w:rFonts w:hint="eastAsia"/>
          <w:szCs w:val="24"/>
          <w:lang w:val="en-US" w:eastAsia="ja-JP"/>
        </w:rPr>
        <w:t>s</w:t>
      </w:r>
      <w:r w:rsidRPr="006D66BF">
        <w:rPr>
          <w:rFonts w:hint="eastAsia"/>
          <w:szCs w:val="24"/>
          <w:lang w:val="en-US" w:eastAsia="ja-JP"/>
        </w:rPr>
        <w:t>ation.</w:t>
      </w:r>
    </w:p>
    <w:p w14:paraId="30FFE65E" w14:textId="77777777" w:rsidR="009D0EC2" w:rsidRPr="006D66BF" w:rsidRDefault="009D0EC2">
      <w:pPr>
        <w:pStyle w:val="Heading3"/>
      </w:pPr>
      <w:bookmarkStart w:id="112" w:name="_Toc32726033"/>
      <w:bookmarkStart w:id="113" w:name="_Toc32727216"/>
      <w:bookmarkStart w:id="114" w:name="_Toc43868664"/>
      <w:bookmarkStart w:id="115" w:name="_Toc200358252"/>
      <w:bookmarkStart w:id="116" w:name="_Toc297297725"/>
      <w:r w:rsidRPr="006D66BF">
        <w:t>Repeated Dose Toxicity</w:t>
      </w:r>
      <w:bookmarkEnd w:id="112"/>
      <w:bookmarkEnd w:id="113"/>
      <w:bookmarkEnd w:id="114"/>
      <w:bookmarkEnd w:id="115"/>
      <w:bookmarkEnd w:id="116"/>
    </w:p>
    <w:p w14:paraId="30FFE65F" w14:textId="77777777" w:rsidR="009D0EC2" w:rsidRPr="006D66BF" w:rsidRDefault="009D0EC2">
      <w:pPr>
        <w:pStyle w:val="Heading8"/>
      </w:pPr>
      <w:r w:rsidRPr="006D66BF">
        <w:t>Studies in Animals</w:t>
      </w:r>
    </w:p>
    <w:p w14:paraId="30FFE660" w14:textId="77777777" w:rsidR="009D0EC2" w:rsidRPr="006D66BF" w:rsidRDefault="009D0EC2">
      <w:pPr>
        <w:pStyle w:val="Heading9"/>
      </w:pPr>
      <w:r w:rsidRPr="006D66BF">
        <w:t>Oral</w:t>
      </w:r>
    </w:p>
    <w:p w14:paraId="30FFE661" w14:textId="77777777" w:rsidR="009D0EC2" w:rsidRPr="006D66BF" w:rsidRDefault="009D0EC2" w:rsidP="009D0EC2">
      <w:pPr>
        <w:pStyle w:val="BodyText"/>
        <w:rPr>
          <w:szCs w:val="24"/>
          <w:lang w:eastAsia="ja-JP"/>
        </w:rPr>
      </w:pPr>
      <w:r w:rsidRPr="006D66BF">
        <w:rPr>
          <w:lang w:val="en-US" w:eastAsia="ja-JP"/>
        </w:rPr>
        <w:t xml:space="preserve">One </w:t>
      </w:r>
      <w:r w:rsidRPr="006D66BF">
        <w:rPr>
          <w:rFonts w:hint="eastAsia"/>
          <w:lang w:val="en-US" w:eastAsia="ja-JP"/>
        </w:rPr>
        <w:t xml:space="preserve">reliable </w:t>
      </w:r>
      <w:r w:rsidRPr="006D66BF">
        <w:rPr>
          <w:lang w:val="en-US" w:eastAsia="ja-JP"/>
        </w:rPr>
        <w:t xml:space="preserve">study </w:t>
      </w:r>
      <w:r w:rsidRPr="006D66BF">
        <w:rPr>
          <w:rFonts w:hint="eastAsia"/>
          <w:lang w:val="en-US" w:eastAsia="ja-JP"/>
        </w:rPr>
        <w:t>is</w:t>
      </w:r>
      <w:r w:rsidRPr="006D66BF">
        <w:rPr>
          <w:lang w:val="en-US" w:eastAsia="ja-JP"/>
        </w:rPr>
        <w:t xml:space="preserve"> available </w:t>
      </w:r>
      <w:r w:rsidRPr="006D66BF">
        <w:rPr>
          <w:rFonts w:hint="eastAsia"/>
          <w:lang w:val="en-US" w:eastAsia="ja-JP"/>
        </w:rPr>
        <w:t>for</w:t>
      </w:r>
      <w:r w:rsidRPr="006D66BF">
        <w:rPr>
          <w:lang w:val="en-US" w:eastAsia="ja-JP"/>
        </w:rPr>
        <w:t xml:space="preserve"> </w:t>
      </w:r>
      <w:r w:rsidRPr="006D66BF">
        <w:rPr>
          <w:rFonts w:hint="eastAsia"/>
          <w:lang w:val="en-US" w:eastAsia="ja-JP"/>
        </w:rPr>
        <w:t>repeated dose</w:t>
      </w:r>
      <w:r w:rsidRPr="006D66BF">
        <w:rPr>
          <w:lang w:val="en-US" w:eastAsia="ja-JP"/>
        </w:rPr>
        <w:t xml:space="preserve"> </w:t>
      </w:r>
      <w:r w:rsidRPr="006D66BF">
        <w:rPr>
          <w:rFonts w:hint="eastAsia"/>
          <w:lang w:val="en-US" w:eastAsia="ja-JP"/>
        </w:rPr>
        <w:t xml:space="preserve">oral </w:t>
      </w:r>
      <w:r w:rsidRPr="006D66BF">
        <w:rPr>
          <w:lang w:val="en-US" w:eastAsia="ja-JP"/>
        </w:rPr>
        <w:t xml:space="preserve">toxicity. </w:t>
      </w:r>
      <w:r w:rsidRPr="006D66BF">
        <w:rPr>
          <w:rFonts w:hint="eastAsia"/>
          <w:lang w:val="en-US" w:eastAsia="ja-JP"/>
        </w:rPr>
        <w:t xml:space="preserve">This study was conducted in accordance with a </w:t>
      </w:r>
      <w:r w:rsidRPr="006D66BF">
        <w:rPr>
          <w:szCs w:val="24"/>
          <w:lang w:eastAsia="ja-JP"/>
        </w:rPr>
        <w:t xml:space="preserve">combined repeated dose toxicity study with the reproduction/developmental toxicity screening test </w:t>
      </w:r>
      <w:r w:rsidRPr="006D66BF">
        <w:rPr>
          <w:rFonts w:hint="eastAsia"/>
          <w:szCs w:val="24"/>
          <w:lang w:eastAsia="ja-JP"/>
        </w:rPr>
        <w:t xml:space="preserve">[OECD TG 422] under GLP </w:t>
      </w:r>
      <w:r w:rsidRPr="006D66BF">
        <w:rPr>
          <w:lang w:val="en-US" w:eastAsia="ja-JP"/>
        </w:rPr>
        <w:t xml:space="preserve">[MHW Japan, </w:t>
      </w:r>
      <w:r w:rsidRPr="006D66BF">
        <w:rPr>
          <w:rFonts w:hint="eastAsia"/>
          <w:lang w:val="en-US" w:eastAsia="ja-JP"/>
        </w:rPr>
        <w:t>1998b</w:t>
      </w:r>
      <w:r w:rsidRPr="006D66BF">
        <w:rPr>
          <w:lang w:val="en-US" w:eastAsia="ja-JP"/>
        </w:rPr>
        <w:t xml:space="preserve">]. </w:t>
      </w:r>
      <w:r w:rsidRPr="006D66BF">
        <w:rPr>
          <w:szCs w:val="24"/>
          <w:lang w:eastAsia="ja-JP"/>
        </w:rPr>
        <w:t>Details of the MHW study are as follows. Crj:</w:t>
      </w:r>
      <w:r w:rsidRPr="006D66BF">
        <w:rPr>
          <w:rFonts w:hint="eastAsia"/>
          <w:szCs w:val="24"/>
          <w:lang w:eastAsia="ja-JP"/>
        </w:rPr>
        <w:t xml:space="preserve"> </w:t>
      </w:r>
      <w:r w:rsidRPr="006D66BF">
        <w:rPr>
          <w:szCs w:val="24"/>
          <w:lang w:eastAsia="ja-JP"/>
        </w:rPr>
        <w:t>CD (SD) rats (1</w:t>
      </w:r>
      <w:r w:rsidRPr="006D66BF">
        <w:rPr>
          <w:rFonts w:hint="eastAsia"/>
          <w:szCs w:val="24"/>
          <w:lang w:eastAsia="ja-JP"/>
        </w:rPr>
        <w:t>3</w:t>
      </w:r>
      <w:r w:rsidRPr="006D66BF">
        <w:rPr>
          <w:szCs w:val="24"/>
          <w:lang w:eastAsia="ja-JP"/>
        </w:rPr>
        <w:t xml:space="preserve"> animals/sex/dose) were given </w:t>
      </w:r>
      <w:r w:rsidR="00FC3A3D" w:rsidRPr="006D66BF">
        <w:rPr>
          <w:rFonts w:hint="eastAsia"/>
          <w:szCs w:val="24"/>
        </w:rPr>
        <w:t>1</w:t>
      </w:r>
      <w:proofErr w:type="gramStart"/>
      <w:r w:rsidR="00FC3A3D" w:rsidRPr="006D66BF">
        <w:rPr>
          <w:rFonts w:hint="eastAsia"/>
          <w:szCs w:val="24"/>
        </w:rPr>
        <w:t>,1,1</w:t>
      </w:r>
      <w:proofErr w:type="gramEnd"/>
      <w:r w:rsidR="00FC3A3D" w:rsidRPr="006D66BF">
        <w:rPr>
          <w:rFonts w:hint="eastAsia"/>
          <w:szCs w:val="24"/>
        </w:rPr>
        <w:t>-tris(hydroxymethyl)ethane</w:t>
      </w:r>
      <w:r w:rsidRPr="006D66BF">
        <w:rPr>
          <w:szCs w:val="24"/>
          <w:lang w:eastAsia="ja-JP"/>
        </w:rPr>
        <w:t xml:space="preserve"> </w:t>
      </w:r>
      <w:r w:rsidR="007C4965">
        <w:rPr>
          <w:rFonts w:hint="eastAsia"/>
          <w:szCs w:val="24"/>
          <w:lang w:eastAsia="ja-JP"/>
        </w:rPr>
        <w:t xml:space="preserve">by gavage (in distilled water as a </w:t>
      </w:r>
      <w:r w:rsidR="007C4965">
        <w:rPr>
          <w:szCs w:val="24"/>
          <w:lang w:eastAsia="ja-JP"/>
        </w:rPr>
        <w:t>vehicle</w:t>
      </w:r>
      <w:r w:rsidR="007C4965">
        <w:rPr>
          <w:rFonts w:hint="eastAsia"/>
          <w:szCs w:val="24"/>
          <w:lang w:eastAsia="ja-JP"/>
        </w:rPr>
        <w:t xml:space="preserve">) </w:t>
      </w:r>
      <w:r w:rsidRPr="006D66BF">
        <w:rPr>
          <w:szCs w:val="24"/>
          <w:lang w:eastAsia="ja-JP"/>
        </w:rPr>
        <w:t>at dose</w:t>
      </w:r>
      <w:r w:rsidRPr="006D66BF">
        <w:rPr>
          <w:rFonts w:hint="eastAsia"/>
          <w:szCs w:val="24"/>
          <w:lang w:eastAsia="ja-JP"/>
        </w:rPr>
        <w:t>s</w:t>
      </w:r>
      <w:r w:rsidRPr="006D66BF">
        <w:rPr>
          <w:szCs w:val="24"/>
          <w:lang w:eastAsia="ja-JP"/>
        </w:rPr>
        <w:t xml:space="preserve"> of 0, </w:t>
      </w:r>
      <w:r w:rsidRPr="006D66BF">
        <w:rPr>
          <w:rFonts w:hint="eastAsia"/>
          <w:szCs w:val="24"/>
          <w:lang w:eastAsia="ja-JP"/>
        </w:rPr>
        <w:t>100</w:t>
      </w:r>
      <w:r w:rsidRPr="006D66BF">
        <w:rPr>
          <w:szCs w:val="24"/>
          <w:lang w:eastAsia="ja-JP"/>
        </w:rPr>
        <w:t xml:space="preserve">, </w:t>
      </w:r>
      <w:r w:rsidRPr="006D66BF">
        <w:rPr>
          <w:rFonts w:hint="eastAsia"/>
          <w:szCs w:val="24"/>
          <w:lang w:eastAsia="ja-JP"/>
        </w:rPr>
        <w:t>3</w:t>
      </w:r>
      <w:r w:rsidRPr="006D66BF">
        <w:rPr>
          <w:szCs w:val="24"/>
          <w:lang w:eastAsia="ja-JP"/>
        </w:rPr>
        <w:t>0</w:t>
      </w:r>
      <w:r w:rsidRPr="006D66BF">
        <w:rPr>
          <w:rFonts w:hint="eastAsia"/>
          <w:szCs w:val="24"/>
          <w:lang w:eastAsia="ja-JP"/>
        </w:rPr>
        <w:t>0</w:t>
      </w:r>
      <w:r w:rsidRPr="006D66BF">
        <w:rPr>
          <w:szCs w:val="24"/>
          <w:lang w:eastAsia="ja-JP"/>
        </w:rPr>
        <w:t xml:space="preserve"> or </w:t>
      </w:r>
      <w:r w:rsidRPr="006D66BF">
        <w:rPr>
          <w:rFonts w:hint="eastAsia"/>
          <w:szCs w:val="24"/>
          <w:lang w:eastAsia="ja-JP"/>
        </w:rPr>
        <w:t>1,00</w:t>
      </w:r>
      <w:r w:rsidRPr="006D66BF">
        <w:rPr>
          <w:szCs w:val="24"/>
          <w:lang w:eastAsia="ja-JP"/>
        </w:rPr>
        <w:t xml:space="preserve">0 mg/kg bw/day. </w:t>
      </w:r>
      <w:r w:rsidRPr="006D66BF">
        <w:rPr>
          <w:rFonts w:hint="eastAsia"/>
          <w:szCs w:val="24"/>
          <w:lang w:eastAsia="ja-JP"/>
        </w:rPr>
        <w:t>Males were dosed for 42 days including 14 days pre-mating period and 28</w:t>
      </w:r>
      <w:r w:rsidRPr="006D66BF">
        <w:rPr>
          <w:szCs w:val="24"/>
          <w:lang w:eastAsia="ja-JP"/>
        </w:rPr>
        <w:t xml:space="preserve"> </w:t>
      </w:r>
      <w:r w:rsidRPr="006D66BF">
        <w:rPr>
          <w:rFonts w:hint="eastAsia"/>
          <w:szCs w:val="24"/>
          <w:lang w:eastAsia="ja-JP"/>
        </w:rPr>
        <w:t xml:space="preserve">subsequent days. Females were dosed </w:t>
      </w:r>
      <w:r w:rsidRPr="006D66BF">
        <w:rPr>
          <w:szCs w:val="24"/>
          <w:lang w:eastAsia="ja-JP"/>
        </w:rPr>
        <w:t xml:space="preserve">for </w:t>
      </w:r>
      <w:r w:rsidRPr="006D66BF">
        <w:rPr>
          <w:rFonts w:hint="eastAsia"/>
          <w:szCs w:val="24"/>
          <w:lang w:eastAsia="ja-JP"/>
        </w:rPr>
        <w:t>14 days pre-mating, mating</w:t>
      </w:r>
      <w:r w:rsidR="00FA6AB1">
        <w:rPr>
          <w:rFonts w:hint="eastAsia"/>
          <w:szCs w:val="24"/>
          <w:lang w:eastAsia="ja-JP"/>
        </w:rPr>
        <w:t xml:space="preserve"> (up to 14 days)</w:t>
      </w:r>
      <w:r w:rsidRPr="006D66BF">
        <w:rPr>
          <w:rFonts w:hint="eastAsia"/>
          <w:szCs w:val="24"/>
          <w:lang w:eastAsia="ja-JP"/>
        </w:rPr>
        <w:t xml:space="preserve"> and gestation period and the </w:t>
      </w:r>
      <w:r w:rsidRPr="006D66BF">
        <w:rPr>
          <w:szCs w:val="24"/>
          <w:lang w:eastAsia="ja-JP"/>
        </w:rPr>
        <w:t>days</w:t>
      </w:r>
      <w:r w:rsidRPr="006D66BF">
        <w:rPr>
          <w:rFonts w:hint="eastAsia"/>
          <w:szCs w:val="24"/>
          <w:lang w:eastAsia="ja-JP"/>
        </w:rPr>
        <w:t xml:space="preserve"> until day 3 of lactation</w:t>
      </w:r>
      <w:r w:rsidR="00FA6AB1">
        <w:rPr>
          <w:rFonts w:hint="eastAsia"/>
          <w:szCs w:val="24"/>
          <w:lang w:eastAsia="ja-JP"/>
        </w:rPr>
        <w:t xml:space="preserve"> (a total of up to 49 days)</w:t>
      </w:r>
      <w:r w:rsidRPr="006D66BF">
        <w:rPr>
          <w:rFonts w:hint="eastAsia"/>
          <w:szCs w:val="24"/>
          <w:lang w:eastAsia="ja-JP"/>
        </w:rPr>
        <w:t>.</w:t>
      </w:r>
      <w:r w:rsidRPr="006D66BF">
        <w:rPr>
          <w:szCs w:val="24"/>
          <w:lang w:eastAsia="ja-JP"/>
        </w:rPr>
        <w:t xml:space="preserve"> General clinical observations, measurement of body weight and food consumption, and hematological</w:t>
      </w:r>
      <w:r w:rsidRPr="006D66BF">
        <w:rPr>
          <w:rFonts w:hint="eastAsia"/>
          <w:szCs w:val="24"/>
          <w:lang w:eastAsia="ja-JP"/>
        </w:rPr>
        <w:t xml:space="preserve"> (male only)</w:t>
      </w:r>
      <w:r w:rsidRPr="006D66BF">
        <w:rPr>
          <w:szCs w:val="24"/>
          <w:lang w:eastAsia="ja-JP"/>
        </w:rPr>
        <w:t xml:space="preserve">, </w:t>
      </w:r>
      <w:r w:rsidRPr="006D66BF">
        <w:rPr>
          <w:rFonts w:hint="eastAsia"/>
          <w:szCs w:val="24"/>
          <w:lang w:eastAsia="ja-JP"/>
        </w:rPr>
        <w:t>clinical</w:t>
      </w:r>
      <w:r w:rsidRPr="006D66BF">
        <w:rPr>
          <w:szCs w:val="24"/>
          <w:lang w:eastAsia="ja-JP"/>
        </w:rPr>
        <w:t xml:space="preserve"> chemistry</w:t>
      </w:r>
      <w:r w:rsidRPr="006D66BF">
        <w:rPr>
          <w:rFonts w:hint="eastAsia"/>
          <w:szCs w:val="24"/>
          <w:lang w:eastAsia="ja-JP"/>
        </w:rPr>
        <w:t xml:space="preserve"> (male only)</w:t>
      </w:r>
      <w:r w:rsidRPr="006D66BF">
        <w:rPr>
          <w:szCs w:val="24"/>
          <w:lang w:eastAsia="ja-JP"/>
        </w:rPr>
        <w:t xml:space="preserve">, necropsy and histopathological examinations </w:t>
      </w:r>
      <w:r w:rsidR="00FA6AB1">
        <w:rPr>
          <w:rFonts w:hint="eastAsia"/>
          <w:szCs w:val="24"/>
          <w:lang w:eastAsia="ja-JP"/>
        </w:rPr>
        <w:t>(</w:t>
      </w:r>
      <w:r w:rsidR="00FA6AB1">
        <w:rPr>
          <w:rFonts w:hint="eastAsia"/>
          <w:lang w:eastAsia="ja-JP"/>
        </w:rPr>
        <w:t>t</w:t>
      </w:r>
      <w:r w:rsidR="00FA6AB1" w:rsidRPr="000017E8">
        <w:t>issues from the brain, heart, thymus, liver, kidneys, spleen, adrenals, urinary bladder, uterus and testes were examined microscopically</w:t>
      </w:r>
      <w:r w:rsidR="00FA6AB1">
        <w:rPr>
          <w:rFonts w:hint="eastAsia"/>
          <w:lang w:eastAsia="ja-JP"/>
        </w:rPr>
        <w:t>)</w:t>
      </w:r>
      <w:r w:rsidR="00FA6AB1" w:rsidRPr="006D66BF">
        <w:rPr>
          <w:szCs w:val="24"/>
          <w:lang w:eastAsia="ja-JP"/>
        </w:rPr>
        <w:t xml:space="preserve"> </w:t>
      </w:r>
      <w:r w:rsidRPr="006D66BF">
        <w:rPr>
          <w:szCs w:val="24"/>
          <w:lang w:eastAsia="ja-JP"/>
        </w:rPr>
        <w:t>were performed.</w:t>
      </w:r>
    </w:p>
    <w:p w14:paraId="30FFE662" w14:textId="77777777" w:rsidR="009D0EC2" w:rsidRPr="00383972" w:rsidRDefault="009D0EC2" w:rsidP="009D0EC2">
      <w:pPr>
        <w:pStyle w:val="BodyText"/>
        <w:rPr>
          <w:szCs w:val="24"/>
          <w:lang w:eastAsia="ja-JP"/>
        </w:rPr>
      </w:pPr>
      <w:r w:rsidRPr="00A27169">
        <w:rPr>
          <w:rFonts w:hint="eastAsia"/>
          <w:szCs w:val="24"/>
          <w:lang w:eastAsia="ja-JP"/>
        </w:rPr>
        <w:t xml:space="preserve">No treatment-related effects were observed in clinical signs, food consumption, hematology, organ weights and histopathological </w:t>
      </w:r>
      <w:r w:rsidRPr="00A27169">
        <w:rPr>
          <w:szCs w:val="24"/>
          <w:lang w:eastAsia="ja-JP"/>
        </w:rPr>
        <w:t>examination</w:t>
      </w:r>
      <w:r w:rsidRPr="005A6BC9">
        <w:rPr>
          <w:rFonts w:hint="eastAsia"/>
          <w:szCs w:val="24"/>
          <w:lang w:eastAsia="ja-JP"/>
        </w:rPr>
        <w:t>s. In clinical chemistry, significant i</w:t>
      </w:r>
      <w:r w:rsidRPr="00347945">
        <w:rPr>
          <w:szCs w:val="24"/>
        </w:rPr>
        <w:t>ncrease</w:t>
      </w:r>
      <w:r w:rsidRPr="00383972">
        <w:rPr>
          <w:rFonts w:hint="eastAsia"/>
          <w:szCs w:val="24"/>
          <w:lang w:eastAsia="ja-JP"/>
        </w:rPr>
        <w:t>s</w:t>
      </w:r>
      <w:r w:rsidRPr="00DC79C9">
        <w:rPr>
          <w:szCs w:val="24"/>
        </w:rPr>
        <w:t xml:space="preserve"> in GOT and GPT, </w:t>
      </w:r>
      <w:r w:rsidRPr="00DC79C9">
        <w:rPr>
          <w:rFonts w:hint="eastAsia"/>
          <w:szCs w:val="24"/>
          <w:lang w:eastAsia="ja-JP"/>
        </w:rPr>
        <w:t xml:space="preserve">and a significant </w:t>
      </w:r>
      <w:r w:rsidRPr="00DC79C9">
        <w:rPr>
          <w:szCs w:val="24"/>
        </w:rPr>
        <w:t>decrease in glucose</w:t>
      </w:r>
      <w:r w:rsidR="00FA6AB1" w:rsidRPr="00B632D3">
        <w:rPr>
          <w:rFonts w:hint="eastAsia"/>
          <w:szCs w:val="24"/>
          <w:lang w:eastAsia="ja-JP"/>
        </w:rPr>
        <w:t>,</w:t>
      </w:r>
      <w:r w:rsidRPr="00A27169">
        <w:rPr>
          <w:szCs w:val="24"/>
          <w:lang w:eastAsia="ja-JP"/>
        </w:rPr>
        <w:t xml:space="preserve"> w</w:t>
      </w:r>
      <w:r w:rsidR="00C702F3">
        <w:rPr>
          <w:szCs w:val="24"/>
          <w:lang w:eastAsia="ja-JP"/>
        </w:rPr>
        <w:t xml:space="preserve">ere observed at 1,000 mg/kg bw/day, which </w:t>
      </w:r>
      <w:r w:rsidR="00C702F3">
        <w:rPr>
          <w:rFonts w:eastAsia="MS PGothic"/>
          <w:szCs w:val="24"/>
        </w:rPr>
        <w:t>may indicate adverse effects on the liver</w:t>
      </w:r>
      <w:r w:rsidR="00C702F3">
        <w:rPr>
          <w:szCs w:val="24"/>
          <w:lang w:eastAsia="ja-JP"/>
        </w:rPr>
        <w:t>. However, histopathological examination revealed no effects on the liver. Statistically significant changes were observed in hematocrit, MCHC, segmented neutrophil, lymphocyte, but these changes are considered unrelated to the test substance. A slight but significant d</w:t>
      </w:r>
      <w:r w:rsidR="00C702F3">
        <w:rPr>
          <w:szCs w:val="24"/>
        </w:rPr>
        <w:t xml:space="preserve">ecrease in body weight gain </w:t>
      </w:r>
      <w:r w:rsidR="00C702F3">
        <w:rPr>
          <w:szCs w:val="24"/>
          <w:lang w:eastAsia="ja-JP"/>
        </w:rPr>
        <w:t xml:space="preserve">was observed in </w:t>
      </w:r>
      <w:r w:rsidR="00C702F3">
        <w:rPr>
          <w:szCs w:val="24"/>
        </w:rPr>
        <w:t>pregnant females</w:t>
      </w:r>
      <w:r w:rsidR="00C702F3" w:rsidRPr="00C702F3">
        <w:rPr>
          <w:szCs w:val="24"/>
          <w:lang w:eastAsia="ja-JP"/>
        </w:rPr>
        <w:t xml:space="preserve"> </w:t>
      </w:r>
      <w:r w:rsidR="00C702F3">
        <w:rPr>
          <w:szCs w:val="24"/>
        </w:rPr>
        <w:t xml:space="preserve">at </w:t>
      </w:r>
      <w:r w:rsidR="00C702F3">
        <w:rPr>
          <w:szCs w:val="24"/>
          <w:lang w:eastAsia="ja-JP"/>
        </w:rPr>
        <w:t xml:space="preserve">1,000 mg/kg bw/day. </w:t>
      </w:r>
      <w:r w:rsidR="00C702F3" w:rsidRPr="00C702F3">
        <w:rPr>
          <w:szCs w:val="24"/>
          <w:lang w:eastAsia="ja-JP"/>
        </w:rPr>
        <w:t xml:space="preserve">However this change was observed only in the late period of pregnancy. </w:t>
      </w:r>
      <w:r w:rsidRPr="00A27169">
        <w:rPr>
          <w:rFonts w:hint="eastAsia"/>
          <w:szCs w:val="24"/>
          <w:lang w:eastAsia="ja-JP"/>
        </w:rPr>
        <w:t xml:space="preserve">Based on the above findings, the NOAEL was considered to be </w:t>
      </w:r>
      <w:r w:rsidR="00A27169" w:rsidRPr="00347945">
        <w:rPr>
          <w:rFonts w:hint="eastAsia"/>
          <w:szCs w:val="24"/>
          <w:lang w:eastAsia="ja-JP"/>
        </w:rPr>
        <w:t>10</w:t>
      </w:r>
      <w:r w:rsidRPr="00347945">
        <w:rPr>
          <w:rFonts w:hint="eastAsia"/>
          <w:szCs w:val="24"/>
          <w:lang w:eastAsia="ja-JP"/>
        </w:rPr>
        <w:t>00 mg/kg bw/day in both sexes.</w:t>
      </w:r>
    </w:p>
    <w:p w14:paraId="30FFE663" w14:textId="77777777" w:rsidR="00A56F65" w:rsidRPr="006D66BF" w:rsidRDefault="00A56F65" w:rsidP="00A56F65">
      <w:pPr>
        <w:pStyle w:val="Heading9"/>
      </w:pPr>
      <w:r w:rsidRPr="006D66BF">
        <w:t>Inhalation</w:t>
      </w:r>
    </w:p>
    <w:p w14:paraId="30FFE664" w14:textId="77777777" w:rsidR="00A56F65" w:rsidRPr="006D66BF" w:rsidRDefault="00A56F65" w:rsidP="00A56F65">
      <w:pPr>
        <w:pStyle w:val="BodyText"/>
        <w:rPr>
          <w:lang w:eastAsia="ja-JP"/>
        </w:rPr>
      </w:pPr>
      <w:r w:rsidRPr="006D66BF">
        <w:rPr>
          <w:rFonts w:hint="eastAsia"/>
          <w:szCs w:val="24"/>
          <w:lang w:eastAsia="ja-JP"/>
        </w:rPr>
        <w:t xml:space="preserve">No </w:t>
      </w:r>
      <w:r w:rsidRPr="006D66BF">
        <w:rPr>
          <w:rFonts w:hint="eastAsia"/>
          <w:szCs w:val="24"/>
        </w:rPr>
        <w:t>information</w:t>
      </w:r>
      <w:r w:rsidRPr="006D66BF">
        <w:rPr>
          <w:rFonts w:hint="eastAsia"/>
          <w:szCs w:val="24"/>
          <w:lang w:eastAsia="ja-JP"/>
        </w:rPr>
        <w:t xml:space="preserve"> is available.</w:t>
      </w:r>
    </w:p>
    <w:p w14:paraId="30FFE665" w14:textId="77777777" w:rsidR="00A56F65" w:rsidRPr="006D66BF" w:rsidRDefault="00A56F65" w:rsidP="00A56F65">
      <w:pPr>
        <w:pStyle w:val="Heading9"/>
      </w:pPr>
      <w:r w:rsidRPr="006D66BF">
        <w:t>Dermal</w:t>
      </w:r>
    </w:p>
    <w:p w14:paraId="30FFE666" w14:textId="77777777" w:rsidR="00A56F65" w:rsidRPr="006D66BF" w:rsidRDefault="00A56F65" w:rsidP="00A56F65">
      <w:pPr>
        <w:pStyle w:val="BodyText"/>
        <w:rPr>
          <w:lang w:eastAsia="ja-JP"/>
        </w:rPr>
      </w:pPr>
      <w:r w:rsidRPr="006D66BF">
        <w:rPr>
          <w:rFonts w:hint="eastAsia"/>
          <w:szCs w:val="24"/>
          <w:lang w:eastAsia="ja-JP"/>
        </w:rPr>
        <w:t xml:space="preserve">No </w:t>
      </w:r>
      <w:r w:rsidRPr="006D66BF">
        <w:rPr>
          <w:rFonts w:hint="eastAsia"/>
          <w:szCs w:val="24"/>
        </w:rPr>
        <w:t>information</w:t>
      </w:r>
      <w:r w:rsidRPr="006D66BF">
        <w:rPr>
          <w:rFonts w:hint="eastAsia"/>
          <w:szCs w:val="24"/>
          <w:lang w:eastAsia="ja-JP"/>
        </w:rPr>
        <w:t xml:space="preserve"> is available.</w:t>
      </w:r>
    </w:p>
    <w:p w14:paraId="30FFE667" w14:textId="77777777" w:rsidR="009D0EC2" w:rsidRPr="006D66BF" w:rsidRDefault="009D0EC2">
      <w:pPr>
        <w:pStyle w:val="Heading8"/>
      </w:pPr>
      <w:r w:rsidRPr="006D66BF">
        <w:t>Studies in Humans</w:t>
      </w:r>
    </w:p>
    <w:p w14:paraId="30FFE668" w14:textId="77777777" w:rsidR="009D0EC2" w:rsidRPr="006D66BF" w:rsidRDefault="009D0EC2">
      <w:pPr>
        <w:pStyle w:val="Heading9"/>
        <w:rPr>
          <w:lang w:eastAsia="ja-JP"/>
        </w:rPr>
      </w:pPr>
      <w:r w:rsidRPr="006D66BF">
        <w:t>Inhalation</w:t>
      </w:r>
    </w:p>
    <w:p w14:paraId="30FFE669" w14:textId="77777777" w:rsidR="009D0EC2" w:rsidRPr="006D66BF" w:rsidRDefault="009D0EC2">
      <w:pPr>
        <w:pStyle w:val="BodyText"/>
      </w:pPr>
      <w:r w:rsidRPr="006D66BF">
        <w:rPr>
          <w:rFonts w:hint="eastAsia"/>
          <w:szCs w:val="24"/>
        </w:rPr>
        <w:t>No information on humans</w:t>
      </w:r>
      <w:r w:rsidRPr="006D66BF">
        <w:rPr>
          <w:szCs w:val="24"/>
        </w:rPr>
        <w:t xml:space="preserve"> is available.</w:t>
      </w:r>
    </w:p>
    <w:p w14:paraId="30FFE66A" w14:textId="77777777" w:rsidR="009D0EC2" w:rsidRPr="006D66BF" w:rsidRDefault="009D0EC2">
      <w:pPr>
        <w:pStyle w:val="Heading9"/>
      </w:pPr>
      <w:r w:rsidRPr="006D66BF">
        <w:t>Dermal</w:t>
      </w:r>
    </w:p>
    <w:p w14:paraId="30FFE66B" w14:textId="77777777" w:rsidR="009D0EC2" w:rsidRPr="006D66BF" w:rsidRDefault="009D0EC2">
      <w:pPr>
        <w:pStyle w:val="BodyText"/>
      </w:pPr>
      <w:r w:rsidRPr="006D66BF">
        <w:rPr>
          <w:rFonts w:hint="eastAsia"/>
          <w:szCs w:val="24"/>
        </w:rPr>
        <w:t>No information on humans</w:t>
      </w:r>
      <w:r w:rsidRPr="006D66BF">
        <w:rPr>
          <w:szCs w:val="24"/>
        </w:rPr>
        <w:t xml:space="preserve"> is available.</w:t>
      </w:r>
    </w:p>
    <w:p w14:paraId="30FFE66C" w14:textId="77777777" w:rsidR="009D0EC2" w:rsidRPr="006D66BF" w:rsidRDefault="009D0EC2">
      <w:pPr>
        <w:pStyle w:val="Heading9"/>
      </w:pPr>
      <w:r w:rsidRPr="006D66BF">
        <w:t>Oral</w:t>
      </w:r>
    </w:p>
    <w:p w14:paraId="30FFE66D" w14:textId="77777777" w:rsidR="009D0EC2" w:rsidRPr="006D66BF" w:rsidRDefault="009D0EC2">
      <w:pPr>
        <w:pStyle w:val="BodyText"/>
      </w:pPr>
      <w:r w:rsidRPr="006D66BF">
        <w:rPr>
          <w:rFonts w:hint="eastAsia"/>
          <w:szCs w:val="24"/>
        </w:rPr>
        <w:t>No information on humans</w:t>
      </w:r>
      <w:r w:rsidRPr="006D66BF">
        <w:rPr>
          <w:szCs w:val="24"/>
        </w:rPr>
        <w:t xml:space="preserve"> is available.</w:t>
      </w:r>
    </w:p>
    <w:p w14:paraId="30FFE66E" w14:textId="77777777" w:rsidR="009D0EC2" w:rsidRPr="006D66BF" w:rsidRDefault="009D0EC2">
      <w:pPr>
        <w:pStyle w:val="Heading8"/>
      </w:pPr>
      <w:r w:rsidRPr="006D66BF">
        <w:t>Conclusion</w:t>
      </w:r>
    </w:p>
    <w:p w14:paraId="30FFE66F" w14:textId="77777777" w:rsidR="00A27169" w:rsidRPr="00A27169" w:rsidRDefault="002B14A4" w:rsidP="00A27169">
      <w:pPr>
        <w:pStyle w:val="BodyText"/>
        <w:ind w:leftChars="65" w:left="156" w:rightChars="117" w:right="281"/>
        <w:rPr>
          <w:szCs w:val="24"/>
          <w:lang w:eastAsia="ja-JP"/>
        </w:rPr>
      </w:pPr>
      <w:r w:rsidRPr="00A27169">
        <w:rPr>
          <w:szCs w:val="24"/>
        </w:rPr>
        <w:t xml:space="preserve">In a combined repeated dose toxicity/reproductive toxicity study </w:t>
      </w:r>
      <w:r w:rsidRPr="005A6BC9">
        <w:rPr>
          <w:szCs w:val="24"/>
        </w:rPr>
        <w:t xml:space="preserve">(OECD TG 422), rats were treated orally for 42-54 days. </w:t>
      </w:r>
      <w:r w:rsidR="00C702F3" w:rsidRPr="00C702F3">
        <w:rPr>
          <w:szCs w:val="24"/>
          <w:lang w:eastAsia="ja-JP"/>
        </w:rPr>
        <w:t xml:space="preserve">No treatment-related effects were observed in clinical signs, food consumption, hematology (examined only in males), organ weight and </w:t>
      </w:r>
      <w:r w:rsidR="00C702F3" w:rsidRPr="00C702F3">
        <w:rPr>
          <w:szCs w:val="24"/>
        </w:rPr>
        <w:t>the histopathological appearance of tissues from the major organs including the liver</w:t>
      </w:r>
      <w:r w:rsidR="00C702F3" w:rsidRPr="00C702F3">
        <w:rPr>
          <w:szCs w:val="24"/>
          <w:lang w:eastAsia="ja-JP"/>
        </w:rPr>
        <w:t>. In clinical chemistry (examined only in males), significant but slight increases in GOT and GPT,</w:t>
      </w:r>
      <w:r w:rsidR="00C702F3" w:rsidRPr="00C702F3">
        <w:rPr>
          <w:szCs w:val="24"/>
        </w:rPr>
        <w:t xml:space="preserve"> reflecting an effect on liver function</w:t>
      </w:r>
      <w:r w:rsidR="00C702F3" w:rsidRPr="00C702F3">
        <w:rPr>
          <w:szCs w:val="24"/>
          <w:lang w:eastAsia="ja-JP"/>
        </w:rPr>
        <w:t>, and a slight decrease in glucose were observed at 1,000 mg/kg bw/day. Based on no histopathological changes in the liver, these changes in clinical chemistry were not considered to be toxicologically important. A significant but slight decrease in body weight gain was observed in pregnant females at 1,000 mg/kg bw/day. However this change was observed only in the late period of pregnancy. Based on the above findings, the NOAEL was considered to be 1000 mg/kg bw/day in both sexes.</w:t>
      </w:r>
    </w:p>
    <w:p w14:paraId="30FFE670" w14:textId="77777777" w:rsidR="009D0EC2" w:rsidRPr="006D66BF" w:rsidRDefault="009D0EC2">
      <w:pPr>
        <w:pStyle w:val="Heading3"/>
      </w:pPr>
      <w:bookmarkStart w:id="117" w:name="_Toc32726034"/>
      <w:bookmarkStart w:id="118" w:name="_Toc32727217"/>
      <w:bookmarkStart w:id="119" w:name="_Toc43868665"/>
      <w:bookmarkStart w:id="120" w:name="_Toc200358253"/>
      <w:bookmarkStart w:id="121" w:name="_Toc297297726"/>
      <w:r w:rsidRPr="006D66BF">
        <w:t>Mutagenicity</w:t>
      </w:r>
      <w:bookmarkEnd w:id="117"/>
      <w:bookmarkEnd w:id="118"/>
      <w:bookmarkEnd w:id="119"/>
      <w:bookmarkEnd w:id="120"/>
      <w:bookmarkEnd w:id="121"/>
    </w:p>
    <w:p w14:paraId="30FFE671" w14:textId="77777777" w:rsidR="009D0EC2" w:rsidRPr="006D66BF" w:rsidRDefault="009D0EC2">
      <w:pPr>
        <w:pStyle w:val="Heading8"/>
      </w:pPr>
      <w:r w:rsidRPr="006D66BF">
        <w:t>Studies in Animals</w:t>
      </w:r>
    </w:p>
    <w:p w14:paraId="30FFE672" w14:textId="77777777" w:rsidR="009D0EC2" w:rsidRPr="006D66BF" w:rsidRDefault="009D0EC2" w:rsidP="009D0EC2">
      <w:pPr>
        <w:pStyle w:val="Heading9"/>
      </w:pPr>
      <w:r w:rsidRPr="006D66BF">
        <w:t>In vitro Studies</w:t>
      </w:r>
    </w:p>
    <w:p w14:paraId="30FFE673" w14:textId="77777777" w:rsidR="009D0EC2" w:rsidRPr="006D66BF" w:rsidRDefault="009D0EC2" w:rsidP="009D0EC2">
      <w:pPr>
        <w:pStyle w:val="BodyText"/>
        <w:rPr>
          <w:i/>
          <w:lang w:eastAsia="ja-JP"/>
        </w:rPr>
      </w:pPr>
      <w:r w:rsidRPr="006D66BF">
        <w:rPr>
          <w:i/>
          <w:lang w:eastAsia="ja-JP"/>
        </w:rPr>
        <w:t>Bacterial mutation test</w:t>
      </w:r>
    </w:p>
    <w:p w14:paraId="30FFE674" w14:textId="77777777" w:rsidR="009D0EC2" w:rsidRPr="006D66BF" w:rsidRDefault="009D0EC2" w:rsidP="00673F0B">
      <w:pPr>
        <w:spacing w:afterLines="50" w:after="120"/>
        <w:jc w:val="both"/>
      </w:pPr>
      <w:r w:rsidRPr="006D66BF">
        <w:t xml:space="preserve">A reverse gene mutation assay of </w:t>
      </w:r>
      <w:r w:rsidR="00FC3A3D" w:rsidRPr="006D66BF">
        <w:t xml:space="preserve">1,1,1-tris(hydroxymethyl)ethane </w:t>
      </w:r>
      <w:r w:rsidRPr="006D66BF">
        <w:t xml:space="preserve"> was conducted in accordance with </w:t>
      </w:r>
      <w:r w:rsidR="00D93728" w:rsidRPr="006D66BF">
        <w:rPr>
          <w:rFonts w:hint="eastAsia"/>
          <w:lang w:eastAsia="ja-JP"/>
        </w:rPr>
        <w:t xml:space="preserve">the </w:t>
      </w:r>
      <w:r w:rsidRPr="006D66BF">
        <w:t>current protocol</w:t>
      </w:r>
      <w:r w:rsidR="00D93728" w:rsidRPr="006D66BF">
        <w:rPr>
          <w:rFonts w:hint="eastAsia"/>
          <w:lang w:eastAsia="ja-JP"/>
        </w:rPr>
        <w:t>s</w:t>
      </w:r>
      <w:r w:rsidRPr="006D66BF">
        <w:t xml:space="preserve"> [OECD TG 471</w:t>
      </w:r>
      <w:r w:rsidRPr="006D66BF">
        <w:rPr>
          <w:rFonts w:hint="eastAsia"/>
        </w:rPr>
        <w:t>, TG472</w:t>
      </w:r>
      <w:r w:rsidRPr="006D66BF">
        <w:t xml:space="preserve"> and the Japanese Guideline for Screening Mutagenicity Testing of Chemicals (Chemical Substances Control Law of Japan)] under GLP</w:t>
      </w:r>
      <w:r w:rsidRPr="006D66BF">
        <w:rPr>
          <w:rFonts w:hint="eastAsia"/>
        </w:rPr>
        <w:t xml:space="preserve"> </w:t>
      </w:r>
      <w:r w:rsidRPr="006D66BF">
        <w:t xml:space="preserve">[MHW, Japan: </w:t>
      </w:r>
      <w:r w:rsidRPr="006D66BF">
        <w:rPr>
          <w:rFonts w:hint="eastAsia"/>
        </w:rPr>
        <w:t>199</w:t>
      </w:r>
      <w:r w:rsidRPr="006D66BF">
        <w:rPr>
          <w:rFonts w:hint="eastAsia"/>
          <w:lang w:eastAsia="ja-JP"/>
        </w:rPr>
        <w:t>8c</w:t>
      </w:r>
      <w:r w:rsidRPr="006D66BF">
        <w:t xml:space="preserve">].  </w:t>
      </w:r>
    </w:p>
    <w:p w14:paraId="30FFE675" w14:textId="77777777" w:rsidR="009D0EC2" w:rsidRPr="006D66BF" w:rsidRDefault="002F320F" w:rsidP="00280EFA">
      <w:pPr>
        <w:adjustRightInd w:val="0"/>
        <w:spacing w:after="180"/>
        <w:jc w:val="both"/>
      </w:pPr>
      <w:r w:rsidRPr="006D66BF">
        <w:t>1</w:t>
      </w:r>
      <w:proofErr w:type="gramStart"/>
      <w:r w:rsidRPr="006D66BF">
        <w:t>,1,1</w:t>
      </w:r>
      <w:proofErr w:type="gramEnd"/>
      <w:r w:rsidRPr="006D66BF">
        <w:t>-</w:t>
      </w:r>
      <w:r w:rsidRPr="006D66BF">
        <w:rPr>
          <w:rFonts w:hint="eastAsia"/>
          <w:lang w:eastAsia="ja-JP"/>
        </w:rPr>
        <w:t>T</w:t>
      </w:r>
      <w:r w:rsidR="00FC3A3D" w:rsidRPr="006D66BF">
        <w:t xml:space="preserve">ris(hydroxymethyl)ethane </w:t>
      </w:r>
      <w:r w:rsidR="009D0EC2" w:rsidRPr="006D66BF">
        <w:rPr>
          <w:rFonts w:hint="eastAsia"/>
        </w:rPr>
        <w:t xml:space="preserve"> was not mutagenic at doses of 156-50</w:t>
      </w:r>
      <w:r w:rsidR="009D0EC2" w:rsidRPr="006D66BF">
        <w:rPr>
          <w:rFonts w:hint="eastAsia"/>
          <w:lang w:eastAsia="ja-JP"/>
        </w:rPr>
        <w:t>0</w:t>
      </w:r>
      <w:r w:rsidR="009D0EC2" w:rsidRPr="006D66BF">
        <w:rPr>
          <w:rFonts w:hint="eastAsia"/>
        </w:rPr>
        <w:t xml:space="preserve">0 </w:t>
      </w:r>
      <w:r w:rsidR="009D0EC2" w:rsidRPr="006D66BF">
        <w:t>μ</w:t>
      </w:r>
      <w:r w:rsidR="009D0EC2" w:rsidRPr="006D66BF">
        <w:rPr>
          <w:rFonts w:eastAsia="MS PGothic"/>
        </w:rPr>
        <w:t>g/plate</w:t>
      </w:r>
      <w:r w:rsidR="009D0EC2" w:rsidRPr="006D66BF">
        <w:rPr>
          <w:rFonts w:eastAsia="MS PGothic" w:hint="eastAsia"/>
        </w:rPr>
        <w:t xml:space="preserve"> in </w:t>
      </w:r>
      <w:r w:rsidR="009D0EC2" w:rsidRPr="006D66BF">
        <w:rPr>
          <w:i/>
        </w:rPr>
        <w:t xml:space="preserve">Salmonella typhimurium </w:t>
      </w:r>
      <w:r w:rsidR="009D0EC2" w:rsidRPr="006D66BF">
        <w:t>TA100</w:t>
      </w:r>
      <w:r w:rsidR="009D0EC2" w:rsidRPr="006D66BF">
        <w:rPr>
          <w:rFonts w:hint="eastAsia"/>
        </w:rPr>
        <w:t xml:space="preserve">, </w:t>
      </w:r>
      <w:r w:rsidR="009D0EC2" w:rsidRPr="006D66BF">
        <w:rPr>
          <w:rFonts w:eastAsia="MS PGothic" w:hint="eastAsia"/>
        </w:rPr>
        <w:t>TA1535, TA98</w:t>
      </w:r>
      <w:r w:rsidR="009D0EC2" w:rsidRPr="006D66BF">
        <w:rPr>
          <w:rFonts w:eastAsia="MS PGothic" w:hint="eastAsia"/>
          <w:lang w:eastAsia="ja-JP"/>
        </w:rPr>
        <w:t>,</w:t>
      </w:r>
      <w:r w:rsidR="009D0EC2" w:rsidRPr="006D66BF">
        <w:rPr>
          <w:rFonts w:eastAsia="MS PGothic" w:hint="eastAsia"/>
        </w:rPr>
        <w:t xml:space="preserve"> TA1537</w:t>
      </w:r>
      <w:r w:rsidR="009D0EC2" w:rsidRPr="006D66BF">
        <w:rPr>
          <w:rFonts w:eastAsia="MS PGothic" w:hint="eastAsia"/>
          <w:lang w:eastAsia="ja-JP"/>
        </w:rPr>
        <w:t xml:space="preserve"> and</w:t>
      </w:r>
      <w:r w:rsidR="009D0EC2" w:rsidRPr="006D66BF">
        <w:rPr>
          <w:rFonts w:eastAsia="MS PGothic" w:hint="eastAsia"/>
        </w:rPr>
        <w:t xml:space="preserve"> </w:t>
      </w:r>
      <w:r w:rsidR="009D0EC2" w:rsidRPr="006D66BF">
        <w:rPr>
          <w:i/>
        </w:rPr>
        <w:t>Escherichia coli</w:t>
      </w:r>
      <w:r w:rsidR="009D0EC2" w:rsidRPr="006D66BF">
        <w:t xml:space="preserve"> WP2 uvrA</w:t>
      </w:r>
      <w:r w:rsidR="009D0EC2" w:rsidRPr="006D66BF">
        <w:rPr>
          <w:rFonts w:hint="eastAsia"/>
        </w:rPr>
        <w:t xml:space="preserve"> </w:t>
      </w:r>
      <w:r w:rsidR="009D0EC2" w:rsidRPr="006D66BF">
        <w:rPr>
          <w:rFonts w:hint="eastAsia"/>
          <w:lang w:eastAsia="ja-JP"/>
        </w:rPr>
        <w:t xml:space="preserve">with and </w:t>
      </w:r>
      <w:r w:rsidR="009D0EC2" w:rsidRPr="006D66BF">
        <w:rPr>
          <w:rFonts w:hint="eastAsia"/>
        </w:rPr>
        <w:t>without metabolic activation</w:t>
      </w:r>
      <w:r w:rsidR="009D0EC2" w:rsidRPr="006D66BF">
        <w:rPr>
          <w:rFonts w:eastAsia="MS PGothic" w:hint="eastAsia"/>
        </w:rPr>
        <w:t xml:space="preserve"> (S9 mix prepared from enzyme-induced rat liver). </w:t>
      </w:r>
      <w:r w:rsidR="00D93728" w:rsidRPr="006D66BF">
        <w:rPr>
          <w:rFonts w:eastAsia="MS PGothic" w:hint="eastAsia"/>
          <w:lang w:eastAsia="ja-JP"/>
        </w:rPr>
        <w:t>No t</w:t>
      </w:r>
      <w:r w:rsidR="009D0EC2" w:rsidRPr="006D66BF">
        <w:rPr>
          <w:rFonts w:eastAsia="MS PGothic" w:hint="eastAsia"/>
        </w:rPr>
        <w:t xml:space="preserve">oxicity was observed </w:t>
      </w:r>
      <w:r w:rsidR="009D0EC2" w:rsidRPr="006D66BF">
        <w:rPr>
          <w:rFonts w:eastAsia="MS PGothic" w:hint="eastAsia"/>
          <w:lang w:eastAsia="ja-JP"/>
        </w:rPr>
        <w:t>in a</w:t>
      </w:r>
      <w:r w:rsidR="00D93728" w:rsidRPr="006D66BF">
        <w:rPr>
          <w:rFonts w:eastAsia="MS PGothic" w:hint="eastAsia"/>
          <w:lang w:eastAsia="ja-JP"/>
        </w:rPr>
        <w:t>ny</w:t>
      </w:r>
      <w:r w:rsidR="009D0EC2" w:rsidRPr="006D66BF">
        <w:rPr>
          <w:rFonts w:eastAsia="MS PGothic" w:hint="eastAsia"/>
          <w:lang w:eastAsia="ja-JP"/>
        </w:rPr>
        <w:t xml:space="preserve"> </w:t>
      </w:r>
      <w:r w:rsidR="00D93728" w:rsidRPr="006D66BF">
        <w:rPr>
          <w:rFonts w:eastAsia="MS PGothic" w:hint="eastAsia"/>
          <w:lang w:eastAsia="ja-JP"/>
        </w:rPr>
        <w:t xml:space="preserve">of the </w:t>
      </w:r>
      <w:r w:rsidR="009D0EC2" w:rsidRPr="006D66BF">
        <w:rPr>
          <w:rFonts w:eastAsia="MS PGothic" w:hint="eastAsia"/>
          <w:lang w:eastAsia="ja-JP"/>
        </w:rPr>
        <w:t>cases</w:t>
      </w:r>
      <w:r w:rsidR="00D93728" w:rsidRPr="006D66BF">
        <w:rPr>
          <w:rFonts w:eastAsia="MS PGothic" w:hint="eastAsia"/>
          <w:lang w:eastAsia="ja-JP"/>
        </w:rPr>
        <w:t>.</w:t>
      </w:r>
      <w:r w:rsidR="00D93728" w:rsidRPr="006D66BF" w:rsidDel="00D93728">
        <w:rPr>
          <w:rFonts w:eastAsia="MS PGothic"/>
        </w:rPr>
        <w:t xml:space="preserve"> </w:t>
      </w:r>
      <w:r w:rsidR="00D93728" w:rsidRPr="006D66BF">
        <w:rPr>
          <w:rFonts w:eastAsia="MS PGothic" w:hint="eastAsia"/>
          <w:lang w:eastAsia="ja-JP"/>
        </w:rPr>
        <w:t xml:space="preserve"> </w:t>
      </w:r>
      <w:r w:rsidR="009D0EC2" w:rsidRPr="006D66BF">
        <w:rPr>
          <w:rFonts w:eastAsia="MS PGothic" w:hint="eastAsia"/>
        </w:rPr>
        <w:t xml:space="preserve">The positive controls showed expected levels of mutagenicity. </w:t>
      </w:r>
    </w:p>
    <w:p w14:paraId="30FFE676" w14:textId="77777777" w:rsidR="009D0EC2" w:rsidRPr="006D66BF" w:rsidRDefault="009D0EC2" w:rsidP="00280EFA">
      <w:pPr>
        <w:pStyle w:val="BodyText"/>
        <w:rPr>
          <w:b/>
          <w:szCs w:val="24"/>
          <w:lang w:eastAsia="ja-JP"/>
        </w:rPr>
      </w:pPr>
      <w:r w:rsidRPr="006D66BF">
        <w:rPr>
          <w:i/>
          <w:szCs w:val="24"/>
          <w:lang w:eastAsia="ja-JP"/>
        </w:rPr>
        <w:t>C</w:t>
      </w:r>
      <w:r w:rsidRPr="006D66BF">
        <w:rPr>
          <w:i/>
          <w:szCs w:val="24"/>
        </w:rPr>
        <w:t>hromosomal aberration test</w:t>
      </w:r>
    </w:p>
    <w:p w14:paraId="30FFE677" w14:textId="77777777" w:rsidR="009D0EC2" w:rsidRPr="006D66BF" w:rsidRDefault="009D0EC2" w:rsidP="00280EFA">
      <w:pPr>
        <w:pStyle w:val="BodyText"/>
        <w:rPr>
          <w:szCs w:val="24"/>
          <w:lang w:eastAsia="ja-JP"/>
        </w:rPr>
      </w:pPr>
      <w:r w:rsidRPr="006D66BF">
        <w:rPr>
          <w:szCs w:val="24"/>
        </w:rPr>
        <w:t xml:space="preserve">A chromosomal aberration test of </w:t>
      </w:r>
      <w:r w:rsidR="00FC3A3D" w:rsidRPr="006D66BF">
        <w:t xml:space="preserve">1,1,1-tris(hydroxymethyl)ethane </w:t>
      </w:r>
      <w:r w:rsidRPr="006D66BF">
        <w:rPr>
          <w:szCs w:val="24"/>
        </w:rPr>
        <w:t xml:space="preserve"> was conducted in accordance with</w:t>
      </w:r>
      <w:r w:rsidR="00D93728" w:rsidRPr="006D66BF">
        <w:rPr>
          <w:rFonts w:hint="eastAsia"/>
          <w:szCs w:val="24"/>
          <w:lang w:eastAsia="ja-JP"/>
        </w:rPr>
        <w:t xml:space="preserve"> </w:t>
      </w:r>
      <w:r w:rsidR="00D93728" w:rsidRPr="006D66BF">
        <w:rPr>
          <w:rFonts w:hint="eastAsia"/>
          <w:lang w:eastAsia="ja-JP"/>
        </w:rPr>
        <w:t xml:space="preserve">the </w:t>
      </w:r>
      <w:r w:rsidRPr="006D66BF">
        <w:rPr>
          <w:szCs w:val="24"/>
        </w:rPr>
        <w:t>current protocol [OECD TG 473</w:t>
      </w:r>
      <w:r w:rsidRPr="006D66BF">
        <w:t xml:space="preserve"> and the Japanese Guideline for Screening Mutagenicity Testing of Chemicals (Chemical Substances Control Law of Japan)</w:t>
      </w:r>
      <w:r w:rsidRPr="006D66BF">
        <w:rPr>
          <w:szCs w:val="24"/>
        </w:rPr>
        <w:t>] in cultured Chinese hamster lung (CHL/IU) cells [MHW Japan</w:t>
      </w:r>
      <w:r w:rsidRPr="006D66BF">
        <w:rPr>
          <w:rFonts w:hint="eastAsia"/>
          <w:szCs w:val="24"/>
          <w:lang w:eastAsia="ja-JP"/>
        </w:rPr>
        <w:t>,</w:t>
      </w:r>
      <w:r w:rsidRPr="006D66BF">
        <w:rPr>
          <w:szCs w:val="24"/>
        </w:rPr>
        <w:t xml:space="preserve"> </w:t>
      </w:r>
      <w:r w:rsidRPr="006D66BF">
        <w:rPr>
          <w:rFonts w:hint="eastAsia"/>
          <w:szCs w:val="24"/>
        </w:rPr>
        <w:t>199</w:t>
      </w:r>
      <w:r w:rsidRPr="006D66BF">
        <w:rPr>
          <w:rFonts w:hint="eastAsia"/>
          <w:szCs w:val="24"/>
          <w:lang w:eastAsia="ja-JP"/>
        </w:rPr>
        <w:t>8d</w:t>
      </w:r>
      <w:r w:rsidRPr="006D66BF">
        <w:rPr>
          <w:szCs w:val="24"/>
        </w:rPr>
        <w:t>]</w:t>
      </w:r>
      <w:r w:rsidRPr="006D66BF">
        <w:rPr>
          <w:rFonts w:hint="eastAsia"/>
          <w:szCs w:val="24"/>
          <w:lang w:eastAsia="ja-JP"/>
        </w:rPr>
        <w:t>.</w:t>
      </w:r>
    </w:p>
    <w:p w14:paraId="30FFE678" w14:textId="77777777" w:rsidR="009D0EC2" w:rsidRPr="006D66BF" w:rsidRDefault="009D0EC2" w:rsidP="009D0EC2">
      <w:pPr>
        <w:pStyle w:val="BodyText"/>
        <w:rPr>
          <w:spacing w:val="-2"/>
          <w:szCs w:val="24"/>
          <w:lang w:eastAsia="ja-JP"/>
        </w:rPr>
      </w:pPr>
      <w:r w:rsidRPr="006D66BF">
        <w:rPr>
          <w:rFonts w:hint="eastAsia"/>
          <w:spacing w:val="-2"/>
          <w:szCs w:val="24"/>
          <w:lang w:eastAsia="ja-JP"/>
        </w:rPr>
        <w:t>The CHL/IU cells were treated at 300</w:t>
      </w:r>
      <w:r w:rsidRPr="006D66BF">
        <w:rPr>
          <w:rFonts w:hint="eastAsia"/>
          <w:spacing w:val="-2"/>
          <w:szCs w:val="24"/>
        </w:rPr>
        <w:t xml:space="preserve">, </w:t>
      </w:r>
      <w:r w:rsidRPr="006D66BF">
        <w:rPr>
          <w:rFonts w:hint="eastAsia"/>
          <w:spacing w:val="-2"/>
          <w:szCs w:val="24"/>
          <w:lang w:eastAsia="ja-JP"/>
        </w:rPr>
        <w:t>600</w:t>
      </w:r>
      <w:r w:rsidRPr="006D66BF">
        <w:rPr>
          <w:rFonts w:hint="eastAsia"/>
          <w:spacing w:val="-2"/>
          <w:szCs w:val="24"/>
        </w:rPr>
        <w:t xml:space="preserve"> and </w:t>
      </w:r>
      <w:r w:rsidRPr="006D66BF">
        <w:rPr>
          <w:rFonts w:hint="eastAsia"/>
          <w:spacing w:val="-2"/>
          <w:szCs w:val="24"/>
          <w:lang w:eastAsia="ja-JP"/>
        </w:rPr>
        <w:t>1,200</w:t>
      </w:r>
      <w:r w:rsidRPr="006D66BF">
        <w:rPr>
          <w:rFonts w:hint="eastAsia"/>
          <w:spacing w:val="-2"/>
          <w:szCs w:val="24"/>
        </w:rPr>
        <w:t xml:space="preserve"> </w:t>
      </w:r>
      <w:r w:rsidRPr="006D66BF">
        <w:t>μ</w:t>
      </w:r>
      <w:r w:rsidRPr="006D66BF">
        <w:rPr>
          <w:rFonts w:hint="eastAsia"/>
          <w:spacing w:val="-2"/>
          <w:szCs w:val="24"/>
        </w:rPr>
        <w:t>g/ml for 24 or 48 hr</w:t>
      </w:r>
      <w:r w:rsidRPr="006D66BF">
        <w:rPr>
          <w:spacing w:val="-2"/>
          <w:szCs w:val="24"/>
          <w:lang w:val="en-US"/>
        </w:rPr>
        <w:t>s</w:t>
      </w:r>
      <w:r w:rsidRPr="006D66BF">
        <w:rPr>
          <w:rFonts w:hint="eastAsia"/>
          <w:spacing w:val="-2"/>
          <w:szCs w:val="24"/>
        </w:rPr>
        <w:t xml:space="preserve"> </w:t>
      </w:r>
      <w:r w:rsidRPr="006D66BF">
        <w:rPr>
          <w:rFonts w:hint="eastAsia"/>
          <w:spacing w:val="-2"/>
          <w:szCs w:val="24"/>
          <w:lang w:eastAsia="ja-JP"/>
        </w:rPr>
        <w:t>(</w:t>
      </w:r>
      <w:r w:rsidRPr="006D66BF">
        <w:rPr>
          <w:rFonts w:hint="eastAsia"/>
          <w:spacing w:val="-2"/>
          <w:szCs w:val="24"/>
        </w:rPr>
        <w:t xml:space="preserve">continuous </w:t>
      </w:r>
      <w:r w:rsidRPr="006D66BF">
        <w:rPr>
          <w:spacing w:val="-2"/>
          <w:szCs w:val="24"/>
        </w:rPr>
        <w:t>treatment</w:t>
      </w:r>
      <w:r w:rsidRPr="006D66BF">
        <w:rPr>
          <w:rFonts w:hint="eastAsia"/>
          <w:spacing w:val="-2"/>
          <w:szCs w:val="24"/>
          <w:lang w:eastAsia="ja-JP"/>
        </w:rPr>
        <w:t>)</w:t>
      </w:r>
      <w:r w:rsidRPr="006D66BF">
        <w:rPr>
          <w:rFonts w:hint="eastAsia"/>
          <w:spacing w:val="-2"/>
          <w:szCs w:val="24"/>
        </w:rPr>
        <w:t xml:space="preserve"> without S9 mix, </w:t>
      </w:r>
      <w:r w:rsidRPr="006D66BF">
        <w:rPr>
          <w:rFonts w:hint="eastAsia"/>
          <w:spacing w:val="-2"/>
          <w:szCs w:val="24"/>
          <w:lang w:eastAsia="ja-JP"/>
        </w:rPr>
        <w:t>or at</w:t>
      </w:r>
      <w:r w:rsidRPr="006D66BF">
        <w:rPr>
          <w:rFonts w:hint="eastAsia"/>
          <w:spacing w:val="-2"/>
          <w:szCs w:val="24"/>
        </w:rPr>
        <w:t xml:space="preserve"> </w:t>
      </w:r>
      <w:r w:rsidRPr="006D66BF">
        <w:rPr>
          <w:rFonts w:hint="eastAsia"/>
          <w:spacing w:val="-2"/>
          <w:szCs w:val="24"/>
          <w:lang w:eastAsia="ja-JP"/>
        </w:rPr>
        <w:t>300</w:t>
      </w:r>
      <w:r w:rsidRPr="006D66BF">
        <w:rPr>
          <w:rFonts w:hint="eastAsia"/>
          <w:spacing w:val="-2"/>
          <w:szCs w:val="24"/>
        </w:rPr>
        <w:t xml:space="preserve">, </w:t>
      </w:r>
      <w:r w:rsidRPr="006D66BF">
        <w:rPr>
          <w:rFonts w:hint="eastAsia"/>
          <w:spacing w:val="-2"/>
          <w:szCs w:val="24"/>
          <w:lang w:eastAsia="ja-JP"/>
        </w:rPr>
        <w:t>600</w:t>
      </w:r>
      <w:r w:rsidRPr="006D66BF">
        <w:rPr>
          <w:rFonts w:hint="eastAsia"/>
          <w:spacing w:val="-2"/>
          <w:szCs w:val="24"/>
        </w:rPr>
        <w:t xml:space="preserve"> and </w:t>
      </w:r>
      <w:r w:rsidRPr="006D66BF">
        <w:rPr>
          <w:rFonts w:hint="eastAsia"/>
          <w:spacing w:val="-2"/>
          <w:szCs w:val="24"/>
          <w:lang w:eastAsia="ja-JP"/>
        </w:rPr>
        <w:t>1,200</w:t>
      </w:r>
      <w:r w:rsidRPr="006D66BF">
        <w:rPr>
          <w:rFonts w:hint="eastAsia"/>
          <w:spacing w:val="-2"/>
          <w:szCs w:val="24"/>
        </w:rPr>
        <w:t xml:space="preserve"> </w:t>
      </w:r>
      <w:r w:rsidRPr="006D66BF">
        <w:t>μ</w:t>
      </w:r>
      <w:r w:rsidRPr="006D66BF">
        <w:rPr>
          <w:rFonts w:hint="eastAsia"/>
          <w:spacing w:val="-2"/>
          <w:szCs w:val="24"/>
        </w:rPr>
        <w:t>g/ml with and without S9 mix for 6 hr</w:t>
      </w:r>
      <w:r w:rsidRPr="006D66BF">
        <w:rPr>
          <w:spacing w:val="-2"/>
          <w:szCs w:val="24"/>
          <w:lang w:val="en-US"/>
        </w:rPr>
        <w:t>s</w:t>
      </w:r>
      <w:r w:rsidRPr="006D66BF">
        <w:rPr>
          <w:rFonts w:hint="eastAsia"/>
          <w:spacing w:val="-2"/>
          <w:szCs w:val="24"/>
        </w:rPr>
        <w:t xml:space="preserve"> </w:t>
      </w:r>
      <w:r w:rsidRPr="006D66BF">
        <w:rPr>
          <w:rFonts w:hint="eastAsia"/>
          <w:spacing w:val="-2"/>
          <w:szCs w:val="24"/>
          <w:lang w:eastAsia="ja-JP"/>
        </w:rPr>
        <w:t>(</w:t>
      </w:r>
      <w:r w:rsidRPr="006D66BF">
        <w:rPr>
          <w:rFonts w:hint="eastAsia"/>
          <w:spacing w:val="-2"/>
          <w:szCs w:val="24"/>
        </w:rPr>
        <w:t>short-term treatment</w:t>
      </w:r>
      <w:r w:rsidRPr="006D66BF">
        <w:rPr>
          <w:rFonts w:hint="eastAsia"/>
          <w:spacing w:val="-2"/>
          <w:szCs w:val="24"/>
          <w:lang w:eastAsia="ja-JP"/>
        </w:rPr>
        <w:t>)</w:t>
      </w:r>
      <w:r w:rsidRPr="006D66BF">
        <w:rPr>
          <w:rFonts w:hint="eastAsia"/>
          <w:spacing w:val="-2"/>
          <w:szCs w:val="24"/>
        </w:rPr>
        <w:t>.</w:t>
      </w:r>
    </w:p>
    <w:p w14:paraId="30FFE679" w14:textId="77777777" w:rsidR="009D0EC2" w:rsidRPr="006D66BF" w:rsidRDefault="009D0EC2" w:rsidP="009D0EC2">
      <w:pPr>
        <w:pStyle w:val="BodyText"/>
        <w:rPr>
          <w:spacing w:val="-2"/>
          <w:szCs w:val="24"/>
          <w:lang w:eastAsia="ja-JP"/>
        </w:rPr>
      </w:pPr>
      <w:r w:rsidRPr="006D66BF">
        <w:rPr>
          <w:rFonts w:hint="eastAsia"/>
          <w:spacing w:val="-2"/>
          <w:szCs w:val="24"/>
          <w:lang w:eastAsia="ja-JP"/>
        </w:rPr>
        <w:t xml:space="preserve">In either test condition, no increase in structural aberrations or polyploidy was observed. The positive controls [mitomycin C (0.05 </w:t>
      </w:r>
      <w:r w:rsidRPr="006D66BF">
        <w:t>μ</w:t>
      </w:r>
      <w:r w:rsidRPr="006D66BF">
        <w:rPr>
          <w:rFonts w:hint="eastAsia"/>
          <w:spacing w:val="-2"/>
          <w:szCs w:val="24"/>
          <w:lang w:eastAsia="ja-JP"/>
        </w:rPr>
        <w:t xml:space="preserve">g/ml) for continuous treatment, cyclophosphamide (12.5 </w:t>
      </w:r>
      <w:r w:rsidRPr="006D66BF">
        <w:t>μ</w:t>
      </w:r>
      <w:r w:rsidRPr="006D66BF">
        <w:rPr>
          <w:rFonts w:hint="eastAsia"/>
          <w:spacing w:val="-2"/>
          <w:szCs w:val="24"/>
          <w:lang w:eastAsia="ja-JP"/>
        </w:rPr>
        <w:t>g/ml) for short-term treatment</w:t>
      </w:r>
      <w:r w:rsidRPr="006D66BF">
        <w:rPr>
          <w:spacing w:val="-2"/>
          <w:szCs w:val="24"/>
          <w:lang w:eastAsia="ja-JP"/>
        </w:rPr>
        <w:t>]</w:t>
      </w:r>
      <w:r w:rsidRPr="006D66BF">
        <w:rPr>
          <w:rFonts w:hint="eastAsia"/>
          <w:spacing w:val="-2"/>
          <w:szCs w:val="24"/>
          <w:lang w:eastAsia="ja-JP"/>
        </w:rPr>
        <w:t xml:space="preserve"> were effective for induction of chromosome aberrations. </w:t>
      </w:r>
    </w:p>
    <w:p w14:paraId="30FFE67A" w14:textId="77777777" w:rsidR="009D0EC2" w:rsidRPr="006D66BF" w:rsidRDefault="009D0EC2">
      <w:pPr>
        <w:pStyle w:val="Heading9"/>
      </w:pPr>
      <w:r w:rsidRPr="006D66BF">
        <w:t>In vivo Studies</w:t>
      </w:r>
    </w:p>
    <w:p w14:paraId="30FFE67B" w14:textId="77777777" w:rsidR="009D0EC2" w:rsidRPr="006D66BF" w:rsidRDefault="009D0EC2">
      <w:pPr>
        <w:pStyle w:val="BodyText"/>
        <w:rPr>
          <w:lang w:eastAsia="ja-JP"/>
        </w:rPr>
      </w:pPr>
      <w:r w:rsidRPr="006D66BF">
        <w:rPr>
          <w:rFonts w:hint="eastAsia"/>
          <w:szCs w:val="24"/>
          <w:lang w:eastAsia="ja-JP"/>
        </w:rPr>
        <w:t xml:space="preserve">No </w:t>
      </w:r>
      <w:r w:rsidRPr="006D66BF">
        <w:rPr>
          <w:rFonts w:hint="eastAsia"/>
          <w:szCs w:val="24"/>
        </w:rPr>
        <w:t>information</w:t>
      </w:r>
      <w:r w:rsidRPr="006D66BF">
        <w:rPr>
          <w:rFonts w:hint="eastAsia"/>
          <w:szCs w:val="24"/>
          <w:lang w:eastAsia="ja-JP"/>
        </w:rPr>
        <w:t xml:space="preserve"> is available.</w:t>
      </w:r>
    </w:p>
    <w:p w14:paraId="30FFE67C" w14:textId="77777777" w:rsidR="009D0EC2" w:rsidRPr="006D66BF" w:rsidRDefault="009D0EC2">
      <w:pPr>
        <w:pStyle w:val="Heading8"/>
      </w:pPr>
      <w:r w:rsidRPr="006D66BF">
        <w:t>Studies in Humans</w:t>
      </w:r>
    </w:p>
    <w:p w14:paraId="30FFE67D" w14:textId="77777777" w:rsidR="009D0EC2" w:rsidRPr="006D66BF" w:rsidRDefault="009D0EC2">
      <w:pPr>
        <w:pStyle w:val="BodyText"/>
      </w:pPr>
      <w:r w:rsidRPr="006D66BF">
        <w:rPr>
          <w:rFonts w:hint="eastAsia"/>
          <w:szCs w:val="24"/>
        </w:rPr>
        <w:t>No information on humans</w:t>
      </w:r>
      <w:r w:rsidRPr="006D66BF">
        <w:rPr>
          <w:szCs w:val="24"/>
        </w:rPr>
        <w:t xml:space="preserve"> is available.</w:t>
      </w:r>
    </w:p>
    <w:p w14:paraId="30FFE67E" w14:textId="77777777" w:rsidR="009D0EC2" w:rsidRPr="006D66BF" w:rsidRDefault="009D0EC2">
      <w:pPr>
        <w:pStyle w:val="Heading8"/>
      </w:pPr>
      <w:r w:rsidRPr="006D66BF">
        <w:t>Conclusion</w:t>
      </w:r>
    </w:p>
    <w:p w14:paraId="30FFE67F" w14:textId="77777777" w:rsidR="009D0EC2" w:rsidRPr="006D66BF" w:rsidRDefault="00FC3A3D">
      <w:pPr>
        <w:pStyle w:val="BodyText"/>
        <w:rPr>
          <w:lang w:eastAsia="ja-JP"/>
        </w:rPr>
      </w:pPr>
      <w:r w:rsidRPr="006D66BF">
        <w:t>1</w:t>
      </w:r>
      <w:proofErr w:type="gramStart"/>
      <w:r w:rsidRPr="006D66BF">
        <w:t>,1,1</w:t>
      </w:r>
      <w:proofErr w:type="gramEnd"/>
      <w:r w:rsidRPr="006D66BF">
        <w:t xml:space="preserve">-tris(hydroxymethyl)ethane </w:t>
      </w:r>
      <w:r w:rsidR="009D0EC2" w:rsidRPr="006D66BF">
        <w:rPr>
          <w:rFonts w:hint="eastAsia"/>
          <w:lang w:eastAsia="ja-JP"/>
        </w:rPr>
        <w:t xml:space="preserve"> did not induce gene mutation in bacterial </w:t>
      </w:r>
      <w:r w:rsidR="009D0EC2" w:rsidRPr="006D66BF">
        <w:rPr>
          <w:rFonts w:hint="eastAsia"/>
          <w:i/>
          <w:lang w:eastAsia="ja-JP"/>
        </w:rPr>
        <w:t>in vitro</w:t>
      </w:r>
      <w:r w:rsidR="009D0EC2" w:rsidRPr="006D66BF">
        <w:rPr>
          <w:rFonts w:hint="eastAsia"/>
          <w:lang w:eastAsia="ja-JP"/>
        </w:rPr>
        <w:t xml:space="preserve"> tests (OECD TG</w:t>
      </w:r>
      <w:r w:rsidR="009D0EC2" w:rsidRPr="006D66BF">
        <w:rPr>
          <w:lang w:val="en-US" w:eastAsia="ja-JP"/>
        </w:rPr>
        <w:t xml:space="preserve"> </w:t>
      </w:r>
      <w:r w:rsidR="009D0EC2" w:rsidRPr="006D66BF">
        <w:rPr>
          <w:rFonts w:hint="eastAsia"/>
          <w:lang w:eastAsia="ja-JP"/>
        </w:rPr>
        <w:t>471, OECD TG</w:t>
      </w:r>
      <w:r w:rsidR="009D0EC2" w:rsidRPr="006D66BF">
        <w:rPr>
          <w:lang w:val="en-US" w:eastAsia="ja-JP"/>
        </w:rPr>
        <w:t xml:space="preserve"> </w:t>
      </w:r>
      <w:r w:rsidR="009D0EC2" w:rsidRPr="006D66BF">
        <w:rPr>
          <w:rFonts w:hint="eastAsia"/>
          <w:lang w:eastAsia="ja-JP"/>
        </w:rPr>
        <w:t>472 and Japanese guideline). The substance did not induce chromosome aberrations in cultured Chinese hamster lung (CHL/IU) cells (OECD TG</w:t>
      </w:r>
      <w:r w:rsidR="009D0EC2" w:rsidRPr="006D66BF">
        <w:rPr>
          <w:lang w:val="en-US" w:eastAsia="ja-JP"/>
        </w:rPr>
        <w:t xml:space="preserve"> </w:t>
      </w:r>
      <w:r w:rsidR="009D0EC2" w:rsidRPr="006D66BF">
        <w:rPr>
          <w:rFonts w:hint="eastAsia"/>
          <w:lang w:eastAsia="ja-JP"/>
        </w:rPr>
        <w:t xml:space="preserve">473 and Japanese guideline). </w:t>
      </w:r>
      <w:r w:rsidR="009D0EC2" w:rsidRPr="006D66BF">
        <w:rPr>
          <w:szCs w:val="24"/>
        </w:rPr>
        <w:t xml:space="preserve">Based on these results, </w:t>
      </w:r>
      <w:r w:rsidRPr="006D66BF">
        <w:t>1</w:t>
      </w:r>
      <w:proofErr w:type="gramStart"/>
      <w:r w:rsidRPr="006D66BF">
        <w:t>,1,1</w:t>
      </w:r>
      <w:proofErr w:type="gramEnd"/>
      <w:r w:rsidRPr="006D66BF">
        <w:t xml:space="preserve">-tris(hydroxymethyl)ethane </w:t>
      </w:r>
      <w:r w:rsidR="009D0EC2" w:rsidRPr="006D66BF">
        <w:rPr>
          <w:szCs w:val="24"/>
        </w:rPr>
        <w:t xml:space="preserve"> is considered to be non genotoxic</w:t>
      </w:r>
      <w:r w:rsidR="009D0EC2" w:rsidRPr="006D66BF">
        <w:rPr>
          <w:szCs w:val="24"/>
          <w:lang w:eastAsia="ja-JP"/>
        </w:rPr>
        <w:t xml:space="preserve"> </w:t>
      </w:r>
      <w:r w:rsidR="009D0EC2" w:rsidRPr="006D66BF">
        <w:rPr>
          <w:i/>
          <w:szCs w:val="24"/>
        </w:rPr>
        <w:t>in vitro</w:t>
      </w:r>
      <w:r w:rsidR="009D0EC2" w:rsidRPr="006D66BF">
        <w:rPr>
          <w:szCs w:val="24"/>
        </w:rPr>
        <w:t>.</w:t>
      </w:r>
      <w:r w:rsidR="009D0EC2" w:rsidRPr="006D66BF">
        <w:rPr>
          <w:rFonts w:hint="eastAsia"/>
          <w:szCs w:val="24"/>
          <w:lang w:eastAsia="ja-JP"/>
        </w:rPr>
        <w:t xml:space="preserve"> </w:t>
      </w:r>
      <w:r w:rsidR="009D0EC2" w:rsidRPr="006D66BF">
        <w:rPr>
          <w:rFonts w:hint="eastAsia"/>
          <w:lang w:eastAsia="ja-JP"/>
        </w:rPr>
        <w:t xml:space="preserve">There is no </w:t>
      </w:r>
      <w:r w:rsidR="009D0EC2" w:rsidRPr="006D66BF">
        <w:rPr>
          <w:rFonts w:hint="eastAsia"/>
          <w:i/>
          <w:lang w:eastAsia="ja-JP"/>
        </w:rPr>
        <w:t>in vivo</w:t>
      </w:r>
      <w:r w:rsidR="009D0EC2" w:rsidRPr="006D66BF">
        <w:rPr>
          <w:rFonts w:hint="eastAsia"/>
          <w:lang w:eastAsia="ja-JP"/>
        </w:rPr>
        <w:t xml:space="preserve"> study on mutagenicity.</w:t>
      </w:r>
    </w:p>
    <w:p w14:paraId="30FFE680" w14:textId="77777777" w:rsidR="009D0EC2" w:rsidRPr="006D66BF" w:rsidRDefault="009D0EC2" w:rsidP="009D0EC2">
      <w:pPr>
        <w:pStyle w:val="Heading3"/>
        <w:rPr>
          <w:lang w:eastAsia="ja-JP"/>
        </w:rPr>
      </w:pPr>
      <w:bookmarkStart w:id="122" w:name="_Toc32726035"/>
      <w:bookmarkStart w:id="123" w:name="_Toc32727218"/>
      <w:bookmarkStart w:id="124" w:name="_Toc43868666"/>
      <w:bookmarkStart w:id="125" w:name="_Toc200358254"/>
      <w:bookmarkStart w:id="126" w:name="_Toc297297727"/>
      <w:r w:rsidRPr="006D66BF">
        <w:t>Carcinogenicity</w:t>
      </w:r>
      <w:bookmarkStart w:id="127" w:name="_Toc277683613"/>
      <w:bookmarkStart w:id="128" w:name="_Toc277683818"/>
      <w:bookmarkStart w:id="129" w:name="_Toc277683616"/>
      <w:bookmarkStart w:id="130" w:name="_Toc277683821"/>
      <w:bookmarkStart w:id="131" w:name="_Toc277683618"/>
      <w:bookmarkStart w:id="132" w:name="_Toc277683823"/>
      <w:bookmarkStart w:id="133" w:name="_Toc277683620"/>
      <w:bookmarkStart w:id="134" w:name="_Toc277683825"/>
      <w:bookmarkStart w:id="135" w:name="_Toc277683622"/>
      <w:bookmarkStart w:id="136" w:name="_Toc277683827"/>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p>
    <w:p w14:paraId="30FFE681" w14:textId="77777777" w:rsidR="009D0EC2" w:rsidRPr="006D66BF" w:rsidRDefault="009D0EC2">
      <w:pPr>
        <w:pStyle w:val="BodyText"/>
        <w:rPr>
          <w:lang w:eastAsia="ja-JP"/>
        </w:rPr>
      </w:pPr>
      <w:r w:rsidRPr="006D66BF">
        <w:rPr>
          <w:lang w:val="en-US" w:eastAsia="ja-JP"/>
        </w:rPr>
        <w:t>N</w:t>
      </w:r>
      <w:r w:rsidRPr="006D66BF">
        <w:rPr>
          <w:rFonts w:hint="eastAsia"/>
          <w:lang w:eastAsia="ja-JP"/>
        </w:rPr>
        <w:t xml:space="preserve">o </w:t>
      </w:r>
      <w:r w:rsidRPr="006D66BF">
        <w:rPr>
          <w:lang w:eastAsia="ja-JP"/>
        </w:rPr>
        <w:t>information</w:t>
      </w:r>
      <w:r w:rsidRPr="006D66BF">
        <w:rPr>
          <w:rFonts w:hint="eastAsia"/>
          <w:lang w:eastAsia="ja-JP"/>
        </w:rPr>
        <w:t xml:space="preserve"> on carcinogenicity for </w:t>
      </w:r>
      <w:r w:rsidR="00FC3A3D" w:rsidRPr="006D66BF">
        <w:t>1</w:t>
      </w:r>
      <w:proofErr w:type="gramStart"/>
      <w:r w:rsidR="00FC3A3D" w:rsidRPr="006D66BF">
        <w:t>,1,1</w:t>
      </w:r>
      <w:proofErr w:type="gramEnd"/>
      <w:r w:rsidR="00FC3A3D" w:rsidRPr="006D66BF">
        <w:t xml:space="preserve">-tris(hydroxymethyl)ethane </w:t>
      </w:r>
      <w:r w:rsidRPr="006D66BF">
        <w:rPr>
          <w:lang w:val="en-US" w:eastAsia="ja-JP"/>
        </w:rPr>
        <w:t xml:space="preserve"> is available</w:t>
      </w:r>
      <w:r w:rsidRPr="006D66BF">
        <w:rPr>
          <w:rFonts w:hint="eastAsia"/>
          <w:lang w:eastAsia="ja-JP"/>
        </w:rPr>
        <w:t>.</w:t>
      </w:r>
    </w:p>
    <w:p w14:paraId="30FFE682" w14:textId="77777777" w:rsidR="009D0EC2" w:rsidRPr="006D66BF" w:rsidRDefault="009D0EC2">
      <w:pPr>
        <w:pStyle w:val="Heading3"/>
      </w:pPr>
      <w:bookmarkStart w:id="137" w:name="_Toc32726036"/>
      <w:bookmarkStart w:id="138" w:name="_Toc32727219"/>
      <w:bookmarkStart w:id="139" w:name="_Toc43868667"/>
      <w:bookmarkStart w:id="140" w:name="_Toc200358255"/>
      <w:bookmarkStart w:id="141" w:name="_Toc297297728"/>
      <w:r w:rsidRPr="006D66BF">
        <w:t>Toxicity for Reproduction</w:t>
      </w:r>
      <w:bookmarkEnd w:id="137"/>
      <w:bookmarkEnd w:id="138"/>
      <w:bookmarkEnd w:id="139"/>
      <w:bookmarkEnd w:id="140"/>
      <w:bookmarkEnd w:id="141"/>
    </w:p>
    <w:p w14:paraId="30FFE683" w14:textId="77777777" w:rsidR="009D0EC2" w:rsidRPr="006D66BF" w:rsidRDefault="009D0EC2">
      <w:pPr>
        <w:pStyle w:val="Heading8"/>
      </w:pPr>
      <w:r w:rsidRPr="006D66BF">
        <w:t>Studies in Animals</w:t>
      </w:r>
    </w:p>
    <w:p w14:paraId="30FFE684" w14:textId="77777777" w:rsidR="009D0EC2" w:rsidRPr="006D66BF" w:rsidRDefault="009D0EC2" w:rsidP="009D0EC2">
      <w:pPr>
        <w:pStyle w:val="BodyText"/>
        <w:rPr>
          <w:lang w:val="en-US" w:eastAsia="ja-JP"/>
        </w:rPr>
      </w:pPr>
      <w:r w:rsidRPr="006D66BF">
        <w:rPr>
          <w:lang w:val="en-US" w:eastAsia="ja-JP"/>
        </w:rPr>
        <w:t xml:space="preserve">One </w:t>
      </w:r>
      <w:r w:rsidRPr="006D66BF">
        <w:rPr>
          <w:rFonts w:hint="eastAsia"/>
          <w:lang w:val="en-US" w:eastAsia="ja-JP"/>
        </w:rPr>
        <w:t xml:space="preserve">reliable </w:t>
      </w:r>
      <w:r w:rsidRPr="006D66BF">
        <w:rPr>
          <w:lang w:val="en-US" w:eastAsia="ja-JP"/>
        </w:rPr>
        <w:t xml:space="preserve">study </w:t>
      </w:r>
      <w:r w:rsidRPr="006D66BF">
        <w:rPr>
          <w:rFonts w:hint="eastAsia"/>
          <w:lang w:val="en-US" w:eastAsia="ja-JP"/>
        </w:rPr>
        <w:t>is</w:t>
      </w:r>
      <w:r w:rsidRPr="006D66BF">
        <w:rPr>
          <w:lang w:val="en-US" w:eastAsia="ja-JP"/>
        </w:rPr>
        <w:t xml:space="preserve"> available </w:t>
      </w:r>
      <w:r w:rsidRPr="006D66BF">
        <w:rPr>
          <w:rFonts w:hint="eastAsia"/>
          <w:lang w:val="en-US" w:eastAsia="ja-JP"/>
        </w:rPr>
        <w:t>for</w:t>
      </w:r>
      <w:r w:rsidRPr="006D66BF">
        <w:rPr>
          <w:lang w:val="en-US" w:eastAsia="ja-JP"/>
        </w:rPr>
        <w:t xml:space="preserve"> reproductive</w:t>
      </w:r>
      <w:r w:rsidRPr="006D66BF">
        <w:rPr>
          <w:rFonts w:hint="eastAsia"/>
          <w:lang w:val="en-US" w:eastAsia="ja-JP"/>
        </w:rPr>
        <w:t>/developmental</w:t>
      </w:r>
      <w:r w:rsidRPr="006D66BF">
        <w:rPr>
          <w:lang w:val="en-US" w:eastAsia="ja-JP"/>
        </w:rPr>
        <w:t xml:space="preserve"> toxicity. This study was conducted in accordance with a combined repeated dose toxicity </w:t>
      </w:r>
      <w:r w:rsidRPr="006D66BF">
        <w:rPr>
          <w:rFonts w:hint="eastAsia"/>
          <w:lang w:val="en-US" w:eastAsia="ja-JP"/>
        </w:rPr>
        <w:t>study</w:t>
      </w:r>
      <w:r w:rsidRPr="006D66BF">
        <w:rPr>
          <w:lang w:val="en-US" w:eastAsia="ja-JP"/>
        </w:rPr>
        <w:t xml:space="preserve"> with the reproduction/developmental toxicity screening test [</w:t>
      </w:r>
      <w:r w:rsidRPr="006D66BF">
        <w:rPr>
          <w:rFonts w:hint="eastAsia"/>
          <w:lang w:val="en-US" w:eastAsia="ja-JP"/>
        </w:rPr>
        <w:t xml:space="preserve">OECD </w:t>
      </w:r>
      <w:r w:rsidRPr="006D66BF">
        <w:rPr>
          <w:lang w:val="en-US" w:eastAsia="ja-JP"/>
        </w:rPr>
        <w:t xml:space="preserve">TG 422] under GLP [MHW Japan, </w:t>
      </w:r>
      <w:r w:rsidRPr="006D66BF">
        <w:rPr>
          <w:rFonts w:hint="eastAsia"/>
          <w:lang w:val="en-US" w:eastAsia="ja-JP"/>
        </w:rPr>
        <w:t>1998b</w:t>
      </w:r>
      <w:r w:rsidRPr="006D66BF">
        <w:rPr>
          <w:lang w:val="en-US" w:eastAsia="ja-JP"/>
        </w:rPr>
        <w:t xml:space="preserve">]. Details </w:t>
      </w:r>
      <w:r w:rsidRPr="006D66BF">
        <w:rPr>
          <w:rFonts w:hint="eastAsia"/>
          <w:lang w:val="en-US" w:eastAsia="ja-JP"/>
        </w:rPr>
        <w:t>about the effects on reproductive/developmental parameters in</w:t>
      </w:r>
      <w:r w:rsidRPr="006D66BF">
        <w:rPr>
          <w:lang w:val="en-US" w:eastAsia="ja-JP"/>
        </w:rPr>
        <w:t xml:space="preserve"> the MHW study are as follows</w:t>
      </w:r>
      <w:r w:rsidRPr="006D66BF">
        <w:rPr>
          <w:rFonts w:hint="eastAsia"/>
          <w:lang w:val="en-US" w:eastAsia="ja-JP"/>
        </w:rPr>
        <w:t>, and other details about the general toxicity parameters are shown in 3.1.5 Repeated Dose Toxicity</w:t>
      </w:r>
      <w:r w:rsidRPr="006D66BF">
        <w:rPr>
          <w:lang w:val="en-US" w:eastAsia="ja-JP"/>
        </w:rPr>
        <w:t>.</w:t>
      </w:r>
    </w:p>
    <w:p w14:paraId="30FFE685" w14:textId="77777777" w:rsidR="009D0EC2" w:rsidRPr="006D66BF" w:rsidRDefault="009D0EC2" w:rsidP="009D0EC2">
      <w:pPr>
        <w:pStyle w:val="BodyText"/>
        <w:rPr>
          <w:rFonts w:eastAsia="MS PGothic"/>
          <w:szCs w:val="24"/>
          <w:lang w:eastAsia="ja-JP"/>
        </w:rPr>
      </w:pPr>
      <w:r w:rsidRPr="006D66BF">
        <w:rPr>
          <w:szCs w:val="24"/>
          <w:lang w:val="en-US"/>
        </w:rPr>
        <w:t>Crj:</w:t>
      </w:r>
      <w:r w:rsidRPr="006D66BF">
        <w:rPr>
          <w:rFonts w:hint="eastAsia"/>
          <w:szCs w:val="24"/>
          <w:lang w:val="en-US" w:eastAsia="ja-JP"/>
        </w:rPr>
        <w:t xml:space="preserve"> </w:t>
      </w:r>
      <w:r w:rsidRPr="006D66BF">
        <w:rPr>
          <w:szCs w:val="24"/>
          <w:lang w:val="en-US"/>
        </w:rPr>
        <w:t xml:space="preserve">CD (SD) rats </w:t>
      </w:r>
      <w:r w:rsidRPr="006D66BF">
        <w:rPr>
          <w:szCs w:val="24"/>
        </w:rPr>
        <w:t>(1</w:t>
      </w:r>
      <w:r w:rsidRPr="006D66BF">
        <w:rPr>
          <w:rFonts w:hint="eastAsia"/>
          <w:szCs w:val="24"/>
          <w:lang w:eastAsia="ja-JP"/>
        </w:rPr>
        <w:t>3</w:t>
      </w:r>
      <w:r w:rsidRPr="006D66BF">
        <w:rPr>
          <w:szCs w:val="24"/>
        </w:rPr>
        <w:t xml:space="preserve"> animals/sex/dose)</w:t>
      </w:r>
      <w:r w:rsidRPr="006D66BF">
        <w:rPr>
          <w:szCs w:val="24"/>
          <w:lang w:val="en-US"/>
        </w:rPr>
        <w:t xml:space="preserve"> were given </w:t>
      </w:r>
      <w:r w:rsidR="00FC3A3D" w:rsidRPr="006D66BF">
        <w:t>1</w:t>
      </w:r>
      <w:proofErr w:type="gramStart"/>
      <w:r w:rsidR="00FC3A3D" w:rsidRPr="006D66BF">
        <w:t>,1,1</w:t>
      </w:r>
      <w:proofErr w:type="gramEnd"/>
      <w:r w:rsidR="00FC3A3D" w:rsidRPr="006D66BF">
        <w:t xml:space="preserve">-tris(hydroxymethyl)ethane </w:t>
      </w:r>
      <w:r w:rsidRPr="006D66BF">
        <w:rPr>
          <w:szCs w:val="24"/>
        </w:rPr>
        <w:t xml:space="preserve"> at dose</w:t>
      </w:r>
      <w:r w:rsidRPr="006D66BF">
        <w:rPr>
          <w:rFonts w:hint="eastAsia"/>
          <w:szCs w:val="24"/>
          <w:lang w:eastAsia="ja-JP"/>
        </w:rPr>
        <w:t>s</w:t>
      </w:r>
      <w:r w:rsidRPr="006D66BF">
        <w:rPr>
          <w:szCs w:val="24"/>
        </w:rPr>
        <w:t xml:space="preserve"> of 0 (vehicle: </w:t>
      </w:r>
      <w:r w:rsidR="003D6936" w:rsidRPr="006D66BF">
        <w:rPr>
          <w:rFonts w:hint="eastAsia"/>
          <w:szCs w:val="24"/>
          <w:lang w:eastAsia="ja-JP"/>
        </w:rPr>
        <w:t>distilled water for injection</w:t>
      </w:r>
      <w:r w:rsidRPr="006D66BF">
        <w:rPr>
          <w:szCs w:val="24"/>
        </w:rPr>
        <w:t xml:space="preserve">), </w:t>
      </w:r>
      <w:r w:rsidRPr="006D66BF">
        <w:rPr>
          <w:rFonts w:hint="eastAsia"/>
          <w:szCs w:val="24"/>
          <w:lang w:eastAsia="ja-JP"/>
        </w:rPr>
        <w:t>100</w:t>
      </w:r>
      <w:r w:rsidRPr="006D66BF">
        <w:rPr>
          <w:szCs w:val="24"/>
        </w:rPr>
        <w:t xml:space="preserve">, </w:t>
      </w:r>
      <w:r w:rsidRPr="006D66BF">
        <w:rPr>
          <w:rFonts w:hint="eastAsia"/>
          <w:szCs w:val="24"/>
          <w:lang w:eastAsia="ja-JP"/>
        </w:rPr>
        <w:t>300</w:t>
      </w:r>
      <w:r w:rsidRPr="006D66BF">
        <w:rPr>
          <w:szCs w:val="24"/>
        </w:rPr>
        <w:t xml:space="preserve"> or </w:t>
      </w:r>
      <w:r w:rsidRPr="006D66BF">
        <w:rPr>
          <w:rFonts w:hint="eastAsia"/>
          <w:szCs w:val="24"/>
          <w:lang w:eastAsia="ja-JP"/>
        </w:rPr>
        <w:t>1,00</w:t>
      </w:r>
      <w:r w:rsidRPr="006D66BF">
        <w:rPr>
          <w:szCs w:val="24"/>
        </w:rPr>
        <w:t>0 mg/kg bw/day. Males were dosed for 4</w:t>
      </w:r>
      <w:r w:rsidRPr="006D66BF">
        <w:rPr>
          <w:rFonts w:hint="eastAsia"/>
          <w:szCs w:val="24"/>
          <w:lang w:eastAsia="ja-JP"/>
        </w:rPr>
        <w:t>2</w:t>
      </w:r>
      <w:r w:rsidRPr="006D66BF">
        <w:rPr>
          <w:szCs w:val="24"/>
        </w:rPr>
        <w:t xml:space="preserve"> days from</w:t>
      </w:r>
      <w:r w:rsidRPr="006D66BF">
        <w:rPr>
          <w:rFonts w:hint="eastAsia"/>
          <w:szCs w:val="24"/>
        </w:rPr>
        <w:t xml:space="preserve"> </w:t>
      </w:r>
      <w:r w:rsidRPr="006D66BF">
        <w:rPr>
          <w:szCs w:val="24"/>
        </w:rPr>
        <w:t xml:space="preserve">14 </w:t>
      </w:r>
      <w:r w:rsidRPr="006D66BF">
        <w:rPr>
          <w:rFonts w:hint="eastAsia"/>
          <w:szCs w:val="24"/>
        </w:rPr>
        <w:t xml:space="preserve">days </w:t>
      </w:r>
      <w:r w:rsidRPr="006D66BF">
        <w:rPr>
          <w:szCs w:val="24"/>
        </w:rPr>
        <w:t>before mating</w:t>
      </w:r>
      <w:r w:rsidRPr="006D66BF">
        <w:rPr>
          <w:rFonts w:hint="eastAsia"/>
          <w:szCs w:val="24"/>
        </w:rPr>
        <w:t>,</w:t>
      </w:r>
      <w:r w:rsidRPr="006D66BF">
        <w:rPr>
          <w:szCs w:val="24"/>
        </w:rPr>
        <w:t xml:space="preserve"> and females were dosed </w:t>
      </w:r>
      <w:r w:rsidRPr="006D66BF">
        <w:rPr>
          <w:rFonts w:hint="eastAsia"/>
          <w:szCs w:val="24"/>
        </w:rPr>
        <w:t xml:space="preserve">for </w:t>
      </w:r>
      <w:r w:rsidRPr="006D66BF">
        <w:rPr>
          <w:rFonts w:hint="eastAsia"/>
          <w:szCs w:val="24"/>
          <w:lang w:eastAsia="ja-JP"/>
        </w:rPr>
        <w:t xml:space="preserve">days </w:t>
      </w:r>
      <w:r w:rsidRPr="006D66BF">
        <w:rPr>
          <w:szCs w:val="24"/>
          <w:lang w:eastAsia="ja-JP"/>
        </w:rPr>
        <w:t>including</w:t>
      </w:r>
      <w:r w:rsidRPr="006D66BF">
        <w:rPr>
          <w:rFonts w:hint="eastAsia"/>
          <w:szCs w:val="24"/>
          <w:lang w:eastAsia="ja-JP"/>
        </w:rPr>
        <w:t xml:space="preserve"> 14 days pre-mating, mating and gestation period and the day</w:t>
      </w:r>
      <w:r w:rsidRPr="006D66BF">
        <w:rPr>
          <w:szCs w:val="24"/>
          <w:lang w:val="en-US" w:eastAsia="ja-JP"/>
        </w:rPr>
        <w:t>s</w:t>
      </w:r>
      <w:r w:rsidRPr="006D66BF">
        <w:rPr>
          <w:rFonts w:hint="eastAsia"/>
          <w:szCs w:val="24"/>
          <w:lang w:eastAsia="ja-JP"/>
        </w:rPr>
        <w:t xml:space="preserve"> until day 3 of lactation</w:t>
      </w:r>
      <w:r w:rsidRPr="006D66BF">
        <w:rPr>
          <w:szCs w:val="24"/>
        </w:rPr>
        <w:t>.</w:t>
      </w:r>
      <w:r w:rsidRPr="006D66BF">
        <w:rPr>
          <w:rFonts w:hint="eastAsia"/>
          <w:szCs w:val="24"/>
          <w:lang w:eastAsia="ja-JP"/>
        </w:rPr>
        <w:t xml:space="preserve"> </w:t>
      </w:r>
    </w:p>
    <w:p w14:paraId="30FFE686" w14:textId="77777777" w:rsidR="009D0EC2" w:rsidRPr="006D66BF" w:rsidRDefault="009D0EC2" w:rsidP="009D0EC2">
      <w:pPr>
        <w:pStyle w:val="Heading9"/>
      </w:pPr>
      <w:r w:rsidRPr="006D66BF">
        <w:t>Effects on Fertility</w:t>
      </w:r>
    </w:p>
    <w:p w14:paraId="30FFE687" w14:textId="77777777" w:rsidR="009D0EC2" w:rsidRPr="006D66BF" w:rsidRDefault="009D0EC2" w:rsidP="009D0EC2">
      <w:pPr>
        <w:pStyle w:val="BodyText"/>
        <w:rPr>
          <w:szCs w:val="24"/>
          <w:lang w:eastAsia="ja-JP"/>
        </w:rPr>
      </w:pPr>
      <w:r w:rsidRPr="006D66BF">
        <w:rPr>
          <w:rFonts w:hint="eastAsia"/>
          <w:szCs w:val="24"/>
          <w:lang w:eastAsia="ja-JP"/>
        </w:rPr>
        <w:t>No treatment-related effects were observed in reproductive parameters, including male and female copulation and fertility index, precoital and gestational days and gestation index. There were also no changes in the weight and histopathology of reproductive organs in either sex. Thus, the NOAEL for reproductive toxicity was considered to be 1,000 mg/kg bw/day.</w:t>
      </w:r>
    </w:p>
    <w:p w14:paraId="30FFE688" w14:textId="77777777" w:rsidR="009D0EC2" w:rsidRPr="006D66BF" w:rsidRDefault="009D0EC2">
      <w:pPr>
        <w:pStyle w:val="Heading9"/>
      </w:pPr>
      <w:r w:rsidRPr="006D66BF">
        <w:t>Developmental Toxicity</w:t>
      </w:r>
    </w:p>
    <w:p w14:paraId="30FFE689" w14:textId="77777777" w:rsidR="009D0EC2" w:rsidRPr="006D66BF" w:rsidRDefault="009D0EC2">
      <w:pPr>
        <w:pStyle w:val="BodyText"/>
        <w:rPr>
          <w:lang w:eastAsia="ja-JP"/>
        </w:rPr>
      </w:pPr>
      <w:r w:rsidRPr="006D66BF">
        <w:rPr>
          <w:rFonts w:hint="eastAsia"/>
          <w:szCs w:val="24"/>
          <w:lang w:eastAsia="ja-JP"/>
        </w:rPr>
        <w:t xml:space="preserve">No treatment-related effects were observed in </w:t>
      </w:r>
      <w:r w:rsidRPr="006D66BF">
        <w:rPr>
          <w:rFonts w:hint="eastAsia"/>
          <w:lang w:eastAsia="ja-JP"/>
        </w:rPr>
        <w:t xml:space="preserve">developmental </w:t>
      </w:r>
      <w:r w:rsidRPr="006D66BF">
        <w:rPr>
          <w:rFonts w:hint="eastAsia"/>
          <w:szCs w:val="24"/>
          <w:lang w:eastAsia="ja-JP"/>
        </w:rPr>
        <w:t xml:space="preserve">parameters, including </w:t>
      </w:r>
      <w:r w:rsidRPr="006D66BF">
        <w:rPr>
          <w:lang w:eastAsia="ja-JP"/>
        </w:rPr>
        <w:t xml:space="preserve">the </w:t>
      </w:r>
      <w:r w:rsidRPr="006D66BF">
        <w:rPr>
          <w:rFonts w:hint="eastAsia"/>
          <w:lang w:eastAsia="ja-JP"/>
        </w:rPr>
        <w:t>number of live pups born, viability index on postnatal day 4, body weight on postnatal day 0 and day 4,</w:t>
      </w:r>
      <w:r w:rsidRPr="006D66BF">
        <w:rPr>
          <w:lang w:val="en-US" w:eastAsia="ja-JP"/>
        </w:rPr>
        <w:t xml:space="preserve"> and </w:t>
      </w:r>
      <w:r w:rsidRPr="006D66BF">
        <w:rPr>
          <w:rFonts w:hint="eastAsia"/>
          <w:lang w:eastAsia="ja-JP"/>
        </w:rPr>
        <w:t>number of external anomalies.</w:t>
      </w:r>
      <w:r w:rsidRPr="006D66BF">
        <w:rPr>
          <w:lang w:val="en-US" w:eastAsia="ja-JP"/>
        </w:rPr>
        <w:t xml:space="preserve"> </w:t>
      </w:r>
      <w:r w:rsidRPr="006D66BF">
        <w:rPr>
          <w:rFonts w:hint="eastAsia"/>
          <w:lang w:eastAsia="ja-JP"/>
        </w:rPr>
        <w:t xml:space="preserve">Based on the findings, the NOAEL for </w:t>
      </w:r>
      <w:r w:rsidRPr="006D66BF">
        <w:rPr>
          <w:lang w:eastAsia="ja-JP"/>
        </w:rPr>
        <w:t>developmental</w:t>
      </w:r>
      <w:r w:rsidRPr="006D66BF">
        <w:rPr>
          <w:rFonts w:hint="eastAsia"/>
          <w:lang w:eastAsia="ja-JP"/>
        </w:rPr>
        <w:t xml:space="preserve"> toxicity was considered to be 1,000 mg/kg bw/day.</w:t>
      </w:r>
    </w:p>
    <w:p w14:paraId="30FFE68A" w14:textId="77777777" w:rsidR="009D0EC2" w:rsidRPr="006D66BF" w:rsidRDefault="009D0EC2">
      <w:pPr>
        <w:pStyle w:val="Heading8"/>
      </w:pPr>
      <w:r w:rsidRPr="006D66BF">
        <w:t>Studies in Humans</w:t>
      </w:r>
    </w:p>
    <w:p w14:paraId="30FFE68B" w14:textId="77777777" w:rsidR="009D0EC2" w:rsidRPr="006D66BF" w:rsidRDefault="009D0EC2">
      <w:pPr>
        <w:pStyle w:val="Heading9"/>
      </w:pPr>
      <w:r w:rsidRPr="006D66BF">
        <w:t>Effects on Fertility</w:t>
      </w:r>
    </w:p>
    <w:p w14:paraId="30FFE68C" w14:textId="77777777" w:rsidR="009D0EC2" w:rsidRPr="006D66BF" w:rsidRDefault="009D0EC2">
      <w:pPr>
        <w:pStyle w:val="BodyText"/>
      </w:pPr>
      <w:r w:rsidRPr="006D66BF">
        <w:rPr>
          <w:rFonts w:hint="eastAsia"/>
          <w:szCs w:val="24"/>
        </w:rPr>
        <w:t>No information on humans</w:t>
      </w:r>
      <w:r w:rsidRPr="006D66BF">
        <w:rPr>
          <w:szCs w:val="24"/>
        </w:rPr>
        <w:t xml:space="preserve"> is available.</w:t>
      </w:r>
    </w:p>
    <w:p w14:paraId="30FFE68D" w14:textId="77777777" w:rsidR="009D0EC2" w:rsidRPr="006D66BF" w:rsidRDefault="009D0EC2">
      <w:pPr>
        <w:pStyle w:val="Heading9"/>
      </w:pPr>
      <w:r w:rsidRPr="006D66BF">
        <w:t>Developmental Toxicity</w:t>
      </w:r>
    </w:p>
    <w:p w14:paraId="30FFE68E" w14:textId="77777777" w:rsidR="009D0EC2" w:rsidRPr="006D66BF" w:rsidRDefault="009D0EC2">
      <w:pPr>
        <w:pStyle w:val="BodyText"/>
      </w:pPr>
      <w:r w:rsidRPr="006D66BF">
        <w:rPr>
          <w:rFonts w:hint="eastAsia"/>
          <w:szCs w:val="24"/>
        </w:rPr>
        <w:t>No information on humans</w:t>
      </w:r>
      <w:r w:rsidRPr="006D66BF">
        <w:rPr>
          <w:szCs w:val="24"/>
        </w:rPr>
        <w:t xml:space="preserve"> is available.</w:t>
      </w:r>
    </w:p>
    <w:p w14:paraId="30FFE68F" w14:textId="77777777" w:rsidR="009D0EC2" w:rsidRPr="006D66BF" w:rsidRDefault="009D0EC2">
      <w:pPr>
        <w:pStyle w:val="Heading8"/>
      </w:pPr>
      <w:r w:rsidRPr="006D66BF">
        <w:t>Conclusion</w:t>
      </w:r>
    </w:p>
    <w:p w14:paraId="30FFE690" w14:textId="77777777" w:rsidR="000103F3" w:rsidRPr="006D66BF" w:rsidRDefault="005A6B93" w:rsidP="009D0EC2">
      <w:pPr>
        <w:pStyle w:val="BodyText"/>
        <w:rPr>
          <w:lang w:eastAsia="ja-JP"/>
        </w:rPr>
      </w:pPr>
      <w:r w:rsidRPr="000017E8">
        <w:t>In a reproduction/developmental toxicity screening test using rats (OECD TG 4</w:t>
      </w:r>
      <w:r>
        <w:t>2</w:t>
      </w:r>
      <w:r w:rsidRPr="000017E8">
        <w:t>2), no adverse effects were seen at the maximum tested oral dose of 1,000 mg/kg bw/day. The NOAEL for reproductive and developmental toxicity was therefore 1,000 mg/kg bw/day</w:t>
      </w:r>
      <w:r>
        <w:rPr>
          <w:rFonts w:hint="eastAsia"/>
          <w:lang w:eastAsia="ja-JP"/>
        </w:rPr>
        <w:t xml:space="preserve">. </w:t>
      </w:r>
    </w:p>
    <w:p w14:paraId="30FFE691" w14:textId="77777777" w:rsidR="00FC3A3D" w:rsidRPr="005A6BC9" w:rsidRDefault="000103F3" w:rsidP="000103F3">
      <w:pPr>
        <w:pStyle w:val="BodyText"/>
        <w:rPr>
          <w:b/>
          <w:szCs w:val="24"/>
          <w:u w:val="single"/>
          <w:lang w:eastAsia="ja-JP"/>
        </w:rPr>
      </w:pPr>
      <w:bookmarkStart w:id="142" w:name="_Toc32726044"/>
      <w:bookmarkStart w:id="143" w:name="_Toc32727227"/>
      <w:bookmarkStart w:id="144" w:name="_Toc43868675"/>
      <w:bookmarkStart w:id="145" w:name="_Toc200358260"/>
      <w:r w:rsidRPr="005A6BC9">
        <w:rPr>
          <w:rFonts w:hint="eastAsia"/>
          <w:b/>
          <w:szCs w:val="24"/>
          <w:u w:val="single"/>
          <w:lang w:eastAsia="ja-JP"/>
        </w:rPr>
        <w:t>Conclusion</w:t>
      </w:r>
    </w:p>
    <w:p w14:paraId="30FFE692" w14:textId="77777777" w:rsidR="000103F3" w:rsidRPr="005A6BC9" w:rsidRDefault="00C702F3" w:rsidP="000103F3">
      <w:pPr>
        <w:pStyle w:val="BodyText"/>
        <w:ind w:leftChars="65" w:left="156" w:rightChars="117" w:right="281"/>
        <w:rPr>
          <w:b/>
          <w:bCs/>
          <w:szCs w:val="24"/>
          <w:lang w:val="en-US" w:eastAsia="ja-JP"/>
        </w:rPr>
      </w:pPr>
      <w:r w:rsidRPr="00C702F3">
        <w:rPr>
          <w:b/>
          <w:szCs w:val="24"/>
          <w:lang w:eastAsia="ja-JP"/>
        </w:rPr>
        <w:t>1</w:t>
      </w:r>
      <w:proofErr w:type="gramStart"/>
      <w:r w:rsidRPr="00C702F3">
        <w:rPr>
          <w:b/>
          <w:szCs w:val="24"/>
          <w:lang w:eastAsia="ja-JP"/>
        </w:rPr>
        <w:t>,1,1</w:t>
      </w:r>
      <w:proofErr w:type="gramEnd"/>
      <w:r w:rsidRPr="00C702F3">
        <w:rPr>
          <w:b/>
          <w:szCs w:val="24"/>
          <w:lang w:eastAsia="ja-JP"/>
        </w:rPr>
        <w:t>-tris(hydroxymethyl)ethane</w:t>
      </w:r>
      <w:r w:rsidRPr="00C702F3">
        <w:rPr>
          <w:b/>
          <w:bCs/>
          <w:szCs w:val="24"/>
          <w:lang w:val="en-US" w:eastAsia="ja-JP"/>
        </w:rPr>
        <w:t xml:space="preserve"> </w:t>
      </w:r>
      <w:r w:rsidRPr="00C702F3">
        <w:rPr>
          <w:b/>
          <w:szCs w:val="24"/>
        </w:rPr>
        <w:t>has a low hazard profile for human health</w:t>
      </w:r>
      <w:r w:rsidRPr="00C702F3">
        <w:rPr>
          <w:b/>
          <w:bCs/>
          <w:szCs w:val="24"/>
          <w:lang w:val="en-US"/>
        </w:rPr>
        <w:t>. Adequate screening level data are available to characterize the human health hazard for the purposes of the OECD HPV Chemicals Programme.</w:t>
      </w:r>
    </w:p>
    <w:p w14:paraId="30FFE693" w14:textId="77777777" w:rsidR="00DC79C9" w:rsidRPr="006D66BF" w:rsidRDefault="00DC79C9" w:rsidP="00DC79C9">
      <w:pPr>
        <w:pStyle w:val="Heading1"/>
        <w:jc w:val="both"/>
        <w:rPr>
          <w:lang w:eastAsia="ja-JP"/>
        </w:rPr>
      </w:pPr>
      <w:bookmarkStart w:id="146" w:name="_Toc282509934"/>
      <w:bookmarkStart w:id="147" w:name="_Toc297297729"/>
      <w:r w:rsidRPr="006D66BF">
        <w:rPr>
          <w:rFonts w:hint="eastAsia"/>
          <w:lang w:eastAsia="ja-JP"/>
        </w:rPr>
        <w:t>hazards to the environment</w:t>
      </w:r>
      <w:bookmarkEnd w:id="146"/>
      <w:bookmarkEnd w:id="147"/>
    </w:p>
    <w:p w14:paraId="30FFE694" w14:textId="77777777" w:rsidR="00DC79C9" w:rsidRPr="006D66BF" w:rsidRDefault="00DC79C9" w:rsidP="00DC79C9">
      <w:pPr>
        <w:pStyle w:val="Heading2"/>
        <w:rPr>
          <w:lang w:eastAsia="ja-JP"/>
        </w:rPr>
      </w:pPr>
      <w:bookmarkStart w:id="148" w:name="_Toc32726039"/>
      <w:bookmarkStart w:id="149" w:name="_Toc32727222"/>
      <w:bookmarkStart w:id="150" w:name="_Toc43868670"/>
      <w:bookmarkStart w:id="151" w:name="_Toc282509935"/>
      <w:r w:rsidRPr="006D66BF">
        <w:rPr>
          <w:rFonts w:hint="eastAsia"/>
          <w:lang w:eastAsia="ja-JP"/>
        </w:rPr>
        <w:t xml:space="preserve"> </w:t>
      </w:r>
      <w:bookmarkStart w:id="152" w:name="_Toc297297730"/>
      <w:r w:rsidRPr="006D66BF">
        <w:rPr>
          <w:rFonts w:hint="eastAsia"/>
          <w:lang w:eastAsia="ja-JP"/>
        </w:rPr>
        <w:t>Aquatic Effects</w:t>
      </w:r>
      <w:bookmarkEnd w:id="148"/>
      <w:bookmarkEnd w:id="149"/>
      <w:bookmarkEnd w:id="150"/>
      <w:bookmarkEnd w:id="151"/>
      <w:bookmarkEnd w:id="152"/>
    </w:p>
    <w:p w14:paraId="30FFE695" w14:textId="77777777" w:rsidR="00DC79C9" w:rsidRPr="006D66BF" w:rsidRDefault="00DC79C9" w:rsidP="00DC79C9">
      <w:pPr>
        <w:pStyle w:val="Heading8"/>
      </w:pPr>
      <w:r w:rsidRPr="006D66BF">
        <w:t>Acute Toxicity Test Results</w:t>
      </w:r>
    </w:p>
    <w:p w14:paraId="30FFE696" w14:textId="77777777" w:rsidR="00DC79C9" w:rsidRPr="006D66BF" w:rsidRDefault="00DC79C9" w:rsidP="00DC79C9">
      <w:pPr>
        <w:pStyle w:val="BodyText"/>
        <w:ind w:firstLineChars="50" w:firstLine="120"/>
        <w:rPr>
          <w:lang w:eastAsia="ja-JP"/>
        </w:rPr>
      </w:pPr>
      <w:r w:rsidRPr="006D66BF">
        <w:t xml:space="preserve">Acute </w:t>
      </w:r>
      <w:r w:rsidRPr="006D66BF">
        <w:rPr>
          <w:rFonts w:hint="eastAsia"/>
          <w:lang w:eastAsia="ja-JP"/>
        </w:rPr>
        <w:t xml:space="preserve">and prolonged </w:t>
      </w:r>
      <w:r w:rsidRPr="006D66BF">
        <w:t>toxicit</w:t>
      </w:r>
      <w:r w:rsidRPr="006D66BF">
        <w:rPr>
          <w:rFonts w:hint="eastAsia"/>
          <w:lang w:eastAsia="ja-JP"/>
        </w:rPr>
        <w:t>ies</w:t>
      </w:r>
      <w:r w:rsidRPr="006D66BF">
        <w:t xml:space="preserve"> of</w:t>
      </w:r>
      <w:r w:rsidRPr="006D66BF">
        <w:rPr>
          <w:rFonts w:hint="eastAsia"/>
          <w:lang w:eastAsia="ja-JP"/>
        </w:rPr>
        <w:t xml:space="preserve"> </w:t>
      </w:r>
      <w:r w:rsidRPr="006D66BF">
        <w:rPr>
          <w:rFonts w:eastAsia="MS-UIGothic"/>
          <w:szCs w:val="24"/>
          <w:lang w:val="en-US"/>
        </w:rPr>
        <w:t>1</w:t>
      </w:r>
      <w:proofErr w:type="gramStart"/>
      <w:r w:rsidRPr="006D66BF">
        <w:rPr>
          <w:rFonts w:eastAsia="MS-UIGothic"/>
          <w:szCs w:val="24"/>
          <w:lang w:val="en-US"/>
        </w:rPr>
        <w:t>,1,1</w:t>
      </w:r>
      <w:proofErr w:type="gramEnd"/>
      <w:r w:rsidRPr="006D66BF">
        <w:rPr>
          <w:rFonts w:eastAsia="MS-UIGothic"/>
          <w:szCs w:val="24"/>
          <w:lang w:val="en-US"/>
        </w:rPr>
        <w:t xml:space="preserve">-tris(hydroxymethyl)ethane </w:t>
      </w:r>
      <w:r w:rsidRPr="006D66BF">
        <w:t xml:space="preserve"> to aquatic species from three trophic levels </w:t>
      </w:r>
      <w:r w:rsidRPr="006D66BF">
        <w:rPr>
          <w:rFonts w:hint="eastAsia"/>
          <w:lang w:eastAsia="ja-JP"/>
        </w:rPr>
        <w:t>are available, and reliable</w:t>
      </w:r>
      <w:r w:rsidRPr="006D66BF">
        <w:t xml:space="preserve"> acute </w:t>
      </w:r>
      <w:r w:rsidRPr="006D66BF">
        <w:rPr>
          <w:rFonts w:hint="eastAsia"/>
          <w:lang w:eastAsia="ja-JP"/>
        </w:rPr>
        <w:t xml:space="preserve">aquatic </w:t>
      </w:r>
      <w:r w:rsidRPr="006D66BF">
        <w:t>toxicit</w:t>
      </w:r>
      <w:r w:rsidRPr="006D66BF">
        <w:rPr>
          <w:rFonts w:hint="eastAsia"/>
          <w:lang w:eastAsia="ja-JP"/>
        </w:rPr>
        <w:t>ies</w:t>
      </w:r>
      <w:r w:rsidRPr="006D66BF">
        <w:t xml:space="preserve"> are shown in Table </w:t>
      </w:r>
      <w:r w:rsidRPr="006D66BF">
        <w:rPr>
          <w:rFonts w:hint="eastAsia"/>
          <w:lang w:eastAsia="ja-JP"/>
        </w:rPr>
        <w:t>5</w:t>
      </w:r>
      <w:r w:rsidRPr="006D66BF">
        <w:t>.</w:t>
      </w:r>
      <w:r w:rsidRPr="006D66BF">
        <w:rPr>
          <w:rFonts w:hint="eastAsia"/>
          <w:lang w:eastAsia="ja-JP"/>
        </w:rPr>
        <w:t xml:space="preserve"> </w:t>
      </w:r>
      <w:r w:rsidRPr="006D66BF">
        <w:rPr>
          <w:rFonts w:hint="eastAsia"/>
        </w:rPr>
        <w:t xml:space="preserve">Acute toxicities for fish (species was not defined), daphnid and green algae were estimated by using the QSAR toolbox </w:t>
      </w:r>
      <w:proofErr w:type="gramStart"/>
      <w:r w:rsidRPr="006D66BF">
        <w:rPr>
          <w:rFonts w:hint="eastAsia"/>
        </w:rPr>
        <w:t>software(</w:t>
      </w:r>
      <w:proofErr w:type="gramEnd"/>
      <w:r w:rsidRPr="006D66BF">
        <w:rPr>
          <w:rFonts w:hint="eastAsia"/>
        </w:rPr>
        <w:t xml:space="preserve">Version 2.1). The results were </w:t>
      </w:r>
      <w:r w:rsidRPr="006D66BF">
        <w:rPr>
          <w:rFonts w:hint="eastAsia"/>
          <w:lang w:eastAsia="ja-JP"/>
        </w:rPr>
        <w:t xml:space="preserve">also </w:t>
      </w:r>
      <w:r w:rsidRPr="006D66BF">
        <w:rPr>
          <w:rFonts w:hint="eastAsia"/>
        </w:rPr>
        <w:t xml:space="preserve">shown in Table </w:t>
      </w:r>
      <w:r w:rsidRPr="006D66BF">
        <w:rPr>
          <w:rFonts w:hint="eastAsia"/>
          <w:lang w:eastAsia="ja-JP"/>
        </w:rPr>
        <w:t>5</w:t>
      </w:r>
      <w:r w:rsidRPr="006D66BF">
        <w:rPr>
          <w:rFonts w:hint="eastAsia"/>
        </w:rPr>
        <w:t>.</w:t>
      </w:r>
    </w:p>
    <w:p w14:paraId="30FFE697" w14:textId="77777777" w:rsidR="00DC79C9" w:rsidRPr="006D66BF" w:rsidRDefault="00DC79C9" w:rsidP="00DC79C9">
      <w:pPr>
        <w:pStyle w:val="Caption"/>
        <w:rPr>
          <w:szCs w:val="24"/>
          <w:lang w:eastAsia="ja-JP"/>
        </w:rPr>
      </w:pPr>
      <w:bookmarkStart w:id="153" w:name="_Toc171146115"/>
      <w:bookmarkStart w:id="154" w:name="_Toc171146835"/>
      <w:bookmarkStart w:id="155" w:name="_Toc219626904"/>
      <w:bookmarkStart w:id="156" w:name="_Toc251056025"/>
      <w:bookmarkStart w:id="157" w:name="_Toc282509943"/>
      <w:bookmarkStart w:id="158" w:name="_Toc297298010"/>
      <w:r>
        <w:t xml:space="preserve">Table </w:t>
      </w:r>
      <w:fldSimple w:instr=" SEQ Table \* ARABIC ">
        <w:r>
          <w:rPr>
            <w:noProof/>
          </w:rPr>
          <w:t>4</w:t>
        </w:r>
      </w:fldSimple>
      <w:r>
        <w:rPr>
          <w:rFonts w:hint="eastAsia"/>
          <w:lang w:eastAsia="ja-JP"/>
        </w:rPr>
        <w:t xml:space="preserve"> </w:t>
      </w:r>
      <w:r w:rsidRPr="006D66BF">
        <w:t xml:space="preserve">Acute </w:t>
      </w:r>
      <w:r w:rsidRPr="006D66BF">
        <w:rPr>
          <w:rFonts w:hint="eastAsia"/>
          <w:lang w:eastAsia="ja-JP"/>
        </w:rPr>
        <w:t xml:space="preserve">and prolonged </w:t>
      </w:r>
      <w:r w:rsidRPr="006D66BF">
        <w:t xml:space="preserve">toxicity of </w:t>
      </w:r>
      <w:r w:rsidRPr="006D66BF">
        <w:rPr>
          <w:rFonts w:ascii="Times New Roman" w:eastAsia="MS-UIGothic" w:hAnsi="Times New Roman"/>
          <w:szCs w:val="24"/>
        </w:rPr>
        <w:t>1</w:t>
      </w:r>
      <w:proofErr w:type="gramStart"/>
      <w:r w:rsidRPr="006D66BF">
        <w:rPr>
          <w:rFonts w:ascii="Times New Roman" w:eastAsia="MS-UIGothic" w:hAnsi="Times New Roman"/>
          <w:szCs w:val="24"/>
        </w:rPr>
        <w:t>,1,1</w:t>
      </w:r>
      <w:proofErr w:type="gramEnd"/>
      <w:r w:rsidRPr="006D66BF">
        <w:rPr>
          <w:rFonts w:ascii="Times New Roman" w:eastAsia="MS-UIGothic" w:hAnsi="Times New Roman"/>
          <w:szCs w:val="24"/>
        </w:rPr>
        <w:t xml:space="preserve">-tris(hydroxymethyl)ethane </w:t>
      </w:r>
      <w:r w:rsidRPr="006D66BF">
        <w:rPr>
          <w:rFonts w:ascii="Times New Roman" w:eastAsia="MS-UIGothic" w:hAnsi="Times New Roman" w:hint="eastAsia"/>
          <w:szCs w:val="24"/>
          <w:lang w:eastAsia="ja-JP"/>
        </w:rPr>
        <w:t xml:space="preserve"> </w:t>
      </w:r>
      <w:r w:rsidRPr="006D66BF">
        <w:t>to aquatic organisms</w:t>
      </w:r>
      <w:bookmarkEnd w:id="153"/>
      <w:bookmarkEnd w:id="154"/>
      <w:bookmarkEnd w:id="155"/>
      <w:bookmarkEnd w:id="156"/>
      <w:bookmarkEnd w:id="157"/>
      <w:r w:rsidRPr="006D66BF">
        <w:rPr>
          <w:rFonts w:hint="eastAsia"/>
          <w:lang w:eastAsia="ja-JP"/>
        </w:rPr>
        <w:t>, experimental and estimated values</w:t>
      </w:r>
      <w:bookmarkEnd w:id="158"/>
    </w:p>
    <w:tbl>
      <w:tblPr>
        <w:tblW w:w="8657" w:type="dxa"/>
        <w:tblInd w:w="89"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CellMar>
          <w:left w:w="99" w:type="dxa"/>
          <w:right w:w="99" w:type="dxa"/>
        </w:tblCellMar>
        <w:tblLook w:val="0000" w:firstRow="0" w:lastRow="0" w:firstColumn="0" w:lastColumn="0" w:noHBand="0" w:noVBand="0"/>
      </w:tblPr>
      <w:tblGrid>
        <w:gridCol w:w="1995"/>
        <w:gridCol w:w="1417"/>
        <w:gridCol w:w="1276"/>
        <w:gridCol w:w="1843"/>
        <w:gridCol w:w="709"/>
        <w:gridCol w:w="1417"/>
      </w:tblGrid>
      <w:tr w:rsidR="00DC79C9" w:rsidRPr="006D66BF" w14:paraId="30FFE69E" w14:textId="77777777" w:rsidTr="00280EFA">
        <w:trPr>
          <w:trHeight w:val="315"/>
        </w:trPr>
        <w:tc>
          <w:tcPr>
            <w:tcW w:w="1995" w:type="dxa"/>
            <w:tcBorders>
              <w:top w:val="single" w:sz="12" w:space="0" w:color="000000" w:themeColor="text1"/>
              <w:bottom w:val="single" w:sz="12" w:space="0" w:color="000000" w:themeColor="text1"/>
            </w:tcBorders>
            <w:shd w:val="clear" w:color="auto" w:fill="auto"/>
          </w:tcPr>
          <w:p w14:paraId="30FFE698" w14:textId="77777777" w:rsidR="00DC79C9" w:rsidRPr="006D66BF" w:rsidRDefault="00DC79C9" w:rsidP="00B13216">
            <w:pPr>
              <w:rPr>
                <w:rFonts w:eastAsia="MS PGothic"/>
              </w:rPr>
            </w:pPr>
            <w:r w:rsidRPr="006D66BF">
              <w:rPr>
                <w:rFonts w:eastAsia="MS PGothic"/>
              </w:rPr>
              <w:t>Species</w:t>
            </w:r>
          </w:p>
        </w:tc>
        <w:tc>
          <w:tcPr>
            <w:tcW w:w="1417" w:type="dxa"/>
            <w:tcBorders>
              <w:top w:val="single" w:sz="12" w:space="0" w:color="000000" w:themeColor="text1"/>
              <w:bottom w:val="single" w:sz="12" w:space="0" w:color="000000" w:themeColor="text1"/>
            </w:tcBorders>
            <w:shd w:val="clear" w:color="auto" w:fill="auto"/>
          </w:tcPr>
          <w:p w14:paraId="30FFE699" w14:textId="77777777" w:rsidR="00DC79C9" w:rsidRPr="006D66BF" w:rsidRDefault="00DC79C9" w:rsidP="00B13216">
            <w:pPr>
              <w:rPr>
                <w:rFonts w:eastAsia="MS PGothic"/>
              </w:rPr>
            </w:pPr>
            <w:r w:rsidRPr="006D66BF">
              <w:rPr>
                <w:rFonts w:eastAsia="MS PGothic"/>
              </w:rPr>
              <w:t>Method</w:t>
            </w:r>
          </w:p>
        </w:tc>
        <w:tc>
          <w:tcPr>
            <w:tcW w:w="1276" w:type="dxa"/>
            <w:tcBorders>
              <w:top w:val="single" w:sz="12" w:space="0" w:color="000000" w:themeColor="text1"/>
              <w:bottom w:val="single" w:sz="12" w:space="0" w:color="000000" w:themeColor="text1"/>
            </w:tcBorders>
            <w:shd w:val="clear" w:color="auto" w:fill="auto"/>
          </w:tcPr>
          <w:p w14:paraId="30FFE69A" w14:textId="77777777" w:rsidR="00DC79C9" w:rsidRPr="006D66BF" w:rsidRDefault="00DC79C9" w:rsidP="00B13216">
            <w:pPr>
              <w:rPr>
                <w:rFonts w:eastAsia="MS PGothic"/>
              </w:rPr>
            </w:pPr>
            <w:r w:rsidRPr="006D66BF">
              <w:rPr>
                <w:rFonts w:eastAsia="MS PGothic"/>
              </w:rPr>
              <w:t>Exposure</w:t>
            </w:r>
          </w:p>
        </w:tc>
        <w:tc>
          <w:tcPr>
            <w:tcW w:w="1843" w:type="dxa"/>
            <w:tcBorders>
              <w:top w:val="single" w:sz="12" w:space="0" w:color="000000" w:themeColor="text1"/>
              <w:bottom w:val="single" w:sz="12" w:space="0" w:color="000000" w:themeColor="text1"/>
            </w:tcBorders>
            <w:shd w:val="clear" w:color="auto" w:fill="auto"/>
          </w:tcPr>
          <w:p w14:paraId="30FFE69B" w14:textId="77777777" w:rsidR="00DC79C9" w:rsidRPr="006D66BF" w:rsidRDefault="00DC79C9" w:rsidP="00B13216">
            <w:pPr>
              <w:rPr>
                <w:rFonts w:eastAsia="MS PGothic"/>
              </w:rPr>
            </w:pPr>
            <w:r w:rsidRPr="006D66BF">
              <w:rPr>
                <w:rFonts w:eastAsia="MS PGothic"/>
              </w:rPr>
              <w:t>Result</w:t>
            </w:r>
          </w:p>
        </w:tc>
        <w:tc>
          <w:tcPr>
            <w:tcW w:w="709" w:type="dxa"/>
            <w:tcBorders>
              <w:top w:val="single" w:sz="12" w:space="0" w:color="000000" w:themeColor="text1"/>
              <w:bottom w:val="single" w:sz="12" w:space="0" w:color="000000" w:themeColor="text1"/>
            </w:tcBorders>
            <w:shd w:val="clear" w:color="auto" w:fill="auto"/>
          </w:tcPr>
          <w:p w14:paraId="30FFE69C" w14:textId="77777777" w:rsidR="00DC79C9" w:rsidRPr="006D66BF" w:rsidRDefault="00DC79C9" w:rsidP="00B13216">
            <w:pPr>
              <w:rPr>
                <w:rFonts w:eastAsia="MS PGothic"/>
              </w:rPr>
            </w:pPr>
            <w:r w:rsidRPr="006D66BF">
              <w:rPr>
                <w:rFonts w:eastAsia="MS PGothic"/>
              </w:rPr>
              <w:t>Reliability</w:t>
            </w:r>
          </w:p>
        </w:tc>
        <w:tc>
          <w:tcPr>
            <w:tcW w:w="1417" w:type="dxa"/>
            <w:tcBorders>
              <w:top w:val="single" w:sz="12" w:space="0" w:color="000000" w:themeColor="text1"/>
              <w:bottom w:val="single" w:sz="12" w:space="0" w:color="000000" w:themeColor="text1"/>
            </w:tcBorders>
            <w:shd w:val="clear" w:color="auto" w:fill="auto"/>
          </w:tcPr>
          <w:p w14:paraId="30FFE69D" w14:textId="77777777" w:rsidR="00DC79C9" w:rsidRPr="006D66BF" w:rsidRDefault="00DC79C9" w:rsidP="00B13216">
            <w:pPr>
              <w:rPr>
                <w:rFonts w:eastAsia="MS PGothic"/>
              </w:rPr>
            </w:pPr>
            <w:r w:rsidRPr="006D66BF">
              <w:rPr>
                <w:rFonts w:eastAsia="MS PGothic"/>
              </w:rPr>
              <w:t>Reference</w:t>
            </w:r>
          </w:p>
        </w:tc>
      </w:tr>
      <w:tr w:rsidR="00DC79C9" w:rsidRPr="006D66BF" w14:paraId="30FFE6A5" w14:textId="77777777" w:rsidTr="00280EFA">
        <w:trPr>
          <w:trHeight w:val="315"/>
        </w:trPr>
        <w:tc>
          <w:tcPr>
            <w:tcW w:w="1995" w:type="dxa"/>
            <w:tcBorders>
              <w:top w:val="single" w:sz="12" w:space="0" w:color="000000" w:themeColor="text1"/>
            </w:tcBorders>
            <w:shd w:val="clear" w:color="auto" w:fill="auto"/>
          </w:tcPr>
          <w:p w14:paraId="30FFE69F" w14:textId="77777777" w:rsidR="00DC79C9" w:rsidRPr="006D66BF" w:rsidRDefault="00DC79C9" w:rsidP="00B13216">
            <w:pPr>
              <w:rPr>
                <w:rFonts w:eastAsia="MS PGothic"/>
                <w:i/>
              </w:rPr>
            </w:pPr>
            <w:r w:rsidRPr="006D66BF">
              <w:rPr>
                <w:rFonts w:eastAsia="MS PGothic"/>
                <w:i/>
              </w:rPr>
              <w:t>Oryzias latipes</w:t>
            </w:r>
          </w:p>
        </w:tc>
        <w:tc>
          <w:tcPr>
            <w:tcW w:w="1417" w:type="dxa"/>
            <w:tcBorders>
              <w:top w:val="single" w:sz="12" w:space="0" w:color="000000" w:themeColor="text1"/>
            </w:tcBorders>
            <w:shd w:val="clear" w:color="auto" w:fill="auto"/>
          </w:tcPr>
          <w:p w14:paraId="30FFE6A0" w14:textId="77777777" w:rsidR="00DC79C9" w:rsidRPr="006D66BF" w:rsidRDefault="00DC79C9" w:rsidP="00B13216">
            <w:pPr>
              <w:rPr>
                <w:rFonts w:eastAsia="MS PGothic"/>
              </w:rPr>
            </w:pPr>
            <w:r w:rsidRPr="006D66BF">
              <w:rPr>
                <w:rFonts w:eastAsia="MS PGothic"/>
              </w:rPr>
              <w:t>OECD TG 203</w:t>
            </w:r>
            <w:r w:rsidRPr="006D66BF">
              <w:rPr>
                <w:rFonts w:eastAsia="MS PGothic" w:hint="eastAsia"/>
              </w:rPr>
              <w:t>-</w:t>
            </w:r>
            <w:r w:rsidRPr="006D66BF">
              <w:rPr>
                <w:rFonts w:eastAsia="MS PGothic"/>
              </w:rPr>
              <w:t xml:space="preserve"> </w:t>
            </w:r>
            <w:r w:rsidRPr="006D66BF">
              <w:rPr>
                <w:rFonts w:eastAsia="MS PGothic" w:hint="eastAsia"/>
              </w:rPr>
              <w:t xml:space="preserve">Limit test, </w:t>
            </w:r>
            <w:r w:rsidRPr="006D66BF">
              <w:rPr>
                <w:rFonts w:eastAsia="MS PGothic"/>
              </w:rPr>
              <w:t>GLP</w:t>
            </w:r>
          </w:p>
        </w:tc>
        <w:tc>
          <w:tcPr>
            <w:tcW w:w="1276" w:type="dxa"/>
            <w:tcBorders>
              <w:top w:val="single" w:sz="12" w:space="0" w:color="000000" w:themeColor="text1"/>
            </w:tcBorders>
            <w:shd w:val="clear" w:color="auto" w:fill="auto"/>
          </w:tcPr>
          <w:p w14:paraId="30FFE6A1" w14:textId="77777777" w:rsidR="00DC79C9" w:rsidRPr="006D66BF" w:rsidRDefault="00DC79C9" w:rsidP="00B13216">
            <w:pPr>
              <w:rPr>
                <w:rFonts w:eastAsia="MS PGothic"/>
              </w:rPr>
            </w:pPr>
            <w:r w:rsidRPr="006D66BF">
              <w:rPr>
                <w:rFonts w:eastAsia="MS PGothic"/>
              </w:rPr>
              <w:t xml:space="preserve">96 h </w:t>
            </w:r>
            <w:r w:rsidRPr="006D66BF">
              <w:rPr>
                <w:rFonts w:eastAsia="MS PGothic" w:hint="eastAsia"/>
              </w:rPr>
              <w:t>semi-static</w:t>
            </w:r>
          </w:p>
        </w:tc>
        <w:tc>
          <w:tcPr>
            <w:tcW w:w="1843" w:type="dxa"/>
            <w:tcBorders>
              <w:top w:val="single" w:sz="12" w:space="0" w:color="000000" w:themeColor="text1"/>
            </w:tcBorders>
            <w:shd w:val="clear" w:color="auto" w:fill="auto"/>
          </w:tcPr>
          <w:p w14:paraId="30FFE6A2" w14:textId="77777777" w:rsidR="00DC79C9" w:rsidRPr="006D66BF" w:rsidRDefault="00DC79C9" w:rsidP="00B13216">
            <w:pPr>
              <w:rPr>
                <w:rFonts w:eastAsia="MS PGothic"/>
              </w:rPr>
            </w:pPr>
            <w:r w:rsidRPr="006D66BF">
              <w:rPr>
                <w:rFonts w:eastAsia="MS PGothic"/>
              </w:rPr>
              <w:t>LC</w:t>
            </w:r>
            <w:r w:rsidRPr="006D66BF">
              <w:rPr>
                <w:rFonts w:eastAsia="MS PGothic"/>
                <w:vertAlign w:val="subscript"/>
              </w:rPr>
              <w:t>50</w:t>
            </w:r>
            <w:r w:rsidRPr="006D66BF">
              <w:rPr>
                <w:rFonts w:eastAsia="MS PGothic"/>
              </w:rPr>
              <w:t xml:space="preserve"> </w:t>
            </w:r>
            <w:r w:rsidRPr="006D66BF">
              <w:rPr>
                <w:rFonts w:eastAsia="MS PGothic" w:hint="eastAsia"/>
              </w:rPr>
              <w:t xml:space="preserve">&gt;100 </w:t>
            </w:r>
            <w:r w:rsidRPr="006D66BF">
              <w:rPr>
                <w:rFonts w:eastAsia="MS PGothic"/>
              </w:rPr>
              <w:t xml:space="preserve"> mg/L  (</w:t>
            </w:r>
            <w:r w:rsidRPr="006D66BF">
              <w:rPr>
                <w:rFonts w:eastAsia="MS PGothic" w:hint="eastAsia"/>
              </w:rPr>
              <w:t>nominal</w:t>
            </w:r>
            <w:r w:rsidRPr="006D66BF">
              <w:rPr>
                <w:rFonts w:eastAsia="MS PGothic"/>
              </w:rPr>
              <w:t>)</w:t>
            </w:r>
          </w:p>
        </w:tc>
        <w:tc>
          <w:tcPr>
            <w:tcW w:w="709" w:type="dxa"/>
            <w:tcBorders>
              <w:top w:val="single" w:sz="12" w:space="0" w:color="000000" w:themeColor="text1"/>
            </w:tcBorders>
            <w:shd w:val="clear" w:color="auto" w:fill="auto"/>
          </w:tcPr>
          <w:p w14:paraId="30FFE6A3" w14:textId="77777777" w:rsidR="00DC79C9" w:rsidRPr="006D66BF" w:rsidRDefault="00DC79C9" w:rsidP="00B13216">
            <w:pPr>
              <w:jc w:val="center"/>
              <w:rPr>
                <w:rFonts w:eastAsia="MS PGothic"/>
              </w:rPr>
            </w:pPr>
            <w:r w:rsidRPr="006D66BF">
              <w:rPr>
                <w:rFonts w:eastAsia="MS PGothic" w:hint="eastAsia"/>
              </w:rPr>
              <w:t>1</w:t>
            </w:r>
          </w:p>
        </w:tc>
        <w:tc>
          <w:tcPr>
            <w:tcW w:w="1417" w:type="dxa"/>
            <w:tcBorders>
              <w:top w:val="single" w:sz="12" w:space="0" w:color="000000" w:themeColor="text1"/>
            </w:tcBorders>
            <w:shd w:val="clear" w:color="auto" w:fill="auto"/>
          </w:tcPr>
          <w:p w14:paraId="30FFE6A4" w14:textId="77777777" w:rsidR="00DC79C9" w:rsidRPr="006D66BF" w:rsidRDefault="00DC79C9" w:rsidP="00B13216">
            <w:pPr>
              <w:rPr>
                <w:rFonts w:eastAsia="MS PGothic"/>
              </w:rPr>
            </w:pPr>
            <w:r w:rsidRPr="006D66BF">
              <w:rPr>
                <w:rFonts w:eastAsia="MS PGothic"/>
              </w:rPr>
              <w:t xml:space="preserve">MOE, </w:t>
            </w:r>
            <w:smartTag w:uri="urn:schemas-microsoft-com:office:smarttags" w:element="country-region">
              <w:smartTag w:uri="urn:schemas-microsoft-com:office:smarttags" w:element="place">
                <w:r w:rsidRPr="006D66BF">
                  <w:rPr>
                    <w:rFonts w:eastAsia="MS PGothic"/>
                  </w:rPr>
                  <w:t>Japan</w:t>
                </w:r>
              </w:smartTag>
            </w:smartTag>
            <w:r w:rsidRPr="006D66BF">
              <w:rPr>
                <w:rFonts w:eastAsia="MS PGothic"/>
              </w:rPr>
              <w:t xml:space="preserve"> (</w:t>
            </w:r>
            <w:r w:rsidRPr="006D66BF">
              <w:rPr>
                <w:rFonts w:eastAsia="MS PGothic" w:hint="eastAsia"/>
              </w:rPr>
              <w:t>1998</w:t>
            </w:r>
            <w:r w:rsidRPr="006D66BF">
              <w:rPr>
                <w:rFonts w:eastAsia="MS PGothic"/>
              </w:rPr>
              <w:t>)</w:t>
            </w:r>
          </w:p>
        </w:tc>
      </w:tr>
      <w:tr w:rsidR="00DC79C9" w:rsidRPr="006D66BF" w14:paraId="30FFE6AC" w14:textId="77777777" w:rsidTr="00280EFA">
        <w:trPr>
          <w:trHeight w:val="315"/>
        </w:trPr>
        <w:tc>
          <w:tcPr>
            <w:tcW w:w="1995" w:type="dxa"/>
            <w:shd w:val="clear" w:color="auto" w:fill="auto"/>
          </w:tcPr>
          <w:p w14:paraId="30FFE6A6" w14:textId="77777777" w:rsidR="00DC79C9" w:rsidRPr="006D66BF" w:rsidRDefault="00DC79C9" w:rsidP="00B13216">
            <w:pPr>
              <w:rPr>
                <w:rFonts w:eastAsia="MS PGothic"/>
              </w:rPr>
            </w:pPr>
            <w:r w:rsidRPr="006D66BF">
              <w:rPr>
                <w:rFonts w:eastAsia="MS PGothic" w:hint="eastAsia"/>
              </w:rPr>
              <w:t>Fish</w:t>
            </w:r>
          </w:p>
        </w:tc>
        <w:tc>
          <w:tcPr>
            <w:tcW w:w="1417" w:type="dxa"/>
            <w:shd w:val="clear" w:color="auto" w:fill="auto"/>
          </w:tcPr>
          <w:p w14:paraId="30FFE6A7" w14:textId="77777777" w:rsidR="00DC79C9" w:rsidRPr="006D66BF" w:rsidRDefault="00DC79C9" w:rsidP="00B13216">
            <w:pPr>
              <w:rPr>
                <w:rFonts w:eastAsia="MS PGothic"/>
              </w:rPr>
            </w:pPr>
            <w:r w:rsidRPr="006D66BF">
              <w:rPr>
                <w:rFonts w:eastAsia="MS PGothic" w:hint="eastAsia"/>
              </w:rPr>
              <w:t>QSAR prediction</w:t>
            </w:r>
          </w:p>
        </w:tc>
        <w:tc>
          <w:tcPr>
            <w:tcW w:w="1276" w:type="dxa"/>
            <w:shd w:val="clear" w:color="auto" w:fill="auto"/>
          </w:tcPr>
          <w:p w14:paraId="30FFE6A8" w14:textId="77777777" w:rsidR="00DC79C9" w:rsidRPr="006D66BF" w:rsidRDefault="00DC79C9" w:rsidP="00B13216">
            <w:pPr>
              <w:rPr>
                <w:rFonts w:eastAsia="MS PGothic"/>
              </w:rPr>
            </w:pPr>
            <w:r w:rsidRPr="006D66BF">
              <w:rPr>
                <w:rFonts w:eastAsia="MS PGothic"/>
              </w:rPr>
              <w:t>96 h</w:t>
            </w:r>
          </w:p>
        </w:tc>
        <w:tc>
          <w:tcPr>
            <w:tcW w:w="1843" w:type="dxa"/>
            <w:shd w:val="clear" w:color="auto" w:fill="auto"/>
          </w:tcPr>
          <w:p w14:paraId="30FFE6A9" w14:textId="77777777" w:rsidR="00DC79C9" w:rsidRPr="006D66BF" w:rsidRDefault="00DC79C9" w:rsidP="00B13216">
            <w:pPr>
              <w:rPr>
                <w:rFonts w:eastAsia="MS PGothic"/>
              </w:rPr>
            </w:pPr>
            <w:r w:rsidRPr="006D66BF">
              <w:rPr>
                <w:rFonts w:eastAsia="MS PGothic"/>
              </w:rPr>
              <w:t>LC</w:t>
            </w:r>
            <w:r w:rsidRPr="006D66BF">
              <w:rPr>
                <w:rFonts w:eastAsia="MS PGothic"/>
                <w:vertAlign w:val="subscript"/>
              </w:rPr>
              <w:t>50</w:t>
            </w:r>
            <w:r w:rsidRPr="006D66BF">
              <w:rPr>
                <w:rFonts w:eastAsia="MS PGothic"/>
              </w:rPr>
              <w:t>=1</w:t>
            </w:r>
            <w:r w:rsidRPr="006D66BF">
              <w:rPr>
                <w:rFonts w:eastAsia="MS PGothic" w:hint="eastAsia"/>
              </w:rPr>
              <w:t>0,400</w:t>
            </w:r>
            <w:r w:rsidRPr="006D66BF">
              <w:rPr>
                <w:rFonts w:eastAsia="MS PGothic"/>
              </w:rPr>
              <w:t xml:space="preserve"> mg/L</w:t>
            </w:r>
          </w:p>
        </w:tc>
        <w:tc>
          <w:tcPr>
            <w:tcW w:w="709" w:type="dxa"/>
            <w:shd w:val="clear" w:color="auto" w:fill="auto"/>
          </w:tcPr>
          <w:p w14:paraId="30FFE6AA" w14:textId="77777777" w:rsidR="00DC79C9" w:rsidRPr="006D66BF" w:rsidRDefault="00DC79C9" w:rsidP="00B13216">
            <w:pPr>
              <w:jc w:val="center"/>
              <w:rPr>
                <w:rFonts w:eastAsia="MS PGothic"/>
              </w:rPr>
            </w:pPr>
          </w:p>
        </w:tc>
        <w:tc>
          <w:tcPr>
            <w:tcW w:w="1417" w:type="dxa"/>
            <w:shd w:val="clear" w:color="auto" w:fill="auto"/>
          </w:tcPr>
          <w:p w14:paraId="30FFE6AB" w14:textId="77777777" w:rsidR="00DC79C9" w:rsidRPr="006D66BF" w:rsidRDefault="00DC79C9" w:rsidP="00B13216">
            <w:pPr>
              <w:jc w:val="center"/>
              <w:rPr>
                <w:rFonts w:eastAsia="MS PGothic"/>
              </w:rPr>
            </w:pPr>
          </w:p>
        </w:tc>
      </w:tr>
      <w:tr w:rsidR="00DC79C9" w:rsidRPr="006D66BF" w14:paraId="30FFE6B6" w14:textId="77777777" w:rsidTr="00280EFA">
        <w:trPr>
          <w:trHeight w:val="315"/>
        </w:trPr>
        <w:tc>
          <w:tcPr>
            <w:tcW w:w="1995" w:type="dxa"/>
            <w:shd w:val="clear" w:color="auto" w:fill="auto"/>
          </w:tcPr>
          <w:p w14:paraId="30FFE6AD" w14:textId="77777777" w:rsidR="00DC79C9" w:rsidRPr="006D66BF" w:rsidRDefault="00DC79C9" w:rsidP="00B13216">
            <w:pPr>
              <w:rPr>
                <w:rFonts w:eastAsia="MS PGothic"/>
                <w:i/>
              </w:rPr>
            </w:pPr>
            <w:r w:rsidRPr="006D66BF">
              <w:rPr>
                <w:rFonts w:eastAsia="MS PGothic"/>
                <w:i/>
              </w:rPr>
              <w:t>Oryzias latipes</w:t>
            </w:r>
          </w:p>
        </w:tc>
        <w:tc>
          <w:tcPr>
            <w:tcW w:w="1417" w:type="dxa"/>
            <w:shd w:val="clear" w:color="auto" w:fill="auto"/>
          </w:tcPr>
          <w:p w14:paraId="30FFE6AE" w14:textId="77777777" w:rsidR="00DC79C9" w:rsidRPr="006D66BF" w:rsidRDefault="00DC79C9" w:rsidP="00B13216">
            <w:pPr>
              <w:rPr>
                <w:rFonts w:eastAsia="MS PGothic"/>
              </w:rPr>
            </w:pPr>
            <w:r w:rsidRPr="006D66BF">
              <w:rPr>
                <w:rFonts w:eastAsia="MS PGothic"/>
              </w:rPr>
              <w:t>OECD TG 20</w:t>
            </w:r>
            <w:r w:rsidRPr="006D66BF">
              <w:rPr>
                <w:rFonts w:eastAsia="MS PGothic" w:hint="eastAsia"/>
              </w:rPr>
              <w:t>4-</w:t>
            </w:r>
            <w:r w:rsidRPr="006D66BF">
              <w:rPr>
                <w:rFonts w:eastAsia="MS PGothic"/>
              </w:rPr>
              <w:t xml:space="preserve"> </w:t>
            </w:r>
            <w:r w:rsidRPr="006D66BF">
              <w:rPr>
                <w:rFonts w:eastAsia="MS PGothic" w:hint="eastAsia"/>
              </w:rPr>
              <w:t xml:space="preserve">Limit test, </w:t>
            </w:r>
            <w:r w:rsidRPr="006D66BF">
              <w:rPr>
                <w:rFonts w:eastAsia="MS PGothic"/>
              </w:rPr>
              <w:t>GLP</w:t>
            </w:r>
          </w:p>
        </w:tc>
        <w:tc>
          <w:tcPr>
            <w:tcW w:w="1276" w:type="dxa"/>
            <w:shd w:val="clear" w:color="auto" w:fill="auto"/>
          </w:tcPr>
          <w:p w14:paraId="30FFE6AF" w14:textId="77777777" w:rsidR="00DC79C9" w:rsidRPr="006D66BF" w:rsidRDefault="00DC79C9" w:rsidP="00B13216">
            <w:pPr>
              <w:rPr>
                <w:rFonts w:eastAsia="MS PGothic"/>
              </w:rPr>
            </w:pPr>
            <w:r w:rsidRPr="006D66BF">
              <w:rPr>
                <w:rFonts w:eastAsia="MS PGothic" w:hint="eastAsia"/>
              </w:rPr>
              <w:t>14 days</w:t>
            </w:r>
          </w:p>
          <w:p w14:paraId="30FFE6B0" w14:textId="77777777" w:rsidR="00DC79C9" w:rsidRPr="006D66BF" w:rsidRDefault="00DC79C9" w:rsidP="00B13216">
            <w:pPr>
              <w:rPr>
                <w:rFonts w:eastAsia="MS PGothic"/>
              </w:rPr>
            </w:pPr>
            <w:r w:rsidRPr="006D66BF">
              <w:rPr>
                <w:rFonts w:eastAsia="MS PGothic" w:hint="eastAsia"/>
              </w:rPr>
              <w:t>flow-through</w:t>
            </w:r>
          </w:p>
        </w:tc>
        <w:tc>
          <w:tcPr>
            <w:tcW w:w="1843" w:type="dxa"/>
            <w:shd w:val="clear" w:color="auto" w:fill="auto"/>
          </w:tcPr>
          <w:p w14:paraId="30FFE6B1" w14:textId="77777777" w:rsidR="00DC79C9" w:rsidRPr="006D66BF" w:rsidRDefault="00DC79C9" w:rsidP="00B13216">
            <w:pPr>
              <w:rPr>
                <w:rFonts w:eastAsia="MS PGothic"/>
              </w:rPr>
            </w:pPr>
            <w:r w:rsidRPr="006D66BF">
              <w:rPr>
                <w:rFonts w:eastAsia="MS PGothic" w:hint="eastAsia"/>
              </w:rPr>
              <w:t>LC</w:t>
            </w:r>
            <w:r w:rsidRPr="006D66BF">
              <w:rPr>
                <w:rFonts w:eastAsia="MS PGothic"/>
                <w:vertAlign w:val="subscript"/>
              </w:rPr>
              <w:t>50</w:t>
            </w:r>
            <w:r w:rsidRPr="006D66BF">
              <w:rPr>
                <w:rFonts w:eastAsia="MS PGothic" w:hint="eastAsia"/>
              </w:rPr>
              <w:t xml:space="preserve"> &gt; 99.8 mg/L</w:t>
            </w:r>
          </w:p>
          <w:p w14:paraId="30FFE6B2" w14:textId="77777777" w:rsidR="00DC79C9" w:rsidRPr="006D66BF" w:rsidRDefault="00DC79C9" w:rsidP="00B13216">
            <w:pPr>
              <w:rPr>
                <w:rFonts w:eastAsia="MS PGothic"/>
              </w:rPr>
            </w:pPr>
            <w:r w:rsidRPr="006D66BF">
              <w:rPr>
                <w:rFonts w:eastAsia="MS PGothic" w:hint="eastAsia"/>
              </w:rPr>
              <w:t>NOEC &gt;99.8 mg/L</w:t>
            </w:r>
          </w:p>
          <w:p w14:paraId="30FFE6B3" w14:textId="77777777" w:rsidR="00DC79C9" w:rsidRPr="006D66BF" w:rsidRDefault="00DC79C9" w:rsidP="00B13216">
            <w:pPr>
              <w:rPr>
                <w:rFonts w:eastAsia="MS PGothic"/>
              </w:rPr>
            </w:pPr>
            <w:r w:rsidRPr="006D66BF">
              <w:rPr>
                <w:rFonts w:eastAsia="MS PGothic" w:hint="eastAsia"/>
              </w:rPr>
              <w:t>(nominal )</w:t>
            </w:r>
          </w:p>
        </w:tc>
        <w:tc>
          <w:tcPr>
            <w:tcW w:w="709" w:type="dxa"/>
            <w:shd w:val="clear" w:color="auto" w:fill="auto"/>
          </w:tcPr>
          <w:p w14:paraId="30FFE6B4" w14:textId="77777777" w:rsidR="00DC79C9" w:rsidRPr="006D66BF" w:rsidRDefault="00DC79C9" w:rsidP="00B13216">
            <w:pPr>
              <w:jc w:val="center"/>
              <w:rPr>
                <w:rFonts w:eastAsia="MS PGothic"/>
              </w:rPr>
            </w:pPr>
            <w:r w:rsidRPr="006D66BF">
              <w:rPr>
                <w:rFonts w:eastAsia="MS PGothic" w:hint="eastAsia"/>
              </w:rPr>
              <w:t>1</w:t>
            </w:r>
          </w:p>
        </w:tc>
        <w:tc>
          <w:tcPr>
            <w:tcW w:w="1417" w:type="dxa"/>
            <w:shd w:val="clear" w:color="auto" w:fill="auto"/>
          </w:tcPr>
          <w:p w14:paraId="30FFE6B5" w14:textId="77777777" w:rsidR="00DC79C9" w:rsidRPr="006D66BF" w:rsidRDefault="00DC79C9" w:rsidP="00B13216">
            <w:pPr>
              <w:rPr>
                <w:rFonts w:eastAsia="MS PGothic"/>
              </w:rPr>
            </w:pPr>
            <w:r w:rsidRPr="006D66BF">
              <w:rPr>
                <w:rFonts w:eastAsia="MS PGothic"/>
              </w:rPr>
              <w:t xml:space="preserve">MOE, </w:t>
            </w:r>
            <w:smartTag w:uri="urn:schemas-microsoft-com:office:smarttags" w:element="country-region">
              <w:smartTag w:uri="urn:schemas-microsoft-com:office:smarttags" w:element="place">
                <w:r w:rsidRPr="006D66BF">
                  <w:rPr>
                    <w:rFonts w:eastAsia="MS PGothic"/>
                  </w:rPr>
                  <w:t>Japan</w:t>
                </w:r>
              </w:smartTag>
            </w:smartTag>
            <w:r w:rsidRPr="006D66BF">
              <w:rPr>
                <w:rFonts w:eastAsia="MS PGothic"/>
              </w:rPr>
              <w:t xml:space="preserve"> (</w:t>
            </w:r>
            <w:r w:rsidRPr="006D66BF">
              <w:rPr>
                <w:rFonts w:eastAsia="MS PGothic" w:hint="eastAsia"/>
              </w:rPr>
              <w:t>1998</w:t>
            </w:r>
            <w:r w:rsidRPr="006D66BF">
              <w:rPr>
                <w:rFonts w:eastAsia="MS PGothic"/>
              </w:rPr>
              <w:t>)</w:t>
            </w:r>
          </w:p>
        </w:tc>
      </w:tr>
      <w:tr w:rsidR="00DC79C9" w:rsidRPr="006D66BF" w14:paraId="30FFE6BD" w14:textId="77777777" w:rsidTr="00280EFA">
        <w:trPr>
          <w:trHeight w:val="315"/>
        </w:trPr>
        <w:tc>
          <w:tcPr>
            <w:tcW w:w="1995" w:type="dxa"/>
            <w:shd w:val="clear" w:color="auto" w:fill="auto"/>
          </w:tcPr>
          <w:p w14:paraId="30FFE6B7" w14:textId="77777777" w:rsidR="00DC79C9" w:rsidRPr="006D66BF" w:rsidRDefault="00DC79C9" w:rsidP="00B13216">
            <w:pPr>
              <w:rPr>
                <w:rFonts w:eastAsia="MS PGothic"/>
                <w:i/>
              </w:rPr>
            </w:pPr>
            <w:r w:rsidRPr="006D66BF">
              <w:rPr>
                <w:rFonts w:eastAsia="MS PGothic"/>
                <w:i/>
              </w:rPr>
              <w:t>Daphnia magna</w:t>
            </w:r>
          </w:p>
        </w:tc>
        <w:tc>
          <w:tcPr>
            <w:tcW w:w="1417" w:type="dxa"/>
            <w:shd w:val="clear" w:color="auto" w:fill="auto"/>
          </w:tcPr>
          <w:p w14:paraId="30FFE6B8" w14:textId="77777777" w:rsidR="00DC79C9" w:rsidRPr="006D66BF" w:rsidRDefault="00DC79C9" w:rsidP="00B13216">
            <w:pPr>
              <w:rPr>
                <w:rFonts w:eastAsia="MS PGothic"/>
              </w:rPr>
            </w:pPr>
            <w:r w:rsidRPr="006D66BF">
              <w:rPr>
                <w:rFonts w:eastAsia="MS PGothic"/>
              </w:rPr>
              <w:t>OECD TG 202</w:t>
            </w:r>
            <w:r w:rsidRPr="006D66BF">
              <w:rPr>
                <w:rFonts w:eastAsia="MS PGothic" w:hint="eastAsia"/>
              </w:rPr>
              <w:t>,</w:t>
            </w:r>
            <w:r w:rsidRPr="006D66BF">
              <w:rPr>
                <w:rFonts w:eastAsia="MS PGothic"/>
              </w:rPr>
              <w:t xml:space="preserve"> </w:t>
            </w:r>
            <w:r w:rsidRPr="006D66BF">
              <w:rPr>
                <w:rFonts w:eastAsia="MS PGothic" w:hint="eastAsia"/>
              </w:rPr>
              <w:t xml:space="preserve">limit test, </w:t>
            </w:r>
            <w:r w:rsidRPr="006D66BF">
              <w:rPr>
                <w:rFonts w:eastAsia="MS PGothic"/>
              </w:rPr>
              <w:t>GLP</w:t>
            </w:r>
          </w:p>
        </w:tc>
        <w:tc>
          <w:tcPr>
            <w:tcW w:w="1276" w:type="dxa"/>
            <w:shd w:val="clear" w:color="auto" w:fill="auto"/>
          </w:tcPr>
          <w:p w14:paraId="30FFE6B9" w14:textId="77777777" w:rsidR="00DC79C9" w:rsidRPr="006D66BF" w:rsidRDefault="00DC79C9" w:rsidP="00B13216">
            <w:pPr>
              <w:rPr>
                <w:rFonts w:eastAsia="MS PGothic"/>
              </w:rPr>
            </w:pPr>
            <w:r w:rsidRPr="006D66BF">
              <w:rPr>
                <w:rFonts w:eastAsia="MS PGothic"/>
              </w:rPr>
              <w:t>48 h static</w:t>
            </w:r>
          </w:p>
        </w:tc>
        <w:tc>
          <w:tcPr>
            <w:tcW w:w="1843" w:type="dxa"/>
            <w:shd w:val="clear" w:color="auto" w:fill="auto"/>
          </w:tcPr>
          <w:p w14:paraId="30FFE6BA" w14:textId="77777777" w:rsidR="00DC79C9" w:rsidRPr="006D66BF" w:rsidRDefault="00DC79C9" w:rsidP="00B13216">
            <w:pPr>
              <w:rPr>
                <w:rFonts w:eastAsia="MS PGothic"/>
              </w:rPr>
            </w:pPr>
            <w:r w:rsidRPr="006D66BF">
              <w:rPr>
                <w:rFonts w:eastAsia="MS PGothic"/>
              </w:rPr>
              <w:t>EC</w:t>
            </w:r>
            <w:r w:rsidRPr="006D66BF">
              <w:rPr>
                <w:rFonts w:eastAsia="MS PGothic"/>
                <w:vertAlign w:val="subscript"/>
              </w:rPr>
              <w:t>50</w:t>
            </w:r>
            <w:r w:rsidRPr="006D66BF">
              <w:rPr>
                <w:rFonts w:eastAsia="MS PGothic"/>
              </w:rPr>
              <w:t xml:space="preserve"> </w:t>
            </w:r>
            <w:r w:rsidRPr="006D66BF">
              <w:rPr>
                <w:rFonts w:eastAsia="MS PGothic" w:hint="eastAsia"/>
              </w:rPr>
              <w:t>&gt; 1000</w:t>
            </w:r>
            <w:r w:rsidRPr="006D66BF">
              <w:rPr>
                <w:rFonts w:eastAsia="MS PGothic"/>
              </w:rPr>
              <w:t xml:space="preserve"> mg/L  (</w:t>
            </w:r>
            <w:r w:rsidRPr="006D66BF">
              <w:rPr>
                <w:rFonts w:eastAsia="MS PGothic" w:hint="eastAsia"/>
              </w:rPr>
              <w:t>nominal</w:t>
            </w:r>
            <w:r w:rsidRPr="006D66BF">
              <w:rPr>
                <w:rFonts w:eastAsia="MS PGothic"/>
              </w:rPr>
              <w:t>)</w:t>
            </w:r>
          </w:p>
        </w:tc>
        <w:tc>
          <w:tcPr>
            <w:tcW w:w="709" w:type="dxa"/>
            <w:shd w:val="clear" w:color="auto" w:fill="auto"/>
          </w:tcPr>
          <w:p w14:paraId="30FFE6BB" w14:textId="77777777" w:rsidR="00DC79C9" w:rsidRPr="006D66BF" w:rsidRDefault="00DC79C9" w:rsidP="00B13216">
            <w:pPr>
              <w:jc w:val="center"/>
              <w:rPr>
                <w:rFonts w:eastAsia="MS PGothic"/>
              </w:rPr>
            </w:pPr>
            <w:r w:rsidRPr="006D66BF">
              <w:rPr>
                <w:rFonts w:eastAsia="MS PGothic" w:hint="eastAsia"/>
              </w:rPr>
              <w:t>1</w:t>
            </w:r>
          </w:p>
        </w:tc>
        <w:tc>
          <w:tcPr>
            <w:tcW w:w="1417" w:type="dxa"/>
            <w:shd w:val="clear" w:color="auto" w:fill="auto"/>
          </w:tcPr>
          <w:p w14:paraId="30FFE6BC" w14:textId="77777777" w:rsidR="00DC79C9" w:rsidRPr="006D66BF" w:rsidRDefault="00DC79C9" w:rsidP="00B13216">
            <w:pPr>
              <w:rPr>
                <w:rFonts w:eastAsia="MS PGothic"/>
              </w:rPr>
            </w:pPr>
            <w:r w:rsidRPr="006D66BF">
              <w:rPr>
                <w:rFonts w:eastAsia="MS PGothic"/>
              </w:rPr>
              <w:t xml:space="preserve">MOE, </w:t>
            </w:r>
            <w:smartTag w:uri="urn:schemas-microsoft-com:office:smarttags" w:element="country-region">
              <w:smartTag w:uri="urn:schemas-microsoft-com:office:smarttags" w:element="place">
                <w:r w:rsidRPr="006D66BF">
                  <w:rPr>
                    <w:rFonts w:eastAsia="MS PGothic"/>
                  </w:rPr>
                  <w:t>Japan</w:t>
                </w:r>
              </w:smartTag>
            </w:smartTag>
            <w:r w:rsidRPr="006D66BF">
              <w:rPr>
                <w:rFonts w:eastAsia="MS PGothic"/>
              </w:rPr>
              <w:t xml:space="preserve"> (</w:t>
            </w:r>
            <w:r w:rsidRPr="006D66BF">
              <w:rPr>
                <w:rFonts w:eastAsia="MS PGothic" w:hint="eastAsia"/>
              </w:rPr>
              <w:t>1998</w:t>
            </w:r>
            <w:r w:rsidRPr="006D66BF">
              <w:rPr>
                <w:rFonts w:eastAsia="MS PGothic"/>
              </w:rPr>
              <w:t>)</w:t>
            </w:r>
          </w:p>
        </w:tc>
      </w:tr>
      <w:tr w:rsidR="00DC79C9" w:rsidRPr="006D66BF" w14:paraId="30FFE6C4" w14:textId="77777777" w:rsidTr="00280EFA">
        <w:trPr>
          <w:trHeight w:val="315"/>
        </w:trPr>
        <w:tc>
          <w:tcPr>
            <w:tcW w:w="1995" w:type="dxa"/>
            <w:shd w:val="clear" w:color="auto" w:fill="auto"/>
          </w:tcPr>
          <w:p w14:paraId="30FFE6BE" w14:textId="77777777" w:rsidR="00DC79C9" w:rsidRPr="006D66BF" w:rsidRDefault="00C702F3" w:rsidP="00B13216">
            <w:pPr>
              <w:rPr>
                <w:rFonts w:eastAsia="MS PGothic"/>
                <w:i/>
                <w:lang w:eastAsia="ja-JP"/>
              </w:rPr>
            </w:pPr>
            <w:r w:rsidRPr="00C702F3">
              <w:rPr>
                <w:rFonts w:eastAsia="MS PGothic"/>
                <w:lang w:eastAsia="ja-JP"/>
              </w:rPr>
              <w:t>Daph</w:t>
            </w:r>
            <w:r w:rsidR="00DC79C9">
              <w:rPr>
                <w:rFonts w:eastAsia="MS PGothic" w:hint="eastAsia"/>
                <w:lang w:eastAsia="ja-JP"/>
              </w:rPr>
              <w:t>n</w:t>
            </w:r>
            <w:r w:rsidRPr="00C702F3">
              <w:rPr>
                <w:rFonts w:eastAsia="MS PGothic"/>
                <w:lang w:eastAsia="ja-JP"/>
              </w:rPr>
              <w:t>id</w:t>
            </w:r>
          </w:p>
        </w:tc>
        <w:tc>
          <w:tcPr>
            <w:tcW w:w="1417" w:type="dxa"/>
            <w:shd w:val="clear" w:color="auto" w:fill="auto"/>
          </w:tcPr>
          <w:p w14:paraId="30FFE6BF" w14:textId="77777777" w:rsidR="00DC79C9" w:rsidRPr="006D66BF" w:rsidRDefault="00DC79C9" w:rsidP="00B13216">
            <w:pPr>
              <w:rPr>
                <w:rFonts w:eastAsia="MS PGothic"/>
              </w:rPr>
            </w:pPr>
            <w:r w:rsidRPr="006D66BF">
              <w:rPr>
                <w:rFonts w:eastAsia="MS PGothic" w:hint="eastAsia"/>
              </w:rPr>
              <w:t>QSAR prediction</w:t>
            </w:r>
          </w:p>
        </w:tc>
        <w:tc>
          <w:tcPr>
            <w:tcW w:w="1276" w:type="dxa"/>
            <w:shd w:val="clear" w:color="auto" w:fill="auto"/>
          </w:tcPr>
          <w:p w14:paraId="30FFE6C0" w14:textId="77777777" w:rsidR="00DC79C9" w:rsidRPr="006D66BF" w:rsidRDefault="00DC79C9" w:rsidP="00B13216">
            <w:pPr>
              <w:rPr>
                <w:rFonts w:eastAsia="MS PGothic"/>
              </w:rPr>
            </w:pPr>
            <w:r w:rsidRPr="006D66BF">
              <w:rPr>
                <w:rFonts w:eastAsia="MS PGothic"/>
              </w:rPr>
              <w:t xml:space="preserve">48 h </w:t>
            </w:r>
          </w:p>
        </w:tc>
        <w:tc>
          <w:tcPr>
            <w:tcW w:w="1843" w:type="dxa"/>
            <w:shd w:val="clear" w:color="auto" w:fill="auto"/>
          </w:tcPr>
          <w:p w14:paraId="30FFE6C1" w14:textId="77777777" w:rsidR="00DC79C9" w:rsidRPr="006D66BF" w:rsidRDefault="00DC79C9" w:rsidP="00B13216">
            <w:pPr>
              <w:ind w:left="1320" w:hangingChars="550" w:hanging="1320"/>
              <w:rPr>
                <w:rFonts w:eastAsia="MS PGothic"/>
              </w:rPr>
            </w:pPr>
            <w:r w:rsidRPr="006D66BF">
              <w:rPr>
                <w:rFonts w:eastAsia="MS PGothic" w:hint="eastAsia"/>
              </w:rPr>
              <w:t>L(</w:t>
            </w:r>
            <w:r w:rsidRPr="006D66BF">
              <w:rPr>
                <w:rFonts w:eastAsia="MS PGothic"/>
              </w:rPr>
              <w:t>E</w:t>
            </w:r>
            <w:r w:rsidRPr="006D66BF">
              <w:rPr>
                <w:rFonts w:eastAsia="MS PGothic" w:hint="eastAsia"/>
              </w:rPr>
              <w:t>)</w:t>
            </w:r>
            <w:r w:rsidRPr="006D66BF">
              <w:rPr>
                <w:rFonts w:eastAsia="MS PGothic"/>
              </w:rPr>
              <w:t>C</w:t>
            </w:r>
            <w:r w:rsidRPr="006D66BF">
              <w:rPr>
                <w:rFonts w:eastAsia="MS PGothic"/>
                <w:vertAlign w:val="subscript"/>
              </w:rPr>
              <w:t>50</w:t>
            </w:r>
            <w:r w:rsidRPr="006D66BF">
              <w:rPr>
                <w:rFonts w:eastAsia="MS PGothic" w:hint="eastAsia"/>
                <w:vertAlign w:val="subscript"/>
              </w:rPr>
              <w:t xml:space="preserve"> </w:t>
            </w:r>
            <w:r w:rsidRPr="006D66BF">
              <w:rPr>
                <w:rFonts w:eastAsia="MS PGothic" w:hint="eastAsia"/>
              </w:rPr>
              <w:t xml:space="preserve">= </w:t>
            </w:r>
            <w:r w:rsidRPr="006D66BF">
              <w:rPr>
                <w:rFonts w:eastAsia="MS PGothic"/>
              </w:rPr>
              <w:t>6</w:t>
            </w:r>
            <w:r w:rsidRPr="006D66BF">
              <w:rPr>
                <w:rFonts w:eastAsia="MS PGothic" w:hint="eastAsia"/>
              </w:rPr>
              <w:t>,770</w:t>
            </w:r>
            <w:r w:rsidRPr="006D66BF">
              <w:rPr>
                <w:rFonts w:eastAsia="MS PGothic"/>
              </w:rPr>
              <w:t xml:space="preserve">mg/L </w:t>
            </w:r>
          </w:p>
        </w:tc>
        <w:tc>
          <w:tcPr>
            <w:tcW w:w="709" w:type="dxa"/>
            <w:shd w:val="clear" w:color="auto" w:fill="auto"/>
          </w:tcPr>
          <w:p w14:paraId="30FFE6C2" w14:textId="77777777" w:rsidR="00DC79C9" w:rsidRPr="006D66BF" w:rsidRDefault="00DC79C9" w:rsidP="00B13216">
            <w:pPr>
              <w:jc w:val="center"/>
              <w:rPr>
                <w:rFonts w:eastAsia="MS PGothic"/>
              </w:rPr>
            </w:pPr>
            <w:r w:rsidRPr="006D66BF">
              <w:rPr>
                <w:rFonts w:eastAsia="MS PGothic" w:hint="eastAsia"/>
              </w:rPr>
              <w:t>-</w:t>
            </w:r>
          </w:p>
        </w:tc>
        <w:tc>
          <w:tcPr>
            <w:tcW w:w="1417" w:type="dxa"/>
            <w:shd w:val="clear" w:color="auto" w:fill="auto"/>
          </w:tcPr>
          <w:p w14:paraId="30FFE6C3" w14:textId="77777777" w:rsidR="00DC79C9" w:rsidRPr="006D66BF" w:rsidRDefault="00DC79C9" w:rsidP="00B13216">
            <w:pPr>
              <w:jc w:val="center"/>
              <w:rPr>
                <w:rFonts w:eastAsia="MS PGothic"/>
              </w:rPr>
            </w:pPr>
            <w:r w:rsidRPr="006D66BF">
              <w:rPr>
                <w:rFonts w:eastAsia="MS PGothic" w:hint="eastAsia"/>
              </w:rPr>
              <w:t>-</w:t>
            </w:r>
          </w:p>
        </w:tc>
      </w:tr>
      <w:tr w:rsidR="00DC79C9" w:rsidRPr="006D66BF" w14:paraId="30FFE6D2" w14:textId="77777777" w:rsidTr="00280EFA">
        <w:trPr>
          <w:trHeight w:val="315"/>
        </w:trPr>
        <w:tc>
          <w:tcPr>
            <w:tcW w:w="1995" w:type="dxa"/>
            <w:shd w:val="clear" w:color="auto" w:fill="auto"/>
          </w:tcPr>
          <w:p w14:paraId="30FFE6C5" w14:textId="77777777" w:rsidR="00DC79C9" w:rsidRPr="006D66BF" w:rsidRDefault="00DC79C9" w:rsidP="00B13216">
            <w:pPr>
              <w:rPr>
                <w:rFonts w:eastAsia="MS PGothic"/>
                <w:i/>
              </w:rPr>
            </w:pPr>
            <w:r w:rsidRPr="006D66BF">
              <w:rPr>
                <w:rFonts w:eastAsia="MS PGothic"/>
                <w:i/>
              </w:rPr>
              <w:t>Pseudokirchneriella subcapitata</w:t>
            </w:r>
          </w:p>
        </w:tc>
        <w:tc>
          <w:tcPr>
            <w:tcW w:w="1417" w:type="dxa"/>
            <w:shd w:val="clear" w:color="auto" w:fill="auto"/>
          </w:tcPr>
          <w:p w14:paraId="30FFE6C6" w14:textId="77777777" w:rsidR="00DC79C9" w:rsidRPr="006D66BF" w:rsidRDefault="00DC79C9" w:rsidP="00B13216">
            <w:pPr>
              <w:rPr>
                <w:rFonts w:eastAsia="MS PGothic"/>
              </w:rPr>
            </w:pPr>
            <w:r w:rsidRPr="006D66BF">
              <w:rPr>
                <w:rFonts w:eastAsia="MS PGothic"/>
              </w:rPr>
              <w:t>OECD TG 201</w:t>
            </w:r>
          </w:p>
          <w:p w14:paraId="30FFE6C7" w14:textId="77777777" w:rsidR="00DC79C9" w:rsidRPr="006D66BF" w:rsidRDefault="00DC79C9" w:rsidP="00B13216">
            <w:pPr>
              <w:rPr>
                <w:rFonts w:eastAsia="MS PGothic"/>
              </w:rPr>
            </w:pPr>
            <w:r w:rsidRPr="006D66BF">
              <w:rPr>
                <w:rFonts w:eastAsia="MS PGothic"/>
              </w:rPr>
              <w:t>L</w:t>
            </w:r>
            <w:r w:rsidRPr="006D66BF">
              <w:rPr>
                <w:rFonts w:eastAsia="MS PGothic" w:hint="eastAsia"/>
              </w:rPr>
              <w:t>imit test</w:t>
            </w:r>
          </w:p>
          <w:p w14:paraId="30FFE6C8" w14:textId="77777777" w:rsidR="00DC79C9" w:rsidRPr="006D66BF" w:rsidRDefault="00DC79C9" w:rsidP="00B13216">
            <w:pPr>
              <w:rPr>
                <w:rFonts w:eastAsia="MS PGothic"/>
              </w:rPr>
            </w:pPr>
            <w:r w:rsidRPr="006D66BF">
              <w:rPr>
                <w:rFonts w:eastAsia="MS PGothic"/>
              </w:rPr>
              <w:t>GLP</w:t>
            </w:r>
          </w:p>
        </w:tc>
        <w:tc>
          <w:tcPr>
            <w:tcW w:w="1276" w:type="dxa"/>
            <w:shd w:val="clear" w:color="auto" w:fill="auto"/>
          </w:tcPr>
          <w:p w14:paraId="30FFE6C9" w14:textId="77777777" w:rsidR="00DC79C9" w:rsidRPr="006D66BF" w:rsidRDefault="00DC79C9" w:rsidP="00B13216">
            <w:pPr>
              <w:rPr>
                <w:rFonts w:eastAsia="MS PGothic"/>
              </w:rPr>
            </w:pPr>
            <w:r w:rsidRPr="006D66BF">
              <w:rPr>
                <w:rFonts w:eastAsia="MS PGothic"/>
              </w:rPr>
              <w:t>72 h static</w:t>
            </w:r>
          </w:p>
        </w:tc>
        <w:tc>
          <w:tcPr>
            <w:tcW w:w="1843" w:type="dxa"/>
            <w:shd w:val="clear" w:color="auto" w:fill="auto"/>
          </w:tcPr>
          <w:p w14:paraId="30FFE6CA" w14:textId="77777777" w:rsidR="00DC79C9" w:rsidRPr="006D66BF" w:rsidRDefault="00DC79C9" w:rsidP="00B13216">
            <w:pPr>
              <w:rPr>
                <w:rFonts w:eastAsia="MS PGothic"/>
              </w:rPr>
            </w:pPr>
            <w:r w:rsidRPr="006D66BF">
              <w:rPr>
                <w:rFonts w:eastAsia="MS PGothic" w:hint="eastAsia"/>
              </w:rPr>
              <w:t>growth rate</w:t>
            </w:r>
          </w:p>
          <w:p w14:paraId="30FFE6CB" w14:textId="77777777" w:rsidR="00DC79C9" w:rsidRPr="006D66BF" w:rsidRDefault="00DC79C9" w:rsidP="00B13216">
            <w:pPr>
              <w:rPr>
                <w:rFonts w:eastAsia="MS PGothic"/>
              </w:rPr>
            </w:pPr>
            <w:r w:rsidRPr="006D66BF">
              <w:rPr>
                <w:rFonts w:eastAsia="MS PGothic"/>
              </w:rPr>
              <w:t>ErC</w:t>
            </w:r>
            <w:r w:rsidRPr="006D66BF">
              <w:rPr>
                <w:rFonts w:eastAsia="MS PGothic"/>
                <w:vertAlign w:val="subscript"/>
              </w:rPr>
              <w:t>50</w:t>
            </w:r>
            <w:r w:rsidRPr="006D66BF">
              <w:rPr>
                <w:rFonts w:eastAsia="MS PGothic"/>
              </w:rPr>
              <w:t xml:space="preserve"> </w:t>
            </w:r>
            <w:r w:rsidRPr="006D66BF">
              <w:rPr>
                <w:rFonts w:eastAsia="MS PGothic" w:hint="eastAsia"/>
              </w:rPr>
              <w:t xml:space="preserve">&gt; 1000 </w:t>
            </w:r>
            <w:r w:rsidRPr="006D66BF">
              <w:rPr>
                <w:rFonts w:eastAsia="MS PGothic"/>
              </w:rPr>
              <w:t>mg/L</w:t>
            </w:r>
          </w:p>
          <w:p w14:paraId="30FFE6CC" w14:textId="77777777" w:rsidR="00DC79C9" w:rsidRPr="006D66BF" w:rsidRDefault="00DC79C9" w:rsidP="00B13216">
            <w:pPr>
              <w:rPr>
                <w:rFonts w:eastAsia="MS PGothic"/>
              </w:rPr>
            </w:pPr>
            <w:r w:rsidRPr="006D66BF">
              <w:rPr>
                <w:rFonts w:eastAsia="MS PGothic"/>
              </w:rPr>
              <w:t>(</w:t>
            </w:r>
            <w:r w:rsidRPr="006D66BF">
              <w:rPr>
                <w:rFonts w:eastAsia="MS PGothic" w:hint="eastAsia"/>
              </w:rPr>
              <w:t>nominal</w:t>
            </w:r>
            <w:r w:rsidRPr="006D66BF">
              <w:rPr>
                <w:rFonts w:eastAsia="MS PGothic"/>
              </w:rPr>
              <w:t>)</w:t>
            </w:r>
          </w:p>
          <w:p w14:paraId="30FFE6CD" w14:textId="77777777" w:rsidR="00DC79C9" w:rsidRPr="006D66BF" w:rsidRDefault="00DC79C9" w:rsidP="00B13216">
            <w:pPr>
              <w:rPr>
                <w:rFonts w:eastAsia="MS PGothic"/>
              </w:rPr>
            </w:pPr>
          </w:p>
          <w:p w14:paraId="30FFE6CE" w14:textId="77777777" w:rsidR="00DC79C9" w:rsidRPr="006D66BF" w:rsidRDefault="00DC79C9" w:rsidP="00B13216">
            <w:pPr>
              <w:rPr>
                <w:rFonts w:eastAsia="MS PGothic"/>
              </w:rPr>
            </w:pPr>
            <w:r w:rsidRPr="006D66BF">
              <w:rPr>
                <w:rFonts w:eastAsia="MS PGothic" w:hint="eastAsia"/>
              </w:rPr>
              <w:t xml:space="preserve">area under growth curve </w:t>
            </w:r>
            <w:r w:rsidRPr="006D66BF">
              <w:rPr>
                <w:rFonts w:eastAsia="MS PGothic"/>
              </w:rPr>
              <w:t xml:space="preserve"> </w:t>
            </w:r>
          </w:p>
          <w:p w14:paraId="30FFE6CF" w14:textId="77777777" w:rsidR="00DC79C9" w:rsidRPr="006D66BF" w:rsidRDefault="00DC79C9" w:rsidP="00B13216">
            <w:pPr>
              <w:rPr>
                <w:rFonts w:eastAsia="MS PGothic"/>
              </w:rPr>
            </w:pPr>
            <w:r w:rsidRPr="006D66BF">
              <w:rPr>
                <w:rFonts w:eastAsia="MS PGothic"/>
              </w:rPr>
              <w:t>EbC</w:t>
            </w:r>
            <w:r w:rsidRPr="006D66BF">
              <w:rPr>
                <w:rFonts w:eastAsia="MS PGothic"/>
                <w:vertAlign w:val="subscript"/>
              </w:rPr>
              <w:t>50</w:t>
            </w:r>
            <w:r w:rsidRPr="006D66BF">
              <w:rPr>
                <w:rFonts w:eastAsia="MS PGothic" w:hint="eastAsia"/>
                <w:vertAlign w:val="subscript"/>
              </w:rPr>
              <w:t xml:space="preserve"> </w:t>
            </w:r>
            <w:r w:rsidRPr="006D66BF">
              <w:rPr>
                <w:rFonts w:eastAsia="MS PGothic" w:hint="eastAsia"/>
              </w:rPr>
              <w:t>&gt; 1000</w:t>
            </w:r>
            <w:r w:rsidRPr="006D66BF">
              <w:rPr>
                <w:rFonts w:eastAsia="MS PGothic"/>
              </w:rPr>
              <w:t xml:space="preserve"> mg/L (</w:t>
            </w:r>
            <w:r w:rsidRPr="006D66BF">
              <w:rPr>
                <w:rFonts w:eastAsia="MS PGothic" w:hint="eastAsia"/>
              </w:rPr>
              <w:t>nominal</w:t>
            </w:r>
            <w:r w:rsidRPr="006D66BF">
              <w:rPr>
                <w:rFonts w:eastAsia="MS PGothic"/>
              </w:rPr>
              <w:t xml:space="preserve">) </w:t>
            </w:r>
          </w:p>
        </w:tc>
        <w:tc>
          <w:tcPr>
            <w:tcW w:w="709" w:type="dxa"/>
            <w:shd w:val="clear" w:color="auto" w:fill="auto"/>
          </w:tcPr>
          <w:p w14:paraId="30FFE6D0" w14:textId="77777777" w:rsidR="00DC79C9" w:rsidRPr="006D66BF" w:rsidRDefault="00DC79C9" w:rsidP="00B13216">
            <w:pPr>
              <w:jc w:val="center"/>
              <w:rPr>
                <w:rFonts w:eastAsia="MS PGothic"/>
              </w:rPr>
            </w:pPr>
            <w:r w:rsidRPr="006D66BF">
              <w:rPr>
                <w:rFonts w:eastAsia="MS PGothic"/>
              </w:rPr>
              <w:t>1</w:t>
            </w:r>
          </w:p>
        </w:tc>
        <w:tc>
          <w:tcPr>
            <w:tcW w:w="1417" w:type="dxa"/>
            <w:shd w:val="clear" w:color="auto" w:fill="auto"/>
          </w:tcPr>
          <w:p w14:paraId="30FFE6D1" w14:textId="77777777" w:rsidR="00DC79C9" w:rsidRPr="006D66BF" w:rsidRDefault="00DC79C9" w:rsidP="00B13216">
            <w:pPr>
              <w:rPr>
                <w:rFonts w:eastAsia="MS PGothic"/>
              </w:rPr>
            </w:pPr>
            <w:r w:rsidRPr="006D66BF">
              <w:rPr>
                <w:rFonts w:eastAsia="MS PGothic"/>
              </w:rPr>
              <w:t xml:space="preserve">MOE, </w:t>
            </w:r>
            <w:smartTag w:uri="urn:schemas-microsoft-com:office:smarttags" w:element="country-region">
              <w:smartTag w:uri="urn:schemas-microsoft-com:office:smarttags" w:element="place">
                <w:r w:rsidRPr="006D66BF">
                  <w:rPr>
                    <w:rFonts w:eastAsia="MS PGothic"/>
                  </w:rPr>
                  <w:t>Japan</w:t>
                </w:r>
              </w:smartTag>
            </w:smartTag>
            <w:r w:rsidRPr="006D66BF">
              <w:rPr>
                <w:rFonts w:eastAsia="MS PGothic"/>
              </w:rPr>
              <w:t xml:space="preserve"> (</w:t>
            </w:r>
            <w:r w:rsidRPr="006D66BF">
              <w:rPr>
                <w:rFonts w:eastAsia="MS PGothic" w:hint="eastAsia"/>
              </w:rPr>
              <w:t>1998</w:t>
            </w:r>
            <w:r w:rsidRPr="006D66BF">
              <w:rPr>
                <w:rFonts w:eastAsia="MS PGothic"/>
              </w:rPr>
              <w:t>)</w:t>
            </w:r>
          </w:p>
        </w:tc>
      </w:tr>
      <w:tr w:rsidR="00DC79C9" w:rsidRPr="006D66BF" w14:paraId="30FFE6D9" w14:textId="77777777" w:rsidTr="00280EFA">
        <w:trPr>
          <w:trHeight w:val="315"/>
        </w:trPr>
        <w:tc>
          <w:tcPr>
            <w:tcW w:w="1995" w:type="dxa"/>
            <w:shd w:val="clear" w:color="auto" w:fill="auto"/>
          </w:tcPr>
          <w:p w14:paraId="30FFE6D3" w14:textId="77777777" w:rsidR="00DC79C9" w:rsidRPr="006D66BF" w:rsidRDefault="00DC79C9" w:rsidP="00B13216">
            <w:pPr>
              <w:rPr>
                <w:rFonts w:eastAsia="MS PGothic"/>
                <w:i/>
              </w:rPr>
            </w:pPr>
            <w:r>
              <w:rPr>
                <w:rFonts w:eastAsia="MS PGothic" w:hint="eastAsia"/>
                <w:lang w:eastAsia="ja-JP"/>
              </w:rPr>
              <w:t xml:space="preserve">Algae </w:t>
            </w:r>
          </w:p>
        </w:tc>
        <w:tc>
          <w:tcPr>
            <w:tcW w:w="1417" w:type="dxa"/>
            <w:shd w:val="clear" w:color="auto" w:fill="auto"/>
          </w:tcPr>
          <w:p w14:paraId="30FFE6D4" w14:textId="77777777" w:rsidR="00DC79C9" w:rsidRPr="006D66BF" w:rsidRDefault="00DC79C9" w:rsidP="00B13216">
            <w:pPr>
              <w:rPr>
                <w:rFonts w:eastAsia="MS PGothic"/>
              </w:rPr>
            </w:pPr>
            <w:r w:rsidRPr="006D66BF">
              <w:rPr>
                <w:rFonts w:eastAsia="MS PGothic" w:hint="eastAsia"/>
              </w:rPr>
              <w:t>QSAR prediction</w:t>
            </w:r>
          </w:p>
        </w:tc>
        <w:tc>
          <w:tcPr>
            <w:tcW w:w="1276" w:type="dxa"/>
            <w:shd w:val="clear" w:color="auto" w:fill="auto"/>
          </w:tcPr>
          <w:p w14:paraId="30FFE6D5" w14:textId="77777777" w:rsidR="00DC79C9" w:rsidRPr="006D66BF" w:rsidRDefault="00DC79C9" w:rsidP="00B13216">
            <w:pPr>
              <w:rPr>
                <w:rFonts w:eastAsia="MS PGothic"/>
              </w:rPr>
            </w:pPr>
            <w:r w:rsidRPr="006D66BF">
              <w:rPr>
                <w:rFonts w:eastAsia="MS PGothic" w:hint="eastAsia"/>
              </w:rPr>
              <w:t>72h</w:t>
            </w:r>
          </w:p>
        </w:tc>
        <w:tc>
          <w:tcPr>
            <w:tcW w:w="1843" w:type="dxa"/>
            <w:shd w:val="clear" w:color="auto" w:fill="auto"/>
          </w:tcPr>
          <w:p w14:paraId="30FFE6D6" w14:textId="77777777" w:rsidR="00DC79C9" w:rsidRPr="006D66BF" w:rsidRDefault="00DC79C9" w:rsidP="00B13216">
            <w:pPr>
              <w:rPr>
                <w:rFonts w:eastAsia="MS PGothic"/>
              </w:rPr>
            </w:pPr>
            <w:r w:rsidRPr="006D66BF">
              <w:rPr>
                <w:rFonts w:eastAsia="MS PGothic" w:hint="eastAsia"/>
              </w:rPr>
              <w:t>EC</w:t>
            </w:r>
            <w:r w:rsidRPr="006D66BF">
              <w:rPr>
                <w:rFonts w:eastAsia="MS PGothic"/>
                <w:vertAlign w:val="subscript"/>
              </w:rPr>
              <w:t>50</w:t>
            </w:r>
            <w:r w:rsidRPr="006D66BF">
              <w:rPr>
                <w:rFonts w:eastAsia="MS PGothic" w:hint="eastAsia"/>
              </w:rPr>
              <w:t xml:space="preserve"> = 75 mg/L</w:t>
            </w:r>
          </w:p>
        </w:tc>
        <w:tc>
          <w:tcPr>
            <w:tcW w:w="709" w:type="dxa"/>
            <w:shd w:val="clear" w:color="auto" w:fill="auto"/>
          </w:tcPr>
          <w:p w14:paraId="30FFE6D7" w14:textId="77777777" w:rsidR="00DC79C9" w:rsidRPr="006D66BF" w:rsidRDefault="00DC79C9" w:rsidP="00B13216">
            <w:pPr>
              <w:jc w:val="center"/>
              <w:rPr>
                <w:rFonts w:eastAsia="MS PGothic"/>
              </w:rPr>
            </w:pPr>
            <w:r w:rsidRPr="006D66BF">
              <w:rPr>
                <w:rFonts w:eastAsia="MS PGothic" w:hint="eastAsia"/>
              </w:rPr>
              <w:t>-</w:t>
            </w:r>
          </w:p>
        </w:tc>
        <w:tc>
          <w:tcPr>
            <w:tcW w:w="1417" w:type="dxa"/>
            <w:shd w:val="clear" w:color="auto" w:fill="auto"/>
          </w:tcPr>
          <w:p w14:paraId="30FFE6D8" w14:textId="77777777" w:rsidR="00DC79C9" w:rsidRPr="006D66BF" w:rsidRDefault="00DC79C9" w:rsidP="00B13216">
            <w:pPr>
              <w:jc w:val="center"/>
              <w:rPr>
                <w:rFonts w:eastAsia="MS PGothic"/>
              </w:rPr>
            </w:pPr>
            <w:r w:rsidRPr="006D66BF">
              <w:rPr>
                <w:rFonts w:eastAsia="MS PGothic" w:hint="eastAsia"/>
              </w:rPr>
              <w:t>-</w:t>
            </w:r>
          </w:p>
        </w:tc>
      </w:tr>
    </w:tbl>
    <w:p w14:paraId="30FFE6DA" w14:textId="77777777" w:rsidR="00DC79C9" w:rsidRPr="006D66BF" w:rsidRDefault="00DC79C9" w:rsidP="00DC79C9"/>
    <w:p w14:paraId="30FFE6DB" w14:textId="77777777" w:rsidR="00FC3A3D" w:rsidRPr="006D66BF" w:rsidRDefault="00FC3A3D" w:rsidP="00FC3A3D">
      <w:pPr>
        <w:spacing w:after="100" w:afterAutospacing="1"/>
        <w:rPr>
          <w:u w:val="single"/>
        </w:rPr>
      </w:pPr>
      <w:r w:rsidRPr="006D66BF">
        <w:rPr>
          <w:u w:val="single"/>
        </w:rPr>
        <w:t>Fish</w:t>
      </w:r>
    </w:p>
    <w:p w14:paraId="30FFE6DC" w14:textId="77777777" w:rsidR="00FC3A3D" w:rsidRPr="006D66BF" w:rsidRDefault="00FC3A3D" w:rsidP="00FC3A3D">
      <w:pPr>
        <w:pStyle w:val="BodyText"/>
        <w:rPr>
          <w:lang w:eastAsia="ja-JP"/>
        </w:rPr>
      </w:pPr>
      <w:r w:rsidRPr="006D66BF">
        <w:t xml:space="preserve">An acute toxicity test of </w:t>
      </w:r>
      <w:r w:rsidRPr="006D66BF">
        <w:rPr>
          <w:rFonts w:eastAsia="MS-UIGothic"/>
          <w:szCs w:val="24"/>
          <w:lang w:val="en-US"/>
        </w:rPr>
        <w:t xml:space="preserve">1,1,1-tris(hydroxymethyl)ethane </w:t>
      </w:r>
      <w:r w:rsidRPr="006D66BF">
        <w:t xml:space="preserve"> was conducted for </w:t>
      </w:r>
      <w:r w:rsidRPr="006D66BF">
        <w:rPr>
          <w:rFonts w:hint="eastAsia"/>
        </w:rPr>
        <w:t xml:space="preserve">Japanese Medaka, </w:t>
      </w:r>
      <w:r w:rsidRPr="006D66BF">
        <w:rPr>
          <w:i/>
        </w:rPr>
        <w:t>Oryzias latipes</w:t>
      </w:r>
      <w:r w:rsidRPr="006D66BF">
        <w:rPr>
          <w:rFonts w:hint="eastAsia"/>
          <w:lang w:eastAsia="ja-JP"/>
        </w:rPr>
        <w:t>,</w:t>
      </w:r>
      <w:r w:rsidRPr="006D66BF">
        <w:rPr>
          <w:rFonts w:hint="eastAsia"/>
        </w:rPr>
        <w:t xml:space="preserve"> according to OECD TG 203 in compliance with GLP </w:t>
      </w:r>
      <w:r w:rsidRPr="006D66BF">
        <w:t>(MOE</w:t>
      </w:r>
      <w:r w:rsidRPr="006D66BF">
        <w:rPr>
          <w:rFonts w:hint="eastAsia"/>
        </w:rPr>
        <w:t xml:space="preserve"> Japan, </w:t>
      </w:r>
      <w:r w:rsidRPr="006D66BF">
        <w:rPr>
          <w:rFonts w:hint="eastAsia"/>
          <w:lang w:eastAsia="ja-JP"/>
        </w:rPr>
        <w:t>1998</w:t>
      </w:r>
      <w:r w:rsidRPr="006D66BF">
        <w:t>)</w:t>
      </w:r>
      <w:r w:rsidRPr="006D66BF">
        <w:rPr>
          <w:rFonts w:hint="eastAsia"/>
        </w:rPr>
        <w:t xml:space="preserve">. </w:t>
      </w:r>
      <w:r w:rsidRPr="006D66BF">
        <w:rPr>
          <w:rFonts w:hint="eastAsia"/>
          <w:lang w:eastAsia="ja-JP"/>
        </w:rPr>
        <w:t>A limit test with an exposure concentration of 100 mg/L in nominal and control was conducted because no toxicological effects were observed in the preliminary test. T</w:t>
      </w:r>
      <w:r w:rsidRPr="006D66BF">
        <w:rPr>
          <w:rFonts w:hint="eastAsia"/>
        </w:rPr>
        <w:t xml:space="preserve">en fish per concentration were exposed in </w:t>
      </w:r>
      <w:r w:rsidRPr="006D66BF">
        <w:rPr>
          <w:rFonts w:hint="eastAsia"/>
          <w:lang w:eastAsia="ja-JP"/>
        </w:rPr>
        <w:t xml:space="preserve">semi-static system with renewal of test solution every day, under test </w:t>
      </w:r>
      <w:r w:rsidRPr="006D66BF">
        <w:rPr>
          <w:lang w:eastAsia="ja-JP"/>
        </w:rPr>
        <w:t>conditions</w:t>
      </w:r>
      <w:r w:rsidRPr="006D66BF">
        <w:rPr>
          <w:rFonts w:hint="eastAsia"/>
          <w:lang w:eastAsia="ja-JP"/>
        </w:rPr>
        <w:t xml:space="preserve"> as water </w:t>
      </w:r>
      <w:r w:rsidRPr="006D66BF">
        <w:rPr>
          <w:rFonts w:hint="eastAsia"/>
        </w:rPr>
        <w:t>temperature of 2</w:t>
      </w:r>
      <w:r w:rsidRPr="006D66BF">
        <w:rPr>
          <w:rFonts w:hint="eastAsia"/>
          <w:lang w:eastAsia="ja-JP"/>
        </w:rPr>
        <w:t>3.6</w:t>
      </w:r>
      <w:r w:rsidRPr="006D66BF">
        <w:t>–</w:t>
      </w:r>
      <w:r w:rsidRPr="006D66BF">
        <w:rPr>
          <w:rFonts w:hint="eastAsia"/>
        </w:rPr>
        <w:t xml:space="preserve"> 24.</w:t>
      </w:r>
      <w:r w:rsidRPr="006D66BF">
        <w:rPr>
          <w:rFonts w:hint="eastAsia"/>
          <w:lang w:eastAsia="ja-JP"/>
        </w:rPr>
        <w:t>2</w:t>
      </w:r>
      <w:r w:rsidRPr="006D66BF">
        <w:rPr>
          <w:rFonts w:hint="eastAsia"/>
        </w:rPr>
        <w:t xml:space="preserve"> degree C</w:t>
      </w:r>
      <w:r w:rsidRPr="006D66BF">
        <w:rPr>
          <w:rFonts w:hint="eastAsia"/>
          <w:lang w:eastAsia="ja-JP"/>
        </w:rPr>
        <w:t xml:space="preserve">, pH of 7.1-7.6, and DO of </w:t>
      </w:r>
      <w:r w:rsidRPr="006D66BF">
        <w:rPr>
          <w:rFonts w:eastAsia="MS PGothic"/>
          <w:szCs w:val="24"/>
        </w:rPr>
        <w:t>6.4 - 8.7 mg/L</w:t>
      </w:r>
      <w:r w:rsidRPr="006D66BF">
        <w:rPr>
          <w:rFonts w:eastAsia="MS PGothic" w:hint="eastAsia"/>
          <w:szCs w:val="24"/>
          <w:lang w:eastAsia="ja-JP"/>
        </w:rPr>
        <w:t xml:space="preserve">, </w:t>
      </w:r>
      <w:r w:rsidRPr="006D66BF">
        <w:rPr>
          <w:rFonts w:eastAsia="MS PGothic"/>
          <w:szCs w:val="24"/>
        </w:rPr>
        <w:t>more than 60</w:t>
      </w:r>
      <w:r w:rsidRPr="006D66BF">
        <w:rPr>
          <w:rFonts w:eastAsia="MS PGothic" w:hint="eastAsia"/>
          <w:szCs w:val="24"/>
          <w:lang w:eastAsia="ja-JP"/>
        </w:rPr>
        <w:t xml:space="preserve"> </w:t>
      </w:r>
      <w:r w:rsidRPr="006D66BF">
        <w:rPr>
          <w:rFonts w:eastAsia="MS PGothic"/>
          <w:szCs w:val="24"/>
        </w:rPr>
        <w:t>% of saturation</w:t>
      </w:r>
      <w:r w:rsidRPr="006D66BF">
        <w:rPr>
          <w:rFonts w:eastAsia="MS PGothic" w:hint="eastAsia"/>
          <w:szCs w:val="24"/>
          <w:lang w:eastAsia="ja-JP"/>
        </w:rPr>
        <w:t xml:space="preserve">, </w:t>
      </w:r>
      <w:r w:rsidRPr="006D66BF">
        <w:rPr>
          <w:rFonts w:eastAsia="MS PGothic"/>
          <w:szCs w:val="24"/>
        </w:rPr>
        <w:t>during test</w:t>
      </w:r>
      <w:r w:rsidRPr="006D66BF">
        <w:rPr>
          <w:szCs w:val="24"/>
        </w:rPr>
        <w:t>.</w:t>
      </w:r>
      <w:r w:rsidRPr="006D66BF">
        <w:rPr>
          <w:rFonts w:hint="eastAsia"/>
        </w:rPr>
        <w:t xml:space="preserve"> </w:t>
      </w:r>
      <w:r w:rsidRPr="006D66BF">
        <w:t xml:space="preserve">The measured concentrations </w:t>
      </w:r>
      <w:r w:rsidRPr="006D66BF">
        <w:rPr>
          <w:rFonts w:hint="eastAsia"/>
          <w:lang w:eastAsia="ja-JP"/>
        </w:rPr>
        <w:t xml:space="preserve">at 0 h and 24 h (just before changing test solution) were 97.2 and 82.3 mg/L ( the mean measured concentration was 89.4 mg/L), respectively. </w:t>
      </w:r>
      <w:r w:rsidRPr="006D66BF">
        <w:rPr>
          <w:rFonts w:hint="eastAsia"/>
        </w:rPr>
        <w:t xml:space="preserve">No </w:t>
      </w:r>
      <w:r w:rsidRPr="006D66BF">
        <w:rPr>
          <w:rFonts w:hint="eastAsia"/>
          <w:lang w:eastAsia="ja-JP"/>
        </w:rPr>
        <w:t xml:space="preserve">toxicological </w:t>
      </w:r>
      <w:r w:rsidRPr="006D66BF">
        <w:rPr>
          <w:lang w:eastAsia="ja-JP"/>
        </w:rPr>
        <w:t>symptoms</w:t>
      </w:r>
      <w:r w:rsidRPr="006D66BF">
        <w:rPr>
          <w:rFonts w:hint="eastAsia"/>
          <w:lang w:eastAsia="ja-JP"/>
        </w:rPr>
        <w:t xml:space="preserve"> and </w:t>
      </w:r>
      <w:r w:rsidRPr="006D66BF">
        <w:rPr>
          <w:rFonts w:hint="eastAsia"/>
        </w:rPr>
        <w:t xml:space="preserve">mortality </w:t>
      </w:r>
      <w:r w:rsidRPr="006D66BF">
        <w:rPr>
          <w:rFonts w:hint="eastAsia"/>
          <w:lang w:eastAsia="ja-JP"/>
        </w:rPr>
        <w:t>were</w:t>
      </w:r>
      <w:r w:rsidRPr="006D66BF">
        <w:rPr>
          <w:rFonts w:hint="eastAsia"/>
        </w:rPr>
        <w:t xml:space="preserve"> observed in </w:t>
      </w:r>
      <w:r w:rsidRPr="006D66BF">
        <w:rPr>
          <w:rFonts w:hint="eastAsia"/>
          <w:lang w:eastAsia="ja-JP"/>
        </w:rPr>
        <w:t>both</w:t>
      </w:r>
      <w:r w:rsidRPr="006D66BF">
        <w:rPr>
          <w:rFonts w:hint="eastAsia"/>
        </w:rPr>
        <w:t xml:space="preserve"> </w:t>
      </w:r>
      <w:r w:rsidRPr="006D66BF">
        <w:rPr>
          <w:rFonts w:hint="eastAsia"/>
          <w:lang w:eastAsia="ja-JP"/>
        </w:rPr>
        <w:t xml:space="preserve">exposed and control group. </w:t>
      </w:r>
      <w:r w:rsidRPr="006D66BF">
        <w:rPr>
          <w:rFonts w:hint="eastAsia"/>
        </w:rPr>
        <w:t xml:space="preserve">The 96h LC50 of </w:t>
      </w:r>
      <w:r w:rsidRPr="006D66BF">
        <w:rPr>
          <w:rFonts w:hint="eastAsia"/>
          <w:lang w:eastAsia="ja-JP"/>
        </w:rPr>
        <w:t>&gt;100</w:t>
      </w:r>
      <w:r w:rsidRPr="006D66BF">
        <w:rPr>
          <w:rFonts w:hint="eastAsia"/>
        </w:rPr>
        <w:t xml:space="preserve"> mg/L was determined based on </w:t>
      </w:r>
      <w:r w:rsidRPr="006D66BF">
        <w:rPr>
          <w:rFonts w:hint="eastAsia"/>
          <w:lang w:eastAsia="ja-JP"/>
        </w:rPr>
        <w:t xml:space="preserve">the nominal </w:t>
      </w:r>
      <w:r w:rsidRPr="006D66BF">
        <w:rPr>
          <w:rFonts w:hint="eastAsia"/>
        </w:rPr>
        <w:t xml:space="preserve">concentration. </w:t>
      </w:r>
    </w:p>
    <w:p w14:paraId="30FFE6DD" w14:textId="77777777" w:rsidR="00FC3A3D" w:rsidRPr="006D66BF" w:rsidRDefault="00FC3A3D" w:rsidP="00FC3A3D">
      <w:pPr>
        <w:pStyle w:val="BodyText"/>
        <w:rPr>
          <w:lang w:eastAsia="ja-JP"/>
        </w:rPr>
      </w:pPr>
      <w:r w:rsidRPr="006D66BF">
        <w:rPr>
          <w:rFonts w:hint="eastAsia"/>
          <w:lang w:eastAsia="ja-JP"/>
        </w:rPr>
        <w:t xml:space="preserve">Following to acute toxicity test, a prolonged toxicity test of this chemical was conducted for Japanese Medaka, </w:t>
      </w:r>
      <w:r w:rsidRPr="006D66BF">
        <w:rPr>
          <w:rFonts w:hint="eastAsia"/>
          <w:i/>
          <w:lang w:eastAsia="ja-JP"/>
        </w:rPr>
        <w:t>Oryzias latipes</w:t>
      </w:r>
      <w:r w:rsidRPr="006D66BF">
        <w:rPr>
          <w:rFonts w:hint="eastAsia"/>
          <w:lang w:eastAsia="ja-JP"/>
        </w:rPr>
        <w:t xml:space="preserve">, according to OECD TG 204 in </w:t>
      </w:r>
      <w:r w:rsidRPr="006D66BF">
        <w:rPr>
          <w:lang w:eastAsia="ja-JP"/>
        </w:rPr>
        <w:t>compliance</w:t>
      </w:r>
      <w:r w:rsidRPr="006D66BF">
        <w:rPr>
          <w:rFonts w:hint="eastAsia"/>
          <w:lang w:eastAsia="ja-JP"/>
        </w:rPr>
        <w:t xml:space="preserve"> with GLP, as a limit test with a control and the treated group at concentration of 99.8 mg/L. Under a flow-through condition, ten fish were exposed to the chemical for 14 days. The concentrations of the test substance in test solution were </w:t>
      </w:r>
      <w:r w:rsidRPr="006D66BF">
        <w:rPr>
          <w:lang w:eastAsia="ja-JP"/>
        </w:rPr>
        <w:t>analysed</w:t>
      </w:r>
      <w:r w:rsidRPr="006D66BF">
        <w:rPr>
          <w:rFonts w:hint="eastAsia"/>
          <w:lang w:eastAsia="ja-JP"/>
        </w:rPr>
        <w:t xml:space="preserve"> on 0, 7th, and 14th day. The mean measured concentration was 89.0 mg/L, ranging from 85.4 to 93.5 mg/L. Mortality and toxicological symptom were observed during the test and </w:t>
      </w:r>
      <w:r w:rsidRPr="006D66BF">
        <w:rPr>
          <w:lang w:eastAsia="ja-JP"/>
        </w:rPr>
        <w:t>measurement of body size (both total body length and body weight) was</w:t>
      </w:r>
      <w:r w:rsidRPr="006D66BF">
        <w:rPr>
          <w:rFonts w:hint="eastAsia"/>
          <w:lang w:eastAsia="ja-JP"/>
        </w:rPr>
        <w:t xml:space="preserve"> undertaken at the end of test. No mortality was observed during test, a 14 day LC50 was &gt; 99.8 and NOEC was &gt;99.8 mg/L based on nominal concentration.      </w:t>
      </w:r>
    </w:p>
    <w:p w14:paraId="30FFE6DE" w14:textId="77777777" w:rsidR="00FC3A3D" w:rsidRPr="006D66BF" w:rsidRDefault="00FC3A3D" w:rsidP="00FC3A3D">
      <w:pPr>
        <w:spacing w:after="180"/>
        <w:rPr>
          <w:u w:val="single"/>
        </w:rPr>
      </w:pPr>
      <w:r w:rsidRPr="006D66BF">
        <w:rPr>
          <w:u w:val="single"/>
        </w:rPr>
        <w:t>Invertebrate</w:t>
      </w:r>
    </w:p>
    <w:p w14:paraId="30FFE6DF" w14:textId="77777777" w:rsidR="00FC3A3D" w:rsidRPr="006D66BF" w:rsidRDefault="00FC3A3D" w:rsidP="00EC41D1">
      <w:pPr>
        <w:spacing w:after="180"/>
        <w:jc w:val="both"/>
      </w:pPr>
      <w:r w:rsidRPr="006D66BF">
        <w:t xml:space="preserve">An acute toxicity test of </w:t>
      </w:r>
      <w:r w:rsidRPr="006D66BF">
        <w:rPr>
          <w:rFonts w:eastAsia="MS-UIGothic"/>
        </w:rPr>
        <w:t xml:space="preserve">1,1,1-tris(hydroxymethyl)ethane </w:t>
      </w:r>
      <w:r w:rsidRPr="006D66BF">
        <w:t xml:space="preserve"> was conducted for </w:t>
      </w:r>
      <w:r w:rsidRPr="006D66BF">
        <w:rPr>
          <w:rFonts w:hint="eastAsia"/>
        </w:rPr>
        <w:t xml:space="preserve">daphnids, </w:t>
      </w:r>
      <w:r w:rsidRPr="006D66BF">
        <w:rPr>
          <w:rFonts w:hint="eastAsia"/>
          <w:i/>
        </w:rPr>
        <w:t>Daphnia magna</w:t>
      </w:r>
      <w:r w:rsidRPr="006D66BF">
        <w:rPr>
          <w:rFonts w:hint="eastAsia"/>
        </w:rPr>
        <w:t xml:space="preserve">, according to OECD TG 202 in compliance with GLP </w:t>
      </w:r>
      <w:r w:rsidRPr="006D66BF">
        <w:t>(MOE</w:t>
      </w:r>
      <w:r w:rsidRPr="006D66BF">
        <w:rPr>
          <w:rFonts w:hint="eastAsia"/>
        </w:rPr>
        <w:t xml:space="preserve"> Japan, 1998</w:t>
      </w:r>
      <w:r w:rsidRPr="006D66BF">
        <w:t>)</w:t>
      </w:r>
      <w:r w:rsidRPr="006D66BF">
        <w:rPr>
          <w:rFonts w:hint="eastAsia"/>
        </w:rPr>
        <w:t xml:space="preserve"> as a limit test </w:t>
      </w:r>
      <w:r w:rsidRPr="006D66BF">
        <w:t>because</w:t>
      </w:r>
      <w:r w:rsidRPr="006D66BF">
        <w:rPr>
          <w:rFonts w:hint="eastAsia"/>
        </w:rPr>
        <w:t xml:space="preserve"> no toxicological symptoms were observed in a preliminary test. Twenty daphnids per concentrations were exposed under static condition to the chemical at nominal concentration of 1000 mg/L with a control. The environmental factors were monitored and shown as temperature of 19.4-19.6 degree C, pH of 7.6 - 7.9, and DO of 8.4 - 8.6. </w:t>
      </w:r>
      <w:r w:rsidRPr="006D66BF">
        <w:t xml:space="preserve">The measured concentrations </w:t>
      </w:r>
      <w:r w:rsidRPr="006D66BF">
        <w:rPr>
          <w:rFonts w:hint="eastAsia"/>
        </w:rPr>
        <w:t xml:space="preserve">of the </w:t>
      </w:r>
      <w:r w:rsidRPr="006D66BF">
        <w:rPr>
          <w:rFonts w:eastAsia="MS-UIGothic"/>
        </w:rPr>
        <w:t xml:space="preserve">1,1,1-tris(hydroxymethyl)ethane  in </w:t>
      </w:r>
      <w:r w:rsidRPr="006D66BF">
        <w:rPr>
          <w:rFonts w:eastAsia="MS-UIGothic" w:hint="eastAsia"/>
        </w:rPr>
        <w:t xml:space="preserve">test solution at 0h and 48h </w:t>
      </w:r>
      <w:r w:rsidRPr="006D66BF">
        <w:t xml:space="preserve">were </w:t>
      </w:r>
      <w:r w:rsidRPr="006D66BF">
        <w:rPr>
          <w:rFonts w:hint="eastAsia"/>
        </w:rPr>
        <w:t xml:space="preserve">945 and 991 mg/L, respectively. No </w:t>
      </w:r>
      <w:r w:rsidRPr="006D66BF">
        <w:t>immobility</w:t>
      </w:r>
      <w:r w:rsidRPr="006D66BF">
        <w:rPr>
          <w:rFonts w:hint="eastAsia"/>
        </w:rPr>
        <w:t xml:space="preserve"> was observed in both the control and the exposed daphnids. The 48h EC</w:t>
      </w:r>
      <w:r w:rsidRPr="006D66BF">
        <w:rPr>
          <w:rFonts w:hint="eastAsia"/>
          <w:vertAlign w:val="subscript"/>
        </w:rPr>
        <w:t>50</w:t>
      </w:r>
      <w:r w:rsidRPr="006D66BF">
        <w:rPr>
          <w:rFonts w:hint="eastAsia"/>
        </w:rPr>
        <w:t xml:space="preserve"> of &gt; 1000 mg/L was determined based on the nominal concentration.</w:t>
      </w:r>
    </w:p>
    <w:p w14:paraId="30FFE6E0" w14:textId="77777777" w:rsidR="00FC3A3D" w:rsidRPr="006D66BF" w:rsidRDefault="00FC3A3D" w:rsidP="00FC3A3D">
      <w:pPr>
        <w:spacing w:after="180"/>
        <w:rPr>
          <w:u w:val="single"/>
        </w:rPr>
      </w:pPr>
      <w:r w:rsidRPr="006D66BF">
        <w:rPr>
          <w:u w:val="single"/>
        </w:rPr>
        <w:t>Aquatic plant, e.g. Algae</w:t>
      </w:r>
    </w:p>
    <w:p w14:paraId="30FFE6E1" w14:textId="77777777" w:rsidR="00FC3A3D" w:rsidRPr="006D66BF" w:rsidRDefault="00FC3A3D" w:rsidP="00EC41D1">
      <w:pPr>
        <w:spacing w:after="180"/>
        <w:jc w:val="both"/>
      </w:pPr>
      <w:r w:rsidRPr="006D66BF">
        <w:t xml:space="preserve">For a freshwater algal species, </w:t>
      </w:r>
      <w:r w:rsidRPr="006D66BF">
        <w:rPr>
          <w:i/>
          <w:iCs/>
        </w:rPr>
        <w:t>Pseudokirchneriella subcapitata</w:t>
      </w:r>
      <w:r w:rsidRPr="006D66BF">
        <w:t xml:space="preserve">, the toxicity of </w:t>
      </w:r>
      <w:r w:rsidRPr="006D66BF">
        <w:rPr>
          <w:rFonts w:eastAsia="MS-UIGothic"/>
        </w:rPr>
        <w:t>1</w:t>
      </w:r>
      <w:proofErr w:type="gramStart"/>
      <w:r w:rsidRPr="006D66BF">
        <w:rPr>
          <w:rFonts w:eastAsia="MS-UIGothic"/>
        </w:rPr>
        <w:t>,1,1</w:t>
      </w:r>
      <w:proofErr w:type="gramEnd"/>
      <w:r w:rsidRPr="006D66BF">
        <w:rPr>
          <w:rFonts w:eastAsia="MS-UIGothic"/>
        </w:rPr>
        <w:t xml:space="preserve">-tris(hydroxymethyl)ethane </w:t>
      </w:r>
      <w:r w:rsidRPr="006D66BF">
        <w:t xml:space="preserve"> was studied (MOE, Japan, </w:t>
      </w:r>
      <w:r w:rsidRPr="006D66BF">
        <w:rPr>
          <w:rFonts w:hint="eastAsia"/>
        </w:rPr>
        <w:t>1998</w:t>
      </w:r>
      <w:r w:rsidRPr="006D66BF">
        <w:t>). A</w:t>
      </w:r>
      <w:r w:rsidRPr="006D66BF">
        <w:rPr>
          <w:rFonts w:hint="eastAsia"/>
        </w:rPr>
        <w:t>n</w:t>
      </w:r>
      <w:r w:rsidRPr="006D66BF">
        <w:t xml:space="preserve"> algal growth inhibition test (OECD TG 201) was </w:t>
      </w:r>
      <w:r w:rsidRPr="006D66BF">
        <w:rPr>
          <w:rFonts w:hint="eastAsia"/>
        </w:rPr>
        <w:t>conducted</w:t>
      </w:r>
      <w:r w:rsidRPr="006D66BF">
        <w:t xml:space="preserve"> </w:t>
      </w:r>
      <w:r w:rsidRPr="006D66BF">
        <w:rPr>
          <w:rFonts w:hint="eastAsia"/>
        </w:rPr>
        <w:t>in compliance with GLP</w:t>
      </w:r>
      <w:r w:rsidRPr="006D66BF">
        <w:t xml:space="preserve"> with </w:t>
      </w:r>
      <w:r w:rsidRPr="006D66BF">
        <w:rPr>
          <w:rFonts w:hint="eastAsia"/>
        </w:rPr>
        <w:t xml:space="preserve">a </w:t>
      </w:r>
      <w:r w:rsidRPr="006D66BF">
        <w:t xml:space="preserve">nominal concentration </w:t>
      </w:r>
      <w:r w:rsidRPr="006D66BF">
        <w:rPr>
          <w:rFonts w:hint="eastAsia"/>
        </w:rPr>
        <w:t xml:space="preserve">of 1000 </w:t>
      </w:r>
      <w:r w:rsidRPr="006D66BF">
        <w:t>mg/L</w:t>
      </w:r>
      <w:r w:rsidRPr="006D66BF">
        <w:rPr>
          <w:rFonts w:hint="eastAsia"/>
        </w:rPr>
        <w:t xml:space="preserve"> as a limit test. </w:t>
      </w:r>
      <w:r w:rsidRPr="006D66BF">
        <w:t xml:space="preserve">The concentration of test substance was measured by using a </w:t>
      </w:r>
      <w:r w:rsidRPr="006D66BF">
        <w:rPr>
          <w:rFonts w:hint="eastAsia"/>
        </w:rPr>
        <w:t>GC</w:t>
      </w:r>
      <w:r w:rsidRPr="006D66BF">
        <w:t xml:space="preserve"> at</w:t>
      </w:r>
      <w:r w:rsidRPr="006D66BF">
        <w:rPr>
          <w:rFonts w:hint="eastAsia"/>
        </w:rPr>
        <w:t xml:space="preserve"> the initial and the end of test as 973 and 991 mg/L, respectively</w:t>
      </w:r>
      <w:r w:rsidRPr="006D66BF">
        <w:t xml:space="preserve">. </w:t>
      </w:r>
      <w:r w:rsidRPr="006D66BF">
        <w:rPr>
          <w:rFonts w:hint="eastAsia"/>
        </w:rPr>
        <w:t xml:space="preserve">There was no significant difference between the cell densities of the control and the exposed groups at the end of test. The </w:t>
      </w:r>
      <w:r w:rsidRPr="006D66BF">
        <w:t>72hErC</w:t>
      </w:r>
      <w:r w:rsidRPr="006D66BF">
        <w:rPr>
          <w:vertAlign w:val="subscript"/>
        </w:rPr>
        <w:t>50</w:t>
      </w:r>
      <w:r w:rsidRPr="006D66BF">
        <w:t xml:space="preserve"> and 72 EbC</w:t>
      </w:r>
      <w:r w:rsidRPr="006D66BF">
        <w:rPr>
          <w:vertAlign w:val="subscript"/>
        </w:rPr>
        <w:t>50</w:t>
      </w:r>
      <w:r w:rsidRPr="006D66BF">
        <w:t xml:space="preserve"> were </w:t>
      </w:r>
      <w:r w:rsidRPr="006D66BF">
        <w:rPr>
          <w:rFonts w:hint="eastAsia"/>
        </w:rPr>
        <w:t>&gt; 1000 mg/L based on the nominal concentration.</w:t>
      </w:r>
    </w:p>
    <w:p w14:paraId="30FFE6E2" w14:textId="77777777" w:rsidR="00FC3A3D" w:rsidRPr="006D66BF" w:rsidRDefault="00FC3A3D" w:rsidP="00FC3A3D">
      <w:pPr>
        <w:pStyle w:val="Heading8"/>
      </w:pPr>
      <w:r w:rsidRPr="006D66BF">
        <w:t>Chronic Toxicity Test Results</w:t>
      </w:r>
    </w:p>
    <w:p w14:paraId="30FFE6E3" w14:textId="77777777" w:rsidR="00FC3A3D" w:rsidRPr="006D66BF" w:rsidRDefault="00FC3A3D" w:rsidP="00FC3A3D">
      <w:pPr>
        <w:pStyle w:val="BodyText"/>
        <w:rPr>
          <w:lang w:eastAsia="ja-JP"/>
        </w:rPr>
      </w:pPr>
      <w:r w:rsidRPr="006D66BF">
        <w:rPr>
          <w:rFonts w:hint="eastAsia"/>
          <w:lang w:eastAsia="ja-JP"/>
        </w:rPr>
        <w:t>T</w:t>
      </w:r>
      <w:r w:rsidRPr="006D66BF">
        <w:rPr>
          <w:lang w:eastAsia="ja-JP"/>
        </w:rPr>
        <w:t xml:space="preserve">est results on chronic toxicity </w:t>
      </w:r>
      <w:r w:rsidRPr="006D66BF">
        <w:rPr>
          <w:rFonts w:hint="eastAsia"/>
          <w:lang w:eastAsia="ja-JP"/>
        </w:rPr>
        <w:t xml:space="preserve">of </w:t>
      </w:r>
      <w:r w:rsidRPr="006D66BF">
        <w:rPr>
          <w:rFonts w:eastAsia="MS-UIGothic"/>
          <w:szCs w:val="24"/>
          <w:lang w:val="en-US"/>
        </w:rPr>
        <w:t>1</w:t>
      </w:r>
      <w:proofErr w:type="gramStart"/>
      <w:r w:rsidRPr="006D66BF">
        <w:rPr>
          <w:rFonts w:eastAsia="MS-UIGothic"/>
          <w:szCs w:val="24"/>
          <w:lang w:val="en-US"/>
        </w:rPr>
        <w:t>,1,1</w:t>
      </w:r>
      <w:proofErr w:type="gramEnd"/>
      <w:r w:rsidRPr="006D66BF">
        <w:rPr>
          <w:rFonts w:eastAsia="MS-UIGothic"/>
          <w:szCs w:val="24"/>
          <w:lang w:val="en-US"/>
        </w:rPr>
        <w:t xml:space="preserve">-tris(hydroxymethyl)ethane </w:t>
      </w:r>
      <w:r w:rsidRPr="006D66BF">
        <w:rPr>
          <w:lang w:eastAsia="ja-JP"/>
        </w:rPr>
        <w:t xml:space="preserve"> are summarised in the table </w:t>
      </w:r>
      <w:r w:rsidRPr="006D66BF">
        <w:rPr>
          <w:rFonts w:hint="eastAsia"/>
          <w:lang w:eastAsia="ja-JP"/>
        </w:rPr>
        <w:t>6</w:t>
      </w:r>
      <w:r w:rsidRPr="006D66BF">
        <w:rPr>
          <w:lang w:eastAsia="ja-JP"/>
        </w:rPr>
        <w:t>.</w:t>
      </w:r>
    </w:p>
    <w:p w14:paraId="30FFE6E4" w14:textId="77777777" w:rsidR="00FC3A3D" w:rsidRPr="006D66BF" w:rsidRDefault="00FC3A3D" w:rsidP="00FC3A3D">
      <w:pPr>
        <w:pStyle w:val="BodyText"/>
        <w:rPr>
          <w:u w:val="single"/>
          <w:lang w:val="en-US"/>
        </w:rPr>
      </w:pPr>
      <w:r w:rsidRPr="006D66BF">
        <w:rPr>
          <w:rFonts w:hint="eastAsia"/>
          <w:u w:val="single"/>
          <w:lang w:val="en-US"/>
        </w:rPr>
        <w:t>Fish</w:t>
      </w:r>
    </w:p>
    <w:p w14:paraId="30FFE6E5" w14:textId="77777777" w:rsidR="00FC3A3D" w:rsidRPr="006D66BF" w:rsidRDefault="00FC3A3D" w:rsidP="00FC3A3D">
      <w:pPr>
        <w:pStyle w:val="BodyText"/>
        <w:rPr>
          <w:lang w:val="en-US" w:eastAsia="ja-JP"/>
        </w:rPr>
      </w:pPr>
      <w:r w:rsidRPr="006D66BF">
        <w:rPr>
          <w:rFonts w:hint="eastAsia"/>
          <w:lang w:val="en-US"/>
        </w:rPr>
        <w:t>No data available</w:t>
      </w:r>
    </w:p>
    <w:p w14:paraId="30FFE6E6" w14:textId="77777777" w:rsidR="00FC3A3D" w:rsidRPr="006D66BF" w:rsidRDefault="00FC3A3D" w:rsidP="00FC3A3D">
      <w:pPr>
        <w:pStyle w:val="BodyText"/>
        <w:rPr>
          <w:u w:val="single"/>
          <w:lang w:val="en-US"/>
        </w:rPr>
      </w:pPr>
      <w:r w:rsidRPr="006D66BF">
        <w:rPr>
          <w:rFonts w:hint="eastAsia"/>
          <w:u w:val="single"/>
          <w:lang w:val="en-US"/>
        </w:rPr>
        <w:t>Invertebrates</w:t>
      </w:r>
    </w:p>
    <w:p w14:paraId="30FFE6E7" w14:textId="77777777" w:rsidR="00FC3A3D" w:rsidRPr="006D66BF" w:rsidRDefault="00FC3A3D" w:rsidP="00EC41D1">
      <w:pPr>
        <w:pStyle w:val="BodyText"/>
        <w:rPr>
          <w:lang w:val="en-US" w:eastAsia="ja-JP"/>
        </w:rPr>
      </w:pPr>
      <w:r w:rsidRPr="006D66BF">
        <w:rPr>
          <w:lang w:val="en-US"/>
        </w:rPr>
        <w:t xml:space="preserve">A chronic toxicity </w:t>
      </w:r>
      <w:r w:rsidRPr="006D66BF">
        <w:rPr>
          <w:rFonts w:hint="eastAsia"/>
          <w:lang w:val="en-US" w:eastAsia="ja-JP"/>
        </w:rPr>
        <w:t xml:space="preserve">test </w:t>
      </w:r>
      <w:r w:rsidRPr="006D66BF">
        <w:rPr>
          <w:lang w:val="en-US"/>
        </w:rPr>
        <w:t xml:space="preserve">of </w:t>
      </w:r>
      <w:r w:rsidRPr="006D66BF">
        <w:rPr>
          <w:rFonts w:eastAsia="MS-UIGothic"/>
          <w:szCs w:val="24"/>
          <w:lang w:val="en-US"/>
        </w:rPr>
        <w:t>1</w:t>
      </w:r>
      <w:proofErr w:type="gramStart"/>
      <w:r w:rsidRPr="006D66BF">
        <w:rPr>
          <w:rFonts w:eastAsia="MS-UIGothic"/>
          <w:szCs w:val="24"/>
          <w:lang w:val="en-US"/>
        </w:rPr>
        <w:t>,1,1</w:t>
      </w:r>
      <w:proofErr w:type="gramEnd"/>
      <w:r w:rsidRPr="006D66BF">
        <w:rPr>
          <w:rFonts w:eastAsia="MS-UIGothic"/>
          <w:szCs w:val="24"/>
          <w:lang w:val="en-US"/>
        </w:rPr>
        <w:t xml:space="preserve">-tris(hydroxymethyl)ethane </w:t>
      </w:r>
      <w:r w:rsidRPr="006D66BF">
        <w:rPr>
          <w:lang w:val="en-US"/>
        </w:rPr>
        <w:t xml:space="preserve"> to </w:t>
      </w:r>
      <w:r w:rsidRPr="006D66BF">
        <w:rPr>
          <w:i/>
          <w:lang w:val="en-US"/>
        </w:rPr>
        <w:t>Daphnia magna</w:t>
      </w:r>
      <w:r w:rsidRPr="006D66BF">
        <w:rPr>
          <w:lang w:val="en-US"/>
        </w:rPr>
        <w:t>, OECD-TG 211, GLP study</w:t>
      </w:r>
      <w:r w:rsidRPr="006D66BF">
        <w:rPr>
          <w:rFonts w:hint="eastAsia"/>
          <w:lang w:val="en-US" w:eastAsia="ja-JP"/>
        </w:rPr>
        <w:t xml:space="preserve">, </w:t>
      </w:r>
      <w:r w:rsidRPr="006D66BF">
        <w:rPr>
          <w:lang w:val="en-US"/>
        </w:rPr>
        <w:t xml:space="preserve">on reproduction was reported (MOE, Japan. </w:t>
      </w:r>
      <w:r w:rsidRPr="006D66BF">
        <w:rPr>
          <w:rFonts w:hint="eastAsia"/>
          <w:lang w:val="en-US" w:eastAsia="ja-JP"/>
        </w:rPr>
        <w:t>1998</w:t>
      </w:r>
      <w:r w:rsidRPr="006D66BF">
        <w:rPr>
          <w:rFonts w:hint="eastAsia"/>
          <w:lang w:val="en-US"/>
        </w:rPr>
        <w:t xml:space="preserve">). </w:t>
      </w:r>
      <w:r w:rsidRPr="006D66BF">
        <w:rPr>
          <w:rFonts w:hint="eastAsia"/>
          <w:lang w:val="en-US" w:eastAsia="ja-JP"/>
        </w:rPr>
        <w:t xml:space="preserve">The test was conducted as a limit test with </w:t>
      </w:r>
      <w:r w:rsidRPr="006D66BF">
        <w:rPr>
          <w:lang w:val="en-US" w:eastAsia="ja-JP"/>
        </w:rPr>
        <w:t>an</w:t>
      </w:r>
      <w:r w:rsidRPr="006D66BF">
        <w:rPr>
          <w:rFonts w:hint="eastAsia"/>
          <w:lang w:val="en-US" w:eastAsia="ja-JP"/>
        </w:rPr>
        <w:t xml:space="preserve"> exposure concentration of 100 mg/L in nominal, under s</w:t>
      </w:r>
      <w:r w:rsidRPr="006D66BF">
        <w:rPr>
          <w:lang w:val="en-US"/>
        </w:rPr>
        <w:t xml:space="preserve">emi-static </w:t>
      </w:r>
      <w:r w:rsidRPr="006D66BF">
        <w:rPr>
          <w:rFonts w:hint="eastAsia"/>
          <w:lang w:val="en-US" w:eastAsia="ja-JP"/>
        </w:rPr>
        <w:t xml:space="preserve">condition in which the test solution was </w:t>
      </w:r>
      <w:r w:rsidRPr="006D66BF">
        <w:rPr>
          <w:lang w:val="en-US"/>
        </w:rPr>
        <w:t xml:space="preserve">renewed </w:t>
      </w:r>
      <w:r w:rsidRPr="006D66BF">
        <w:rPr>
          <w:rFonts w:hint="eastAsia"/>
          <w:lang w:val="en-US" w:eastAsia="ja-JP"/>
        </w:rPr>
        <w:t>three times per a week</w:t>
      </w:r>
      <w:r w:rsidRPr="006D66BF">
        <w:rPr>
          <w:lang w:val="en-US"/>
        </w:rPr>
        <w:t xml:space="preserve">. </w:t>
      </w:r>
      <w:r w:rsidRPr="006D66BF">
        <w:rPr>
          <w:rFonts w:hint="eastAsia"/>
          <w:lang w:val="en-US"/>
        </w:rPr>
        <w:t xml:space="preserve">The test substance </w:t>
      </w:r>
      <w:r w:rsidRPr="006D66BF">
        <w:rPr>
          <w:rFonts w:hint="eastAsia"/>
          <w:lang w:val="en-US" w:eastAsia="ja-JP"/>
        </w:rPr>
        <w:t>was</w:t>
      </w:r>
      <w:r w:rsidRPr="006D66BF">
        <w:rPr>
          <w:rFonts w:hint="eastAsia"/>
          <w:lang w:val="en-US"/>
        </w:rPr>
        <w:t xml:space="preserve"> measured once a week for both fresh and expired test solution by using a </w:t>
      </w:r>
      <w:r w:rsidRPr="006D66BF">
        <w:rPr>
          <w:rFonts w:hint="eastAsia"/>
          <w:lang w:val="en-US" w:eastAsia="ja-JP"/>
        </w:rPr>
        <w:t>GC</w:t>
      </w:r>
      <w:r w:rsidRPr="006D66BF">
        <w:rPr>
          <w:rFonts w:hint="eastAsia"/>
          <w:lang w:val="en-US"/>
        </w:rPr>
        <w:t xml:space="preserve">. The </w:t>
      </w:r>
      <w:r w:rsidRPr="006D66BF">
        <w:rPr>
          <w:rFonts w:hint="eastAsia"/>
          <w:lang w:val="en-US" w:eastAsia="ja-JP"/>
        </w:rPr>
        <w:t xml:space="preserve">mean </w:t>
      </w:r>
      <w:r w:rsidRPr="006D66BF">
        <w:rPr>
          <w:lang w:val="en-US" w:eastAsia="ja-JP"/>
        </w:rPr>
        <w:t xml:space="preserve">measured </w:t>
      </w:r>
      <w:r w:rsidRPr="006D66BF">
        <w:rPr>
          <w:lang w:val="en-US"/>
        </w:rPr>
        <w:t>concentration</w:t>
      </w:r>
      <w:r w:rsidRPr="006D66BF">
        <w:rPr>
          <w:rFonts w:hint="eastAsia"/>
          <w:lang w:val="en-US"/>
        </w:rPr>
        <w:t xml:space="preserve"> w</w:t>
      </w:r>
      <w:r w:rsidRPr="006D66BF">
        <w:rPr>
          <w:rFonts w:hint="eastAsia"/>
          <w:lang w:val="en-US" w:eastAsia="ja-JP"/>
        </w:rPr>
        <w:t>as determined as 88.5</w:t>
      </w:r>
      <w:r w:rsidRPr="006D66BF">
        <w:rPr>
          <w:rFonts w:hint="eastAsia"/>
          <w:lang w:val="en-US"/>
        </w:rPr>
        <w:t xml:space="preserve"> mg/L by time-weighted mean </w:t>
      </w:r>
      <w:r w:rsidRPr="006D66BF">
        <w:rPr>
          <w:rFonts w:hint="eastAsia"/>
          <w:lang w:val="en-US" w:eastAsia="ja-JP"/>
        </w:rPr>
        <w:t xml:space="preserve">because the measured value was ranging 77.6 - 103 % of nominal. In the test </w:t>
      </w:r>
      <w:r w:rsidRPr="006D66BF">
        <w:rPr>
          <w:lang w:val="en-US"/>
        </w:rPr>
        <w:t xml:space="preserve">number of offspring per female </w:t>
      </w:r>
      <w:r w:rsidRPr="006D66BF">
        <w:rPr>
          <w:rFonts w:hint="eastAsia"/>
          <w:lang w:val="en-US" w:eastAsia="ja-JP"/>
        </w:rPr>
        <w:t>was counted, and no significant difference between the control and treated group was observed. Since toxic symptoms were not observed the 21 day NOEC was determined as &gt; 88.5 mg/L based on the measured mean concentration.</w:t>
      </w:r>
    </w:p>
    <w:p w14:paraId="30FFE6E8" w14:textId="77777777" w:rsidR="00FC3A3D" w:rsidRPr="006D66BF" w:rsidRDefault="00FC3A3D" w:rsidP="00FC3A3D">
      <w:pPr>
        <w:pStyle w:val="BodyText"/>
        <w:rPr>
          <w:szCs w:val="24"/>
          <w:u w:val="single"/>
        </w:rPr>
      </w:pPr>
      <w:r w:rsidRPr="006D66BF">
        <w:rPr>
          <w:szCs w:val="24"/>
          <w:u w:val="single"/>
        </w:rPr>
        <w:t>Aquatic plant, e.g. Algae</w:t>
      </w:r>
    </w:p>
    <w:p w14:paraId="30FFE6E9" w14:textId="77777777" w:rsidR="00FC3A3D" w:rsidRPr="006D66BF" w:rsidRDefault="00FC3A3D" w:rsidP="00EC41D1">
      <w:pPr>
        <w:spacing w:after="180"/>
        <w:jc w:val="both"/>
      </w:pPr>
      <w:r w:rsidRPr="006D66BF">
        <w:t xml:space="preserve">Corresponding to the algal growth inhibition test (MOE Japan, </w:t>
      </w:r>
      <w:r w:rsidRPr="006D66BF">
        <w:rPr>
          <w:rFonts w:hint="eastAsia"/>
        </w:rPr>
        <w:t>1998</w:t>
      </w:r>
      <w:r w:rsidRPr="006D66BF">
        <w:t>) described in acute toxicity section, the chronic eco-toxicity of</w:t>
      </w:r>
      <w:r w:rsidRPr="006D66BF">
        <w:rPr>
          <w:rFonts w:hint="eastAsia"/>
        </w:rPr>
        <w:t xml:space="preserve"> </w:t>
      </w:r>
      <w:r w:rsidRPr="006D66BF">
        <w:rPr>
          <w:rFonts w:eastAsia="MS-UIGothic"/>
        </w:rPr>
        <w:t>1</w:t>
      </w:r>
      <w:proofErr w:type="gramStart"/>
      <w:r w:rsidRPr="006D66BF">
        <w:rPr>
          <w:rFonts w:eastAsia="MS-UIGothic"/>
        </w:rPr>
        <w:t>,1,1</w:t>
      </w:r>
      <w:proofErr w:type="gramEnd"/>
      <w:r w:rsidRPr="006D66BF">
        <w:rPr>
          <w:rFonts w:eastAsia="MS-UIGothic"/>
        </w:rPr>
        <w:t xml:space="preserve">-tris(hydroxymethyl)ethane </w:t>
      </w:r>
      <w:r w:rsidRPr="006D66BF">
        <w:t xml:space="preserve"> was also determined. The 72 h NOECs by growth rate method and by area under growth curve method were </w:t>
      </w:r>
      <w:r w:rsidRPr="006D66BF">
        <w:rPr>
          <w:rFonts w:hint="eastAsia"/>
        </w:rPr>
        <w:t>determined</w:t>
      </w:r>
      <w:r w:rsidRPr="006D66BF">
        <w:t xml:space="preserve"> </w:t>
      </w:r>
      <w:r w:rsidRPr="006D66BF">
        <w:rPr>
          <w:rFonts w:hint="eastAsia"/>
        </w:rPr>
        <w:t>as &gt;1000 mg/L and &gt;1000 mg/L</w:t>
      </w:r>
      <w:r w:rsidRPr="006D66BF">
        <w:t>, respectively</w:t>
      </w:r>
      <w:r w:rsidRPr="006D66BF">
        <w:rPr>
          <w:rFonts w:hint="eastAsia"/>
        </w:rPr>
        <w:t>.</w:t>
      </w:r>
    </w:p>
    <w:p w14:paraId="30FFE6EA" w14:textId="77777777" w:rsidR="00FC3A3D" w:rsidRPr="006D66BF" w:rsidRDefault="00FC3A3D" w:rsidP="00FC3A3D">
      <w:pPr>
        <w:pStyle w:val="Caption"/>
        <w:rPr>
          <w:bCs w:val="0"/>
          <w:lang w:eastAsia="ja-JP"/>
        </w:rPr>
      </w:pPr>
      <w:bookmarkStart w:id="159" w:name="_Toc282509944"/>
      <w:bookmarkStart w:id="160" w:name="_Toc297298011"/>
      <w:r w:rsidRPr="006D66BF">
        <w:t xml:space="preserve">Table </w:t>
      </w:r>
      <w:fldSimple w:instr=" SEQ Table \* ARABIC ">
        <w:r w:rsidR="006D66BF">
          <w:rPr>
            <w:noProof/>
          </w:rPr>
          <w:t>5</w:t>
        </w:r>
      </w:fldSimple>
      <w:r w:rsidRPr="006D66BF">
        <w:rPr>
          <w:lang w:eastAsia="ja-JP"/>
        </w:rPr>
        <w:t xml:space="preserve">  </w:t>
      </w:r>
      <w:r w:rsidRPr="006D66BF">
        <w:rPr>
          <w:bCs w:val="0"/>
          <w:lang w:eastAsia="ja-JP"/>
        </w:rPr>
        <w:t>Chronic toxicity of</w:t>
      </w:r>
      <w:r w:rsidRPr="006D66BF">
        <w:rPr>
          <w:rFonts w:hint="eastAsia"/>
          <w:bCs w:val="0"/>
          <w:lang w:eastAsia="ja-JP"/>
        </w:rPr>
        <w:t xml:space="preserve"> </w:t>
      </w:r>
      <w:r w:rsidRPr="006D66BF">
        <w:rPr>
          <w:rFonts w:ascii="Times New Roman" w:eastAsia="MS-UIGothic" w:hAnsi="Times New Roman"/>
          <w:szCs w:val="24"/>
        </w:rPr>
        <w:t>1</w:t>
      </w:r>
      <w:proofErr w:type="gramStart"/>
      <w:r w:rsidRPr="006D66BF">
        <w:rPr>
          <w:rFonts w:ascii="Times New Roman" w:eastAsia="MS-UIGothic" w:hAnsi="Times New Roman"/>
          <w:szCs w:val="24"/>
        </w:rPr>
        <w:t>,1,1</w:t>
      </w:r>
      <w:proofErr w:type="gramEnd"/>
      <w:r w:rsidRPr="006D66BF">
        <w:rPr>
          <w:rFonts w:ascii="Times New Roman" w:eastAsia="MS-UIGothic" w:hAnsi="Times New Roman"/>
          <w:szCs w:val="24"/>
        </w:rPr>
        <w:t xml:space="preserve">-tris(hydroxymethyl)ethane </w:t>
      </w:r>
      <w:r w:rsidRPr="006D66BF">
        <w:rPr>
          <w:lang w:eastAsia="ja-JP"/>
        </w:rPr>
        <w:t xml:space="preserve"> </w:t>
      </w:r>
      <w:r w:rsidRPr="006D66BF">
        <w:rPr>
          <w:bCs w:val="0"/>
          <w:lang w:eastAsia="ja-JP"/>
        </w:rPr>
        <w:t>to aquatic organisms</w:t>
      </w:r>
      <w:bookmarkEnd w:id="159"/>
      <w:bookmarkEnd w:id="160"/>
      <w:r w:rsidRPr="006D66BF">
        <w:rPr>
          <w:bCs w:val="0"/>
          <w:lang w:eastAsia="ja-JP"/>
        </w:rPr>
        <w:t xml:space="preserve"> </w:t>
      </w:r>
    </w:p>
    <w:tbl>
      <w:tblPr>
        <w:tblW w:w="9670" w:type="dxa"/>
        <w:tblInd w:w="89"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CellMar>
          <w:left w:w="99" w:type="dxa"/>
          <w:right w:w="99" w:type="dxa"/>
        </w:tblCellMar>
        <w:tblLook w:val="0000" w:firstRow="0" w:lastRow="0" w:firstColumn="0" w:lastColumn="0" w:noHBand="0" w:noVBand="0"/>
      </w:tblPr>
      <w:tblGrid>
        <w:gridCol w:w="1995"/>
        <w:gridCol w:w="1417"/>
        <w:gridCol w:w="1134"/>
        <w:gridCol w:w="2410"/>
        <w:gridCol w:w="851"/>
        <w:gridCol w:w="1863"/>
      </w:tblGrid>
      <w:tr w:rsidR="00FC3A3D" w:rsidRPr="006D66BF" w14:paraId="30FFE6F1" w14:textId="77777777" w:rsidTr="00EC41D1">
        <w:trPr>
          <w:trHeight w:val="315"/>
        </w:trPr>
        <w:tc>
          <w:tcPr>
            <w:tcW w:w="1995" w:type="dxa"/>
            <w:tcBorders>
              <w:top w:val="single" w:sz="12" w:space="0" w:color="000000" w:themeColor="text1"/>
              <w:bottom w:val="single" w:sz="12" w:space="0" w:color="000000" w:themeColor="text1"/>
            </w:tcBorders>
            <w:shd w:val="clear" w:color="auto" w:fill="auto"/>
          </w:tcPr>
          <w:p w14:paraId="30FFE6EB" w14:textId="77777777" w:rsidR="00FC3A3D" w:rsidRPr="006D66BF" w:rsidRDefault="00FC3A3D" w:rsidP="00FC3A3D">
            <w:pPr>
              <w:rPr>
                <w:rFonts w:eastAsia="MS PGothic"/>
              </w:rPr>
            </w:pPr>
            <w:r w:rsidRPr="006D66BF">
              <w:rPr>
                <w:rFonts w:eastAsia="MS PGothic"/>
              </w:rPr>
              <w:t>Species</w:t>
            </w:r>
          </w:p>
        </w:tc>
        <w:tc>
          <w:tcPr>
            <w:tcW w:w="1417" w:type="dxa"/>
            <w:tcBorders>
              <w:top w:val="single" w:sz="12" w:space="0" w:color="000000" w:themeColor="text1"/>
              <w:bottom w:val="single" w:sz="12" w:space="0" w:color="000000" w:themeColor="text1"/>
            </w:tcBorders>
            <w:shd w:val="clear" w:color="auto" w:fill="auto"/>
          </w:tcPr>
          <w:p w14:paraId="30FFE6EC" w14:textId="77777777" w:rsidR="00FC3A3D" w:rsidRPr="006D66BF" w:rsidRDefault="00FC3A3D" w:rsidP="00FC3A3D">
            <w:pPr>
              <w:rPr>
                <w:rFonts w:eastAsia="MS PGothic"/>
              </w:rPr>
            </w:pPr>
            <w:r w:rsidRPr="006D66BF">
              <w:rPr>
                <w:rFonts w:eastAsia="MS PGothic"/>
              </w:rPr>
              <w:t>Method</w:t>
            </w:r>
          </w:p>
        </w:tc>
        <w:tc>
          <w:tcPr>
            <w:tcW w:w="1134" w:type="dxa"/>
            <w:tcBorders>
              <w:top w:val="single" w:sz="12" w:space="0" w:color="000000" w:themeColor="text1"/>
              <w:bottom w:val="single" w:sz="12" w:space="0" w:color="000000" w:themeColor="text1"/>
            </w:tcBorders>
            <w:shd w:val="clear" w:color="auto" w:fill="auto"/>
          </w:tcPr>
          <w:p w14:paraId="30FFE6ED" w14:textId="77777777" w:rsidR="00FC3A3D" w:rsidRPr="006D66BF" w:rsidRDefault="00FC3A3D" w:rsidP="00FC3A3D">
            <w:pPr>
              <w:rPr>
                <w:rFonts w:eastAsia="MS PGothic"/>
              </w:rPr>
            </w:pPr>
            <w:r w:rsidRPr="006D66BF">
              <w:rPr>
                <w:rFonts w:eastAsia="MS PGothic"/>
              </w:rPr>
              <w:t>Exposure</w:t>
            </w:r>
          </w:p>
        </w:tc>
        <w:tc>
          <w:tcPr>
            <w:tcW w:w="2410" w:type="dxa"/>
            <w:tcBorders>
              <w:top w:val="single" w:sz="12" w:space="0" w:color="000000" w:themeColor="text1"/>
              <w:bottom w:val="single" w:sz="12" w:space="0" w:color="000000" w:themeColor="text1"/>
            </w:tcBorders>
            <w:shd w:val="clear" w:color="auto" w:fill="auto"/>
          </w:tcPr>
          <w:p w14:paraId="30FFE6EE" w14:textId="77777777" w:rsidR="00FC3A3D" w:rsidRPr="006D66BF" w:rsidRDefault="00FC3A3D" w:rsidP="00FC3A3D">
            <w:pPr>
              <w:rPr>
                <w:rFonts w:eastAsia="MS PGothic"/>
              </w:rPr>
            </w:pPr>
            <w:r w:rsidRPr="006D66BF">
              <w:rPr>
                <w:rFonts w:eastAsia="MS PGothic"/>
              </w:rPr>
              <w:t>Result</w:t>
            </w:r>
          </w:p>
        </w:tc>
        <w:tc>
          <w:tcPr>
            <w:tcW w:w="851" w:type="dxa"/>
            <w:tcBorders>
              <w:top w:val="single" w:sz="12" w:space="0" w:color="000000" w:themeColor="text1"/>
              <w:bottom w:val="single" w:sz="12" w:space="0" w:color="000000" w:themeColor="text1"/>
            </w:tcBorders>
            <w:shd w:val="clear" w:color="auto" w:fill="auto"/>
          </w:tcPr>
          <w:p w14:paraId="30FFE6EF" w14:textId="77777777" w:rsidR="00FC3A3D" w:rsidRPr="006D66BF" w:rsidRDefault="00FC3A3D" w:rsidP="00FC3A3D">
            <w:pPr>
              <w:rPr>
                <w:rFonts w:eastAsia="MS PGothic"/>
              </w:rPr>
            </w:pPr>
            <w:r w:rsidRPr="006D66BF">
              <w:rPr>
                <w:rFonts w:eastAsia="MS PGothic"/>
              </w:rPr>
              <w:t>Reliability</w:t>
            </w:r>
          </w:p>
        </w:tc>
        <w:tc>
          <w:tcPr>
            <w:tcW w:w="1863" w:type="dxa"/>
            <w:tcBorders>
              <w:top w:val="single" w:sz="12" w:space="0" w:color="000000" w:themeColor="text1"/>
              <w:bottom w:val="single" w:sz="12" w:space="0" w:color="000000" w:themeColor="text1"/>
            </w:tcBorders>
            <w:shd w:val="clear" w:color="auto" w:fill="auto"/>
          </w:tcPr>
          <w:p w14:paraId="30FFE6F0" w14:textId="77777777" w:rsidR="00FC3A3D" w:rsidRPr="006D66BF" w:rsidRDefault="00FC3A3D" w:rsidP="00FC3A3D">
            <w:pPr>
              <w:rPr>
                <w:rFonts w:eastAsia="MS PGothic"/>
              </w:rPr>
            </w:pPr>
            <w:r w:rsidRPr="006D66BF">
              <w:rPr>
                <w:rFonts w:eastAsia="MS PGothic"/>
              </w:rPr>
              <w:t>Reference</w:t>
            </w:r>
          </w:p>
        </w:tc>
      </w:tr>
      <w:tr w:rsidR="00FC3A3D" w:rsidRPr="006D66BF" w14:paraId="30FFE6FF" w14:textId="77777777" w:rsidTr="00EC41D1">
        <w:trPr>
          <w:trHeight w:val="540"/>
        </w:trPr>
        <w:tc>
          <w:tcPr>
            <w:tcW w:w="1995" w:type="dxa"/>
            <w:tcBorders>
              <w:top w:val="single" w:sz="12" w:space="0" w:color="000000" w:themeColor="text1"/>
            </w:tcBorders>
            <w:shd w:val="clear" w:color="auto" w:fill="auto"/>
          </w:tcPr>
          <w:p w14:paraId="30FFE6F2" w14:textId="77777777" w:rsidR="00FC3A3D" w:rsidRPr="006D66BF" w:rsidRDefault="00FC3A3D" w:rsidP="00FC3A3D">
            <w:pPr>
              <w:rPr>
                <w:rFonts w:eastAsia="MS PGothic"/>
                <w:i/>
                <w:iCs/>
              </w:rPr>
            </w:pPr>
            <w:r w:rsidRPr="006D66BF">
              <w:rPr>
                <w:rFonts w:eastAsia="MS PGothic"/>
                <w:i/>
                <w:iCs/>
              </w:rPr>
              <w:t>Daphnia magna</w:t>
            </w:r>
          </w:p>
          <w:p w14:paraId="30FFE6F3" w14:textId="77777777" w:rsidR="00FC3A3D" w:rsidRPr="006D66BF" w:rsidRDefault="00FC3A3D" w:rsidP="00FC3A3D">
            <w:pPr>
              <w:rPr>
                <w:rFonts w:eastAsia="MS PGothic"/>
                <w:iCs/>
              </w:rPr>
            </w:pPr>
          </w:p>
        </w:tc>
        <w:tc>
          <w:tcPr>
            <w:tcW w:w="1417" w:type="dxa"/>
            <w:tcBorders>
              <w:top w:val="single" w:sz="12" w:space="0" w:color="000000" w:themeColor="text1"/>
            </w:tcBorders>
            <w:shd w:val="clear" w:color="auto" w:fill="auto"/>
          </w:tcPr>
          <w:p w14:paraId="30FFE6F4" w14:textId="77777777" w:rsidR="00FC3A3D" w:rsidRPr="006D66BF" w:rsidRDefault="00FC3A3D" w:rsidP="00FC3A3D">
            <w:pPr>
              <w:rPr>
                <w:rFonts w:eastAsia="MS PGothic"/>
              </w:rPr>
            </w:pPr>
            <w:r w:rsidRPr="006D66BF">
              <w:rPr>
                <w:rFonts w:eastAsia="MS PGothic" w:hint="eastAsia"/>
              </w:rPr>
              <w:t>OECD TG 211, limit test, GLP</w:t>
            </w:r>
          </w:p>
          <w:p w14:paraId="30FFE6F5" w14:textId="77777777" w:rsidR="00FC3A3D" w:rsidRPr="006D66BF" w:rsidRDefault="00FC3A3D" w:rsidP="00FC3A3D">
            <w:pPr>
              <w:rPr>
                <w:rFonts w:eastAsia="MS PGothic"/>
              </w:rPr>
            </w:pPr>
          </w:p>
        </w:tc>
        <w:tc>
          <w:tcPr>
            <w:tcW w:w="1134" w:type="dxa"/>
            <w:tcBorders>
              <w:top w:val="single" w:sz="12" w:space="0" w:color="000000" w:themeColor="text1"/>
            </w:tcBorders>
            <w:shd w:val="clear" w:color="auto" w:fill="auto"/>
          </w:tcPr>
          <w:p w14:paraId="30FFE6F6" w14:textId="77777777" w:rsidR="00FC3A3D" w:rsidRPr="006D66BF" w:rsidRDefault="00FC3A3D" w:rsidP="00FC3A3D">
            <w:pPr>
              <w:rPr>
                <w:rFonts w:eastAsia="MS PGothic"/>
              </w:rPr>
            </w:pPr>
            <w:r w:rsidRPr="006D66BF">
              <w:rPr>
                <w:rFonts w:eastAsia="MS PGothic"/>
              </w:rPr>
              <w:t>21 d semi-static</w:t>
            </w:r>
          </w:p>
          <w:p w14:paraId="30FFE6F7" w14:textId="77777777" w:rsidR="00FC3A3D" w:rsidRPr="006D66BF" w:rsidRDefault="00FC3A3D" w:rsidP="00FC3A3D">
            <w:pPr>
              <w:rPr>
                <w:rFonts w:eastAsia="MS PGothic"/>
              </w:rPr>
            </w:pPr>
          </w:p>
        </w:tc>
        <w:tc>
          <w:tcPr>
            <w:tcW w:w="2410" w:type="dxa"/>
            <w:tcBorders>
              <w:top w:val="single" w:sz="12" w:space="0" w:color="000000" w:themeColor="text1"/>
            </w:tcBorders>
            <w:shd w:val="clear" w:color="auto" w:fill="auto"/>
          </w:tcPr>
          <w:p w14:paraId="30FFE6F8" w14:textId="77777777" w:rsidR="00FC3A3D" w:rsidRPr="006D66BF" w:rsidRDefault="00FC3A3D" w:rsidP="00FC3A3D">
            <w:pPr>
              <w:rPr>
                <w:rFonts w:eastAsia="MS PGothic"/>
              </w:rPr>
            </w:pPr>
            <w:r w:rsidRPr="006D66BF">
              <w:rPr>
                <w:rFonts w:eastAsia="MS PGothic"/>
              </w:rPr>
              <w:t xml:space="preserve">NOEC </w:t>
            </w:r>
            <w:r w:rsidRPr="006D66BF">
              <w:rPr>
                <w:rFonts w:eastAsia="MS PGothic" w:hint="eastAsia"/>
              </w:rPr>
              <w:t>&gt;</w:t>
            </w:r>
            <w:r w:rsidRPr="006D66BF">
              <w:rPr>
                <w:rFonts w:eastAsia="MS PGothic"/>
              </w:rPr>
              <w:t xml:space="preserve"> </w:t>
            </w:r>
            <w:r w:rsidRPr="006D66BF">
              <w:rPr>
                <w:rFonts w:eastAsia="MS PGothic" w:hint="eastAsia"/>
              </w:rPr>
              <w:t>88.5 mg/L</w:t>
            </w:r>
          </w:p>
          <w:p w14:paraId="30FFE6F9" w14:textId="77777777" w:rsidR="00FC3A3D" w:rsidRPr="006D66BF" w:rsidRDefault="00FC3A3D" w:rsidP="00FC3A3D">
            <w:pPr>
              <w:rPr>
                <w:rFonts w:eastAsia="MS PGothic"/>
              </w:rPr>
            </w:pPr>
            <w:r w:rsidRPr="006D66BF">
              <w:rPr>
                <w:rFonts w:eastAsia="MS PGothic" w:hint="eastAsia"/>
              </w:rPr>
              <w:t>(</w:t>
            </w:r>
            <w:r w:rsidRPr="006D66BF">
              <w:rPr>
                <w:rFonts w:eastAsia="MS PGothic"/>
              </w:rPr>
              <w:t>measured</w:t>
            </w:r>
            <w:r w:rsidRPr="006D66BF">
              <w:rPr>
                <w:rFonts w:eastAsia="MS PGothic" w:hint="eastAsia"/>
              </w:rPr>
              <w:t xml:space="preserve">) </w:t>
            </w:r>
          </w:p>
          <w:p w14:paraId="30FFE6FA" w14:textId="77777777" w:rsidR="00FC3A3D" w:rsidRPr="006D66BF" w:rsidRDefault="00FC3A3D" w:rsidP="00FC3A3D">
            <w:pPr>
              <w:rPr>
                <w:rFonts w:eastAsia="MS PGothic"/>
              </w:rPr>
            </w:pPr>
            <w:r w:rsidRPr="006D66BF">
              <w:rPr>
                <w:rFonts w:eastAsia="MS PGothic" w:hint="eastAsia"/>
              </w:rPr>
              <w:t>reproduction</w:t>
            </w:r>
          </w:p>
        </w:tc>
        <w:tc>
          <w:tcPr>
            <w:tcW w:w="851" w:type="dxa"/>
            <w:tcBorders>
              <w:top w:val="single" w:sz="12" w:space="0" w:color="000000" w:themeColor="text1"/>
            </w:tcBorders>
            <w:shd w:val="clear" w:color="auto" w:fill="auto"/>
          </w:tcPr>
          <w:p w14:paraId="30FFE6FB" w14:textId="77777777" w:rsidR="00FC3A3D" w:rsidRPr="006D66BF" w:rsidRDefault="00FC3A3D" w:rsidP="00FC3A3D">
            <w:pPr>
              <w:jc w:val="center"/>
              <w:rPr>
                <w:rFonts w:eastAsia="MS PGothic"/>
              </w:rPr>
            </w:pPr>
            <w:r w:rsidRPr="006D66BF">
              <w:rPr>
                <w:rFonts w:eastAsia="MS PGothic" w:hint="eastAsia"/>
              </w:rPr>
              <w:t>1</w:t>
            </w:r>
          </w:p>
          <w:p w14:paraId="30FFE6FC" w14:textId="77777777" w:rsidR="00FC3A3D" w:rsidRPr="006D66BF" w:rsidRDefault="00FC3A3D" w:rsidP="00FC3A3D">
            <w:pPr>
              <w:jc w:val="center"/>
              <w:rPr>
                <w:rFonts w:eastAsia="MS PGothic"/>
              </w:rPr>
            </w:pPr>
          </w:p>
        </w:tc>
        <w:tc>
          <w:tcPr>
            <w:tcW w:w="1863" w:type="dxa"/>
            <w:tcBorders>
              <w:top w:val="single" w:sz="12" w:space="0" w:color="000000" w:themeColor="text1"/>
            </w:tcBorders>
            <w:shd w:val="clear" w:color="auto" w:fill="auto"/>
          </w:tcPr>
          <w:p w14:paraId="30FFE6FD" w14:textId="77777777" w:rsidR="00FC3A3D" w:rsidRPr="006D66BF" w:rsidRDefault="00FC3A3D" w:rsidP="00FC3A3D">
            <w:pPr>
              <w:rPr>
                <w:rFonts w:eastAsia="MS PGothic"/>
              </w:rPr>
            </w:pPr>
            <w:r w:rsidRPr="006D66BF">
              <w:rPr>
                <w:rFonts w:eastAsia="MS PGothic"/>
              </w:rPr>
              <w:t>MOE, Japan (</w:t>
            </w:r>
            <w:r w:rsidRPr="006D66BF">
              <w:rPr>
                <w:rFonts w:eastAsia="MS PGothic" w:hint="eastAsia"/>
              </w:rPr>
              <w:t>1998</w:t>
            </w:r>
            <w:r w:rsidRPr="006D66BF">
              <w:rPr>
                <w:rFonts w:eastAsia="MS PGothic"/>
              </w:rPr>
              <w:t>)</w:t>
            </w:r>
          </w:p>
          <w:p w14:paraId="30FFE6FE" w14:textId="77777777" w:rsidR="00FC3A3D" w:rsidRPr="006D66BF" w:rsidRDefault="00FC3A3D" w:rsidP="00FC3A3D">
            <w:pPr>
              <w:rPr>
                <w:rFonts w:eastAsia="MS PGothic"/>
              </w:rPr>
            </w:pPr>
          </w:p>
        </w:tc>
      </w:tr>
      <w:tr w:rsidR="00FC3A3D" w:rsidRPr="006D66BF" w14:paraId="30FFE70C" w14:textId="77777777" w:rsidTr="00EC41D1">
        <w:trPr>
          <w:trHeight w:val="898"/>
        </w:trPr>
        <w:tc>
          <w:tcPr>
            <w:tcW w:w="1995" w:type="dxa"/>
            <w:shd w:val="clear" w:color="auto" w:fill="auto"/>
          </w:tcPr>
          <w:p w14:paraId="30FFE700" w14:textId="77777777" w:rsidR="00FC3A3D" w:rsidRPr="006D66BF" w:rsidRDefault="00FC3A3D" w:rsidP="00FC3A3D">
            <w:pPr>
              <w:rPr>
                <w:rFonts w:eastAsia="MS PGothic"/>
                <w:i/>
              </w:rPr>
            </w:pPr>
            <w:r w:rsidRPr="006D66BF">
              <w:rPr>
                <w:rFonts w:eastAsia="MS PGothic"/>
                <w:i/>
              </w:rPr>
              <w:t xml:space="preserve">Pseudokirchneriella </w:t>
            </w:r>
          </w:p>
          <w:p w14:paraId="30FFE701" w14:textId="77777777" w:rsidR="00FC3A3D" w:rsidRPr="006D66BF" w:rsidRDefault="00FC3A3D" w:rsidP="00FC3A3D">
            <w:pPr>
              <w:rPr>
                <w:rFonts w:eastAsia="MS PGothic"/>
                <w:i/>
              </w:rPr>
            </w:pPr>
            <w:r w:rsidRPr="006D66BF">
              <w:rPr>
                <w:rFonts w:eastAsia="MS PGothic"/>
                <w:i/>
              </w:rPr>
              <w:t>subcapitata</w:t>
            </w:r>
          </w:p>
        </w:tc>
        <w:tc>
          <w:tcPr>
            <w:tcW w:w="1417" w:type="dxa"/>
            <w:shd w:val="clear" w:color="auto" w:fill="auto"/>
          </w:tcPr>
          <w:p w14:paraId="30FFE702" w14:textId="77777777" w:rsidR="00FC3A3D" w:rsidRPr="006D66BF" w:rsidRDefault="00FC3A3D" w:rsidP="00FC3A3D">
            <w:pPr>
              <w:rPr>
                <w:rFonts w:eastAsia="MS PGothic"/>
              </w:rPr>
            </w:pPr>
            <w:r w:rsidRPr="006D66BF">
              <w:rPr>
                <w:rFonts w:eastAsia="MS PGothic"/>
              </w:rPr>
              <w:t>OECD TG 201</w:t>
            </w:r>
            <w:r w:rsidRPr="006D66BF">
              <w:rPr>
                <w:rFonts w:eastAsia="MS PGothic" w:hint="eastAsia"/>
              </w:rPr>
              <w:t>, limit test,</w:t>
            </w:r>
            <w:r w:rsidRPr="006D66BF">
              <w:rPr>
                <w:rFonts w:eastAsia="MS PGothic"/>
              </w:rPr>
              <w:t xml:space="preserve"> </w:t>
            </w:r>
          </w:p>
          <w:p w14:paraId="30FFE703" w14:textId="77777777" w:rsidR="00FC3A3D" w:rsidRPr="006D66BF" w:rsidRDefault="00FC3A3D" w:rsidP="00FC3A3D">
            <w:pPr>
              <w:rPr>
                <w:rFonts w:eastAsia="MS PGothic"/>
              </w:rPr>
            </w:pPr>
            <w:r w:rsidRPr="006D66BF">
              <w:rPr>
                <w:rFonts w:eastAsia="MS PGothic"/>
              </w:rPr>
              <w:t>GLP</w:t>
            </w:r>
          </w:p>
        </w:tc>
        <w:tc>
          <w:tcPr>
            <w:tcW w:w="1134" w:type="dxa"/>
            <w:shd w:val="clear" w:color="auto" w:fill="auto"/>
          </w:tcPr>
          <w:p w14:paraId="30FFE704" w14:textId="77777777" w:rsidR="00FC3A3D" w:rsidRPr="006D66BF" w:rsidRDefault="00FC3A3D" w:rsidP="00FC3A3D">
            <w:pPr>
              <w:rPr>
                <w:rFonts w:eastAsia="MS PGothic"/>
              </w:rPr>
            </w:pPr>
            <w:r w:rsidRPr="006D66BF">
              <w:rPr>
                <w:rFonts w:eastAsia="MS PGothic"/>
              </w:rPr>
              <w:t xml:space="preserve">72 h static, </w:t>
            </w:r>
          </w:p>
        </w:tc>
        <w:tc>
          <w:tcPr>
            <w:tcW w:w="2410" w:type="dxa"/>
            <w:shd w:val="clear" w:color="auto" w:fill="auto"/>
          </w:tcPr>
          <w:p w14:paraId="30FFE705" w14:textId="77777777" w:rsidR="00FC3A3D" w:rsidRPr="006D66BF" w:rsidRDefault="00FC3A3D" w:rsidP="00FC3A3D">
            <w:pPr>
              <w:rPr>
                <w:rFonts w:eastAsia="MS PGothic"/>
              </w:rPr>
            </w:pPr>
            <w:r w:rsidRPr="006D66BF">
              <w:rPr>
                <w:rFonts w:eastAsia="MS PGothic"/>
              </w:rPr>
              <w:t>(Growth rate method)</w:t>
            </w:r>
          </w:p>
          <w:p w14:paraId="30FFE706" w14:textId="77777777" w:rsidR="00FC3A3D" w:rsidRPr="006D66BF" w:rsidRDefault="00FC3A3D" w:rsidP="00FC3A3D">
            <w:pPr>
              <w:rPr>
                <w:rFonts w:eastAsia="MS PGothic"/>
              </w:rPr>
            </w:pPr>
            <w:r w:rsidRPr="006D66BF">
              <w:rPr>
                <w:rFonts w:eastAsia="MS PGothic"/>
              </w:rPr>
              <w:t xml:space="preserve">NOErC </w:t>
            </w:r>
            <w:r w:rsidRPr="006D66BF">
              <w:rPr>
                <w:rFonts w:eastAsia="MS PGothic" w:hint="eastAsia"/>
              </w:rPr>
              <w:t xml:space="preserve">&gt; 1000 </w:t>
            </w:r>
            <w:r w:rsidRPr="006D66BF">
              <w:rPr>
                <w:rFonts w:eastAsia="MS PGothic"/>
              </w:rPr>
              <w:t>mg/L  (</w:t>
            </w:r>
            <w:r w:rsidRPr="006D66BF">
              <w:rPr>
                <w:rFonts w:eastAsia="MS PGothic" w:hint="eastAsia"/>
              </w:rPr>
              <w:t>nominal</w:t>
            </w:r>
            <w:r w:rsidRPr="006D66BF">
              <w:rPr>
                <w:rFonts w:eastAsia="MS PGothic"/>
              </w:rPr>
              <w:t>)</w:t>
            </w:r>
          </w:p>
          <w:p w14:paraId="30FFE707" w14:textId="77777777" w:rsidR="00FC3A3D" w:rsidRPr="006D66BF" w:rsidRDefault="00FC3A3D" w:rsidP="00FC3A3D">
            <w:pPr>
              <w:rPr>
                <w:rFonts w:eastAsia="MS PGothic"/>
              </w:rPr>
            </w:pPr>
          </w:p>
          <w:p w14:paraId="30FFE708" w14:textId="77777777" w:rsidR="00FC3A3D" w:rsidRPr="006D66BF" w:rsidRDefault="00FC3A3D" w:rsidP="00FC3A3D">
            <w:pPr>
              <w:rPr>
                <w:rFonts w:eastAsia="MS PGothic"/>
              </w:rPr>
            </w:pPr>
            <w:r w:rsidRPr="006D66BF">
              <w:rPr>
                <w:rFonts w:eastAsia="MS PGothic"/>
              </w:rPr>
              <w:t xml:space="preserve">(Area method) </w:t>
            </w:r>
          </w:p>
          <w:p w14:paraId="30FFE709" w14:textId="77777777" w:rsidR="00FC3A3D" w:rsidRPr="006D66BF" w:rsidRDefault="00FC3A3D" w:rsidP="00FC3A3D">
            <w:pPr>
              <w:rPr>
                <w:rFonts w:eastAsia="MS PGothic"/>
              </w:rPr>
            </w:pPr>
            <w:r w:rsidRPr="006D66BF">
              <w:rPr>
                <w:rFonts w:eastAsia="MS PGothic"/>
              </w:rPr>
              <w:t xml:space="preserve">NOEbC </w:t>
            </w:r>
            <w:r w:rsidRPr="006D66BF">
              <w:rPr>
                <w:rFonts w:eastAsia="MS PGothic" w:hint="eastAsia"/>
              </w:rPr>
              <w:t>&gt;</w:t>
            </w:r>
            <w:r w:rsidRPr="006D66BF">
              <w:rPr>
                <w:rFonts w:eastAsia="MS PGothic"/>
              </w:rPr>
              <w:t xml:space="preserve"> </w:t>
            </w:r>
            <w:r w:rsidRPr="006D66BF">
              <w:rPr>
                <w:rFonts w:eastAsia="MS PGothic" w:hint="eastAsia"/>
              </w:rPr>
              <w:t xml:space="preserve">1000 </w:t>
            </w:r>
            <w:r w:rsidRPr="006D66BF">
              <w:rPr>
                <w:rFonts w:eastAsia="MS PGothic"/>
              </w:rPr>
              <w:t>mg/L  (</w:t>
            </w:r>
            <w:r w:rsidRPr="006D66BF">
              <w:rPr>
                <w:rFonts w:eastAsia="MS PGothic" w:hint="eastAsia"/>
              </w:rPr>
              <w:t>nominal</w:t>
            </w:r>
            <w:r w:rsidRPr="006D66BF">
              <w:rPr>
                <w:rFonts w:eastAsia="MS PGothic"/>
              </w:rPr>
              <w:t>)</w:t>
            </w:r>
          </w:p>
        </w:tc>
        <w:tc>
          <w:tcPr>
            <w:tcW w:w="851" w:type="dxa"/>
            <w:shd w:val="clear" w:color="auto" w:fill="auto"/>
          </w:tcPr>
          <w:p w14:paraId="30FFE70A" w14:textId="77777777" w:rsidR="00FC3A3D" w:rsidRPr="006D66BF" w:rsidRDefault="00FC3A3D" w:rsidP="00FC3A3D">
            <w:pPr>
              <w:jc w:val="center"/>
              <w:rPr>
                <w:rFonts w:eastAsia="MS PGothic"/>
              </w:rPr>
            </w:pPr>
            <w:r w:rsidRPr="006D66BF">
              <w:rPr>
                <w:rFonts w:eastAsia="MS PGothic"/>
              </w:rPr>
              <w:t>1</w:t>
            </w:r>
          </w:p>
        </w:tc>
        <w:tc>
          <w:tcPr>
            <w:tcW w:w="1863" w:type="dxa"/>
            <w:shd w:val="clear" w:color="auto" w:fill="auto"/>
          </w:tcPr>
          <w:p w14:paraId="30FFE70B" w14:textId="77777777" w:rsidR="00FC3A3D" w:rsidRPr="006D66BF" w:rsidRDefault="00FC3A3D" w:rsidP="00FC3A3D">
            <w:pPr>
              <w:rPr>
                <w:rFonts w:eastAsia="MS PGothic"/>
              </w:rPr>
            </w:pPr>
            <w:r w:rsidRPr="006D66BF">
              <w:rPr>
                <w:rFonts w:eastAsia="MS PGothic"/>
              </w:rPr>
              <w:t>MOE, Japan (</w:t>
            </w:r>
            <w:r w:rsidRPr="006D66BF">
              <w:rPr>
                <w:rFonts w:eastAsia="MS PGothic" w:hint="eastAsia"/>
              </w:rPr>
              <w:t>1998</w:t>
            </w:r>
            <w:r w:rsidRPr="006D66BF">
              <w:rPr>
                <w:rFonts w:eastAsia="MS PGothic"/>
              </w:rPr>
              <w:t>)</w:t>
            </w:r>
          </w:p>
        </w:tc>
      </w:tr>
    </w:tbl>
    <w:p w14:paraId="30FFE70D" w14:textId="77777777" w:rsidR="00FC3A3D" w:rsidRPr="006D66BF" w:rsidRDefault="00FC3A3D" w:rsidP="00EC41D1">
      <w:pPr>
        <w:pStyle w:val="Heading8"/>
        <w:spacing w:before="120"/>
      </w:pPr>
      <w:r w:rsidRPr="006D66BF">
        <w:t>Toxicity to Microorganisms</w:t>
      </w:r>
    </w:p>
    <w:p w14:paraId="30FFE70E" w14:textId="77777777" w:rsidR="00FC3A3D" w:rsidRPr="006D66BF" w:rsidRDefault="00FC3A3D" w:rsidP="00FC3A3D">
      <w:pPr>
        <w:pStyle w:val="BodyText"/>
        <w:rPr>
          <w:szCs w:val="24"/>
          <w:lang w:eastAsia="ja-JP"/>
        </w:rPr>
      </w:pPr>
      <w:r w:rsidRPr="006D66BF">
        <w:rPr>
          <w:rFonts w:hint="eastAsia"/>
          <w:szCs w:val="24"/>
          <w:lang w:eastAsia="ja-JP"/>
        </w:rPr>
        <w:t>No data available</w:t>
      </w:r>
    </w:p>
    <w:p w14:paraId="30FFE70F" w14:textId="77777777" w:rsidR="00FC3A3D" w:rsidRPr="00D3443F" w:rsidRDefault="00FC3A3D" w:rsidP="00FC3A3D">
      <w:pPr>
        <w:pStyle w:val="BodyText"/>
        <w:rPr>
          <w:b/>
          <w:szCs w:val="24"/>
          <w:u w:val="single"/>
          <w:lang w:eastAsia="ja-JP"/>
        </w:rPr>
      </w:pPr>
      <w:r w:rsidRPr="00D3443F">
        <w:rPr>
          <w:rFonts w:hint="eastAsia"/>
          <w:b/>
          <w:szCs w:val="24"/>
          <w:u w:val="single"/>
          <w:lang w:eastAsia="ja-JP"/>
        </w:rPr>
        <w:t>Conclusion</w:t>
      </w:r>
    </w:p>
    <w:p w14:paraId="30FFE710" w14:textId="77777777" w:rsidR="00FC3A3D" w:rsidRPr="00D3443F" w:rsidRDefault="00FC3A3D" w:rsidP="00FC3A3D">
      <w:pPr>
        <w:pStyle w:val="BodyText"/>
        <w:rPr>
          <w:b/>
          <w:szCs w:val="24"/>
          <w:lang w:eastAsia="ja-JP"/>
        </w:rPr>
      </w:pPr>
      <w:r w:rsidRPr="00D3443F">
        <w:rPr>
          <w:rFonts w:eastAsia="MS-UIGothic"/>
          <w:b/>
          <w:szCs w:val="24"/>
          <w:lang w:val="en-US"/>
        </w:rPr>
        <w:t>1</w:t>
      </w:r>
      <w:proofErr w:type="gramStart"/>
      <w:r w:rsidRPr="00D3443F">
        <w:rPr>
          <w:rFonts w:eastAsia="MS-UIGothic"/>
          <w:b/>
          <w:szCs w:val="24"/>
          <w:lang w:val="en-US"/>
        </w:rPr>
        <w:t>,1,1</w:t>
      </w:r>
      <w:proofErr w:type="gramEnd"/>
      <w:r w:rsidRPr="00D3443F">
        <w:rPr>
          <w:rFonts w:eastAsia="MS-UIGothic"/>
          <w:b/>
          <w:szCs w:val="24"/>
          <w:lang w:val="en-US"/>
        </w:rPr>
        <w:t xml:space="preserve">-tris(hydroxymethyl)ethane </w:t>
      </w:r>
      <w:r w:rsidRPr="00D3443F">
        <w:rPr>
          <w:b/>
          <w:szCs w:val="24"/>
        </w:rPr>
        <w:t xml:space="preserve"> </w:t>
      </w:r>
      <w:r w:rsidRPr="00D3443F">
        <w:rPr>
          <w:rFonts w:eastAsia="Malgun Gothic"/>
          <w:b/>
          <w:szCs w:val="24"/>
          <w:lang w:eastAsia="ko-KR"/>
        </w:rPr>
        <w:t xml:space="preserve">does not present a hazard to the environment due to its low hazard profile. </w:t>
      </w:r>
      <w:r w:rsidR="00D3443F">
        <w:rPr>
          <w:rFonts w:hint="eastAsia"/>
          <w:b/>
          <w:szCs w:val="24"/>
          <w:lang w:eastAsia="ja-JP"/>
        </w:rPr>
        <w:t>Although</w:t>
      </w:r>
      <w:r w:rsidRPr="00D3443F">
        <w:rPr>
          <w:b/>
          <w:szCs w:val="24"/>
          <w:lang w:eastAsia="ja-JP"/>
        </w:rPr>
        <w:t xml:space="preserve"> </w:t>
      </w:r>
      <w:r w:rsidRPr="00D3443F">
        <w:rPr>
          <w:rFonts w:hint="eastAsia"/>
          <w:b/>
          <w:szCs w:val="24"/>
          <w:lang w:eastAsia="ja-JP"/>
        </w:rPr>
        <w:t>t</w:t>
      </w:r>
      <w:r w:rsidRPr="00D3443F">
        <w:rPr>
          <w:b/>
          <w:szCs w:val="24"/>
          <w:lang w:val="en-US" w:eastAsia="ja-JP"/>
        </w:rPr>
        <w:t xml:space="preserve">his chemical is considered </w:t>
      </w:r>
      <w:r w:rsidRPr="00D3443F">
        <w:rPr>
          <w:rFonts w:hint="eastAsia"/>
          <w:b/>
          <w:szCs w:val="24"/>
          <w:lang w:val="en-US" w:eastAsia="ja-JP"/>
        </w:rPr>
        <w:t xml:space="preserve">not </w:t>
      </w:r>
      <w:r w:rsidR="00D3443F">
        <w:rPr>
          <w:rFonts w:hint="eastAsia"/>
          <w:b/>
          <w:szCs w:val="24"/>
          <w:lang w:val="en-US" w:eastAsia="ja-JP"/>
        </w:rPr>
        <w:t xml:space="preserve">to be </w:t>
      </w:r>
      <w:r w:rsidRPr="00D3443F">
        <w:rPr>
          <w:b/>
          <w:szCs w:val="24"/>
          <w:lang w:val="en-US" w:eastAsia="ja-JP"/>
        </w:rPr>
        <w:t>readily biodegradable</w:t>
      </w:r>
      <w:r w:rsidRPr="00D3443F">
        <w:rPr>
          <w:rFonts w:hint="eastAsia"/>
          <w:b/>
          <w:szCs w:val="24"/>
          <w:lang w:val="en-US" w:eastAsia="ja-JP"/>
        </w:rPr>
        <w:t xml:space="preserve">, it has a low </w:t>
      </w:r>
      <w:r w:rsidRPr="00D3443F">
        <w:rPr>
          <w:b/>
          <w:szCs w:val="24"/>
          <w:lang w:val="en-US" w:eastAsia="ja-JP"/>
        </w:rPr>
        <w:t>accumulati</w:t>
      </w:r>
      <w:r w:rsidRPr="00D3443F">
        <w:rPr>
          <w:rFonts w:hint="eastAsia"/>
          <w:b/>
          <w:szCs w:val="24"/>
          <w:lang w:val="en-US" w:eastAsia="ja-JP"/>
        </w:rPr>
        <w:t>ve potential</w:t>
      </w:r>
      <w:r w:rsidRPr="00D3443F">
        <w:rPr>
          <w:b/>
          <w:szCs w:val="24"/>
          <w:lang w:val="en-US" w:eastAsia="ja-JP"/>
        </w:rPr>
        <w:t xml:space="preserve">. </w:t>
      </w:r>
      <w:r w:rsidRPr="00D3443F">
        <w:rPr>
          <w:b/>
          <w:szCs w:val="24"/>
        </w:rPr>
        <w:t xml:space="preserve">Adequate screening-level data are available to characterize the </w:t>
      </w:r>
      <w:r w:rsidRPr="00D3443F">
        <w:rPr>
          <w:b/>
          <w:szCs w:val="24"/>
          <w:lang w:eastAsia="ko-KR"/>
        </w:rPr>
        <w:t>environmental</w:t>
      </w:r>
      <w:r w:rsidRPr="00D3443F">
        <w:rPr>
          <w:b/>
          <w:szCs w:val="24"/>
        </w:rPr>
        <w:t xml:space="preserve"> hazard for the purposes of the OECD HPV Programme.</w:t>
      </w:r>
    </w:p>
    <w:p w14:paraId="30FFE711" w14:textId="77777777" w:rsidR="00FC3A3D" w:rsidRPr="006D66BF" w:rsidRDefault="00FC3A3D" w:rsidP="00FC3A3D">
      <w:pPr>
        <w:pStyle w:val="Heading2"/>
        <w:rPr>
          <w:lang w:eastAsia="ja-JP"/>
        </w:rPr>
      </w:pPr>
      <w:bookmarkStart w:id="161" w:name="_Toc32726040"/>
      <w:bookmarkStart w:id="162" w:name="_Toc32727223"/>
      <w:bookmarkStart w:id="163" w:name="_Toc43868671"/>
      <w:bookmarkStart w:id="164" w:name="_Toc282509936"/>
      <w:bookmarkStart w:id="165" w:name="_Toc297297731"/>
      <w:r w:rsidRPr="006D66BF">
        <w:t>Terrestrial Effects</w:t>
      </w:r>
      <w:bookmarkStart w:id="166" w:name="_Toc32726041"/>
      <w:bookmarkStart w:id="167" w:name="_Toc32727224"/>
      <w:bookmarkStart w:id="168" w:name="_Toc43868672"/>
      <w:bookmarkEnd w:id="161"/>
      <w:bookmarkEnd w:id="162"/>
      <w:bookmarkEnd w:id="163"/>
      <w:bookmarkEnd w:id="164"/>
      <w:bookmarkEnd w:id="165"/>
    </w:p>
    <w:p w14:paraId="30FFE712" w14:textId="77777777" w:rsidR="00FC3A3D" w:rsidRPr="006D66BF" w:rsidRDefault="00FC3A3D" w:rsidP="00FC3A3D">
      <w:pPr>
        <w:pStyle w:val="BodyText"/>
      </w:pPr>
      <w:r w:rsidRPr="006D66BF">
        <w:rPr>
          <w:rFonts w:hint="eastAsia"/>
          <w:lang w:eastAsia="ja-JP"/>
        </w:rPr>
        <w:t>No data available</w:t>
      </w:r>
    </w:p>
    <w:p w14:paraId="30FFE713" w14:textId="77777777" w:rsidR="00FC3A3D" w:rsidRPr="006D66BF" w:rsidRDefault="00FC3A3D" w:rsidP="00FC3A3D">
      <w:pPr>
        <w:pStyle w:val="Heading8"/>
      </w:pPr>
      <w:r w:rsidRPr="006D66BF">
        <w:t>Acute Toxicity Test Results</w:t>
      </w:r>
    </w:p>
    <w:p w14:paraId="30FFE714" w14:textId="77777777" w:rsidR="00FC3A3D" w:rsidRPr="006D66BF" w:rsidRDefault="00FC3A3D" w:rsidP="00FC3A3D">
      <w:pPr>
        <w:pStyle w:val="BodyText"/>
      </w:pPr>
      <w:r w:rsidRPr="006D66BF">
        <w:rPr>
          <w:rFonts w:hint="eastAsia"/>
          <w:lang w:eastAsia="ja-JP"/>
        </w:rPr>
        <w:t>No data available</w:t>
      </w:r>
    </w:p>
    <w:p w14:paraId="30FFE715" w14:textId="77777777" w:rsidR="00FC3A3D" w:rsidRPr="006D66BF" w:rsidRDefault="00FC3A3D" w:rsidP="00FC3A3D">
      <w:pPr>
        <w:pStyle w:val="Heading8"/>
      </w:pPr>
      <w:r w:rsidRPr="006D66BF">
        <w:t>Chronic Toxicity Test Results</w:t>
      </w:r>
    </w:p>
    <w:p w14:paraId="30FFE716" w14:textId="77777777" w:rsidR="00FC3A3D" w:rsidRPr="006D66BF" w:rsidRDefault="00FC3A3D" w:rsidP="00FC3A3D">
      <w:pPr>
        <w:pStyle w:val="BodyText"/>
      </w:pPr>
      <w:r w:rsidRPr="006D66BF">
        <w:rPr>
          <w:rFonts w:hint="eastAsia"/>
          <w:lang w:eastAsia="ja-JP"/>
        </w:rPr>
        <w:t>No data available</w:t>
      </w:r>
    </w:p>
    <w:p w14:paraId="30FFE717" w14:textId="77777777" w:rsidR="006D66BF" w:rsidRDefault="00FC3A3D" w:rsidP="006D66BF">
      <w:pPr>
        <w:pStyle w:val="Heading2"/>
        <w:rPr>
          <w:lang w:eastAsia="ja-JP"/>
        </w:rPr>
      </w:pPr>
      <w:bookmarkStart w:id="169" w:name="_Toc282509937"/>
      <w:bookmarkStart w:id="170" w:name="_Toc297297732"/>
      <w:r w:rsidRPr="006D66BF">
        <w:t>Other Environmental Effects</w:t>
      </w:r>
      <w:bookmarkStart w:id="171" w:name="_Toc251056065"/>
      <w:bookmarkStart w:id="172" w:name="_Toc297297733"/>
      <w:bookmarkEnd w:id="166"/>
      <w:bookmarkEnd w:id="167"/>
      <w:bookmarkEnd w:id="168"/>
      <w:bookmarkEnd w:id="169"/>
      <w:bookmarkEnd w:id="170"/>
    </w:p>
    <w:p w14:paraId="30FFE718" w14:textId="77777777" w:rsidR="00B16D8D" w:rsidRDefault="00FC3A3D" w:rsidP="00B16D8D">
      <w:r w:rsidRPr="00B16D8D">
        <w:t>No data available</w:t>
      </w:r>
      <w:bookmarkEnd w:id="171"/>
    </w:p>
    <w:p w14:paraId="30FFE719" w14:textId="77777777" w:rsidR="00EC41D1" w:rsidRDefault="00EC41D1" w:rsidP="00EC41D1">
      <w:pPr>
        <w:pStyle w:val="Heading1"/>
      </w:pPr>
      <w:bookmarkStart w:id="173" w:name="_Toc32726043"/>
      <w:bookmarkStart w:id="174" w:name="_Toc32727226"/>
      <w:bookmarkStart w:id="175" w:name="_Toc43868674"/>
      <w:r>
        <w:t>recommendations</w:t>
      </w:r>
      <w:bookmarkEnd w:id="173"/>
      <w:bookmarkEnd w:id="174"/>
      <w:bookmarkEnd w:id="175"/>
    </w:p>
    <w:p w14:paraId="30FFE71A" w14:textId="77777777" w:rsidR="009D0EC2" w:rsidRPr="006D66BF" w:rsidRDefault="009D0EC2" w:rsidP="009D0EC2">
      <w:pPr>
        <w:pStyle w:val="Heading1"/>
        <w:rPr>
          <w:lang w:eastAsia="ja-JP"/>
        </w:rPr>
      </w:pPr>
      <w:r w:rsidRPr="0022423B">
        <w:t>references</w:t>
      </w:r>
      <w:bookmarkEnd w:id="142"/>
      <w:bookmarkEnd w:id="143"/>
      <w:bookmarkEnd w:id="144"/>
      <w:bookmarkEnd w:id="145"/>
      <w:bookmarkEnd w:id="172"/>
    </w:p>
    <w:p w14:paraId="30FFE71B" w14:textId="77777777" w:rsidR="002B4541" w:rsidRPr="006D66BF" w:rsidRDefault="002B4541" w:rsidP="00673F0B">
      <w:pPr>
        <w:pStyle w:val="BodyText"/>
        <w:spacing w:beforeLines="100" w:before="240" w:after="100" w:afterAutospacing="1"/>
        <w:rPr>
          <w:szCs w:val="24"/>
          <w:lang w:eastAsia="ja-JP"/>
        </w:rPr>
      </w:pPr>
      <w:r w:rsidRPr="006D66BF">
        <w:rPr>
          <w:rFonts w:hint="eastAsia"/>
          <w:szCs w:val="24"/>
          <w:lang w:eastAsia="ja-JP"/>
        </w:rPr>
        <w:t>CERI (2010a), Measurement</w:t>
      </w:r>
      <w:r w:rsidRPr="006D66BF">
        <w:rPr>
          <w:szCs w:val="24"/>
          <w:lang w:eastAsia="ja-JP"/>
        </w:rPr>
        <w:t xml:space="preserve"> of</w:t>
      </w:r>
      <w:r w:rsidRPr="006D66BF">
        <w:rPr>
          <w:rFonts w:hint="eastAsia"/>
          <w:szCs w:val="24"/>
          <w:lang w:eastAsia="ja-JP"/>
        </w:rPr>
        <w:t xml:space="preserve"> boiling point of </w:t>
      </w:r>
      <w:r w:rsidRPr="006D66BF">
        <w:rPr>
          <w:szCs w:val="24"/>
          <w:lang w:eastAsia="ja-JP"/>
        </w:rPr>
        <w:t>2-</w:t>
      </w:r>
      <w:r w:rsidRPr="006D66BF">
        <w:rPr>
          <w:rFonts w:hint="eastAsia"/>
          <w:szCs w:val="24"/>
          <w:lang w:eastAsia="ja-JP"/>
        </w:rPr>
        <w:t>metyl-2-hydroxymethyl-1</w:t>
      </w:r>
      <w:proofErr w:type="gramStart"/>
      <w:r w:rsidRPr="006D66BF">
        <w:rPr>
          <w:rFonts w:hint="eastAsia"/>
          <w:szCs w:val="24"/>
          <w:lang w:eastAsia="ja-JP"/>
        </w:rPr>
        <w:t>,3</w:t>
      </w:r>
      <w:proofErr w:type="gramEnd"/>
      <w:r w:rsidRPr="006D66BF">
        <w:rPr>
          <w:rFonts w:hint="eastAsia"/>
          <w:szCs w:val="24"/>
          <w:lang w:eastAsia="ja-JP"/>
        </w:rPr>
        <w:t>-propanediol</w:t>
      </w:r>
      <w:r w:rsidRPr="006D66BF">
        <w:rPr>
          <w:szCs w:val="24"/>
          <w:lang w:eastAsia="ja-JP"/>
        </w:rPr>
        <w:t xml:space="preserve"> (K-</w:t>
      </w:r>
      <w:r w:rsidRPr="006D66BF">
        <w:rPr>
          <w:rFonts w:hint="eastAsia"/>
          <w:szCs w:val="24"/>
          <w:lang w:eastAsia="ja-JP"/>
        </w:rPr>
        <w:t>1087</w:t>
      </w:r>
      <w:r w:rsidRPr="006D66BF">
        <w:rPr>
          <w:szCs w:val="24"/>
          <w:lang w:eastAsia="ja-JP"/>
        </w:rPr>
        <w:t>)</w:t>
      </w:r>
      <w:r w:rsidRPr="006D66BF">
        <w:rPr>
          <w:rFonts w:hint="eastAsia"/>
          <w:szCs w:val="24"/>
          <w:lang w:eastAsia="ja-JP"/>
        </w:rPr>
        <w:t xml:space="preserve">; Photocell detection method, </w:t>
      </w:r>
      <w:r w:rsidRPr="006D66BF">
        <w:rPr>
          <w:szCs w:val="24"/>
          <w:lang w:eastAsia="ja-JP"/>
        </w:rPr>
        <w:t>Report number 8</w:t>
      </w:r>
      <w:r w:rsidRPr="006D66BF">
        <w:rPr>
          <w:rFonts w:hint="eastAsia"/>
          <w:szCs w:val="24"/>
          <w:lang w:eastAsia="ja-JP"/>
        </w:rPr>
        <w:t>05775</w:t>
      </w:r>
      <w:r w:rsidRPr="006D66BF">
        <w:rPr>
          <w:szCs w:val="24"/>
          <w:lang w:eastAsia="ja-JP"/>
        </w:rPr>
        <w:t xml:space="preserve"> (in Japanese)</w:t>
      </w:r>
      <w:r w:rsidRPr="006D66BF">
        <w:rPr>
          <w:rFonts w:hint="eastAsia"/>
          <w:szCs w:val="24"/>
          <w:lang w:eastAsia="ja-JP"/>
        </w:rPr>
        <w:t xml:space="preserve">, </w:t>
      </w:r>
      <w:r w:rsidRPr="006D66BF">
        <w:rPr>
          <w:szCs w:val="24"/>
          <w:lang w:eastAsia="ja-JP"/>
        </w:rPr>
        <w:t xml:space="preserve">Chemicals Evaluation and Research Institute, </w:t>
      </w:r>
      <w:smartTag w:uri="urn:schemas-microsoft-com:office:smarttags" w:element="place">
        <w:smartTag w:uri="urn:schemas-microsoft-com:office:smarttags" w:element="country-region">
          <w:r w:rsidRPr="006D66BF">
            <w:rPr>
              <w:szCs w:val="24"/>
              <w:lang w:eastAsia="ja-JP"/>
            </w:rPr>
            <w:t>Japan</w:t>
          </w:r>
        </w:smartTag>
      </w:smartTag>
      <w:r w:rsidRPr="006D66BF">
        <w:rPr>
          <w:szCs w:val="24"/>
          <w:lang w:eastAsia="ja-JP"/>
        </w:rPr>
        <w:t>.</w:t>
      </w:r>
    </w:p>
    <w:p w14:paraId="30FFE71C" w14:textId="77777777" w:rsidR="002B4541" w:rsidRPr="006D66BF" w:rsidRDefault="002B4541" w:rsidP="00673F0B">
      <w:pPr>
        <w:pStyle w:val="BodyText"/>
        <w:spacing w:beforeLines="100" w:before="240" w:after="100" w:afterAutospacing="1"/>
        <w:rPr>
          <w:szCs w:val="24"/>
          <w:lang w:eastAsia="ja-JP"/>
        </w:rPr>
      </w:pPr>
      <w:r w:rsidRPr="006D66BF">
        <w:rPr>
          <w:rFonts w:hint="eastAsia"/>
          <w:szCs w:val="24"/>
          <w:lang w:eastAsia="ja-JP"/>
        </w:rPr>
        <w:t>CERI (2010b), Measurement</w:t>
      </w:r>
      <w:r w:rsidRPr="006D66BF">
        <w:rPr>
          <w:szCs w:val="24"/>
          <w:lang w:eastAsia="ja-JP"/>
        </w:rPr>
        <w:t xml:space="preserve"> of</w:t>
      </w:r>
      <w:r w:rsidRPr="006D66BF">
        <w:rPr>
          <w:rFonts w:hint="eastAsia"/>
          <w:szCs w:val="24"/>
          <w:lang w:eastAsia="ja-JP"/>
        </w:rPr>
        <w:t xml:space="preserve"> water solubility of </w:t>
      </w:r>
      <w:r w:rsidRPr="006D66BF">
        <w:rPr>
          <w:szCs w:val="24"/>
          <w:lang w:eastAsia="ja-JP"/>
        </w:rPr>
        <w:t>2-</w:t>
      </w:r>
      <w:r w:rsidRPr="006D66BF">
        <w:rPr>
          <w:rFonts w:hint="eastAsia"/>
          <w:szCs w:val="24"/>
          <w:lang w:eastAsia="ja-JP"/>
        </w:rPr>
        <w:t>metyl-2-hydroxymethyl-1</w:t>
      </w:r>
      <w:proofErr w:type="gramStart"/>
      <w:r w:rsidRPr="006D66BF">
        <w:rPr>
          <w:rFonts w:hint="eastAsia"/>
          <w:szCs w:val="24"/>
          <w:lang w:eastAsia="ja-JP"/>
        </w:rPr>
        <w:t>,3</w:t>
      </w:r>
      <w:proofErr w:type="gramEnd"/>
      <w:r w:rsidRPr="006D66BF">
        <w:rPr>
          <w:rFonts w:hint="eastAsia"/>
          <w:szCs w:val="24"/>
          <w:lang w:eastAsia="ja-JP"/>
        </w:rPr>
        <w:t>-propanediol</w:t>
      </w:r>
      <w:r w:rsidRPr="006D66BF">
        <w:rPr>
          <w:szCs w:val="24"/>
          <w:lang w:eastAsia="ja-JP"/>
        </w:rPr>
        <w:t xml:space="preserve"> (K-</w:t>
      </w:r>
      <w:r w:rsidRPr="006D66BF">
        <w:rPr>
          <w:rFonts w:hint="eastAsia"/>
          <w:szCs w:val="24"/>
          <w:lang w:eastAsia="ja-JP"/>
        </w:rPr>
        <w:t>1087</w:t>
      </w:r>
      <w:r w:rsidRPr="006D66BF">
        <w:rPr>
          <w:szCs w:val="24"/>
          <w:lang w:eastAsia="ja-JP"/>
        </w:rPr>
        <w:t>)</w:t>
      </w:r>
      <w:r w:rsidRPr="006D66BF">
        <w:rPr>
          <w:rFonts w:hint="eastAsia"/>
          <w:szCs w:val="24"/>
          <w:lang w:eastAsia="ja-JP"/>
        </w:rPr>
        <w:t xml:space="preserve">; Flask method, </w:t>
      </w:r>
      <w:r w:rsidRPr="006D66BF">
        <w:rPr>
          <w:szCs w:val="24"/>
          <w:lang w:eastAsia="ja-JP"/>
        </w:rPr>
        <w:t>Report number 8</w:t>
      </w:r>
      <w:r w:rsidRPr="006D66BF">
        <w:rPr>
          <w:rFonts w:hint="eastAsia"/>
          <w:szCs w:val="24"/>
          <w:lang w:eastAsia="ja-JP"/>
        </w:rPr>
        <w:t>05777</w:t>
      </w:r>
      <w:r w:rsidRPr="006D66BF">
        <w:rPr>
          <w:szCs w:val="24"/>
          <w:lang w:eastAsia="ja-JP"/>
        </w:rPr>
        <w:t xml:space="preserve"> (in Japanese)</w:t>
      </w:r>
      <w:r w:rsidRPr="006D66BF">
        <w:rPr>
          <w:rFonts w:hint="eastAsia"/>
          <w:szCs w:val="24"/>
          <w:lang w:eastAsia="ja-JP"/>
        </w:rPr>
        <w:t xml:space="preserve">, </w:t>
      </w:r>
      <w:r w:rsidRPr="006D66BF">
        <w:rPr>
          <w:szCs w:val="24"/>
          <w:lang w:eastAsia="ja-JP"/>
        </w:rPr>
        <w:t xml:space="preserve">Chemicals Evaluation and Research Institute, </w:t>
      </w:r>
      <w:smartTag w:uri="urn:schemas-microsoft-com:office:smarttags" w:element="place">
        <w:smartTag w:uri="urn:schemas-microsoft-com:office:smarttags" w:element="country-region">
          <w:r w:rsidRPr="006D66BF">
            <w:rPr>
              <w:szCs w:val="24"/>
              <w:lang w:eastAsia="ja-JP"/>
            </w:rPr>
            <w:t>Japan</w:t>
          </w:r>
        </w:smartTag>
      </w:smartTag>
      <w:r w:rsidRPr="006D66BF">
        <w:rPr>
          <w:szCs w:val="24"/>
          <w:lang w:eastAsia="ja-JP"/>
        </w:rPr>
        <w:t>.</w:t>
      </w:r>
    </w:p>
    <w:p w14:paraId="30FFE71D" w14:textId="77777777" w:rsidR="002B4541" w:rsidRPr="006D66BF" w:rsidRDefault="002B4541" w:rsidP="00673F0B">
      <w:pPr>
        <w:pStyle w:val="BodyText"/>
        <w:spacing w:beforeLines="100" w:before="240" w:after="100" w:afterAutospacing="1"/>
        <w:rPr>
          <w:kern w:val="2"/>
          <w:szCs w:val="24"/>
          <w:lang w:val="en-US" w:eastAsia="ja-JP"/>
        </w:rPr>
      </w:pPr>
      <w:r w:rsidRPr="006D66BF">
        <w:rPr>
          <w:rFonts w:hint="eastAsia"/>
          <w:szCs w:val="24"/>
          <w:lang w:eastAsia="ja-JP"/>
        </w:rPr>
        <w:t>CERI (2011a), Technical note</w:t>
      </w:r>
      <w:r w:rsidRPr="006D66BF">
        <w:rPr>
          <w:kern w:val="2"/>
          <w:szCs w:val="24"/>
          <w:lang w:val="en-US" w:eastAsia="ja-JP"/>
        </w:rPr>
        <w:t xml:space="preserve"> of </w:t>
      </w:r>
      <w:r w:rsidRPr="006D66BF">
        <w:rPr>
          <w:rFonts w:hint="eastAsia"/>
          <w:szCs w:val="24"/>
        </w:rPr>
        <w:t>1</w:t>
      </w:r>
      <w:proofErr w:type="gramStart"/>
      <w:r w:rsidRPr="006D66BF">
        <w:rPr>
          <w:rFonts w:hint="eastAsia"/>
          <w:szCs w:val="24"/>
        </w:rPr>
        <w:t>,1,1</w:t>
      </w:r>
      <w:proofErr w:type="gramEnd"/>
      <w:r w:rsidRPr="006D66BF">
        <w:rPr>
          <w:rFonts w:hint="eastAsia"/>
          <w:szCs w:val="24"/>
        </w:rPr>
        <w:t>-Tris(hydroxymethyl)ethane</w:t>
      </w:r>
      <w:r w:rsidRPr="006D66BF">
        <w:rPr>
          <w:rFonts w:hint="eastAsia"/>
          <w:kern w:val="2"/>
          <w:szCs w:val="24"/>
          <w:lang w:val="en-US" w:eastAsia="ja-JP"/>
        </w:rPr>
        <w:t>,</w:t>
      </w:r>
      <w:r w:rsidRPr="006D66BF">
        <w:rPr>
          <w:kern w:val="2"/>
          <w:szCs w:val="24"/>
          <w:lang w:val="en-US" w:eastAsia="ja-JP"/>
        </w:rPr>
        <w:t xml:space="preserve"> Chemicals Evaluation and Research Institute, </w:t>
      </w:r>
      <w:smartTag w:uri="urn:schemas-microsoft-com:office:smarttags" w:element="place">
        <w:smartTag w:uri="urn:schemas-microsoft-com:office:smarttags" w:element="country-region">
          <w:r w:rsidRPr="006D66BF">
            <w:rPr>
              <w:kern w:val="2"/>
              <w:szCs w:val="24"/>
              <w:lang w:val="en-US" w:eastAsia="ja-JP"/>
            </w:rPr>
            <w:t>Japan</w:t>
          </w:r>
        </w:smartTag>
      </w:smartTag>
      <w:r w:rsidRPr="006D66BF">
        <w:rPr>
          <w:kern w:val="2"/>
          <w:szCs w:val="24"/>
          <w:lang w:val="en-US" w:eastAsia="ja-JP"/>
        </w:rPr>
        <w:t>.</w:t>
      </w:r>
    </w:p>
    <w:p w14:paraId="30FFE71E" w14:textId="77777777" w:rsidR="002B4541" w:rsidRPr="006D66BF" w:rsidRDefault="002B4541" w:rsidP="00673F0B">
      <w:pPr>
        <w:pStyle w:val="BodyText"/>
        <w:spacing w:beforeLines="100" w:before="240" w:after="100" w:afterAutospacing="1"/>
        <w:rPr>
          <w:szCs w:val="24"/>
          <w:lang w:eastAsia="ja-JP"/>
        </w:rPr>
      </w:pPr>
      <w:r w:rsidRPr="006D66BF">
        <w:rPr>
          <w:rFonts w:hint="eastAsia"/>
          <w:szCs w:val="24"/>
          <w:lang w:eastAsia="ja-JP"/>
        </w:rPr>
        <w:t>CERI (2011b), Measurement</w:t>
      </w:r>
      <w:r w:rsidRPr="006D66BF">
        <w:rPr>
          <w:szCs w:val="24"/>
          <w:lang w:eastAsia="ja-JP"/>
        </w:rPr>
        <w:t xml:space="preserve"> of</w:t>
      </w:r>
      <w:r w:rsidRPr="006D66BF">
        <w:rPr>
          <w:rFonts w:hint="eastAsia"/>
          <w:szCs w:val="24"/>
          <w:lang w:eastAsia="ja-JP"/>
        </w:rPr>
        <w:t xml:space="preserve"> vapour pressure of </w:t>
      </w:r>
      <w:r w:rsidRPr="006D66BF">
        <w:rPr>
          <w:szCs w:val="24"/>
          <w:lang w:eastAsia="ja-JP"/>
        </w:rPr>
        <w:t>2-</w:t>
      </w:r>
      <w:r w:rsidRPr="006D66BF">
        <w:rPr>
          <w:rFonts w:hint="eastAsia"/>
          <w:szCs w:val="24"/>
          <w:lang w:eastAsia="ja-JP"/>
        </w:rPr>
        <w:t>metyl-2-hydroxymethyl-1</w:t>
      </w:r>
      <w:proofErr w:type="gramStart"/>
      <w:r w:rsidRPr="006D66BF">
        <w:rPr>
          <w:rFonts w:hint="eastAsia"/>
          <w:szCs w:val="24"/>
          <w:lang w:eastAsia="ja-JP"/>
        </w:rPr>
        <w:t>,3</w:t>
      </w:r>
      <w:proofErr w:type="gramEnd"/>
      <w:r w:rsidRPr="006D66BF">
        <w:rPr>
          <w:rFonts w:hint="eastAsia"/>
          <w:szCs w:val="24"/>
          <w:lang w:eastAsia="ja-JP"/>
        </w:rPr>
        <w:t xml:space="preserve">-propanediol </w:t>
      </w:r>
      <w:r w:rsidRPr="006D66BF">
        <w:rPr>
          <w:szCs w:val="24"/>
          <w:lang w:eastAsia="ja-JP"/>
        </w:rPr>
        <w:t>(K-</w:t>
      </w:r>
      <w:r w:rsidRPr="006D66BF">
        <w:rPr>
          <w:rFonts w:hint="eastAsia"/>
          <w:szCs w:val="24"/>
          <w:lang w:eastAsia="ja-JP"/>
        </w:rPr>
        <w:t>1087</w:t>
      </w:r>
      <w:r w:rsidRPr="006D66BF">
        <w:rPr>
          <w:szCs w:val="24"/>
          <w:lang w:eastAsia="ja-JP"/>
        </w:rPr>
        <w:t>)</w:t>
      </w:r>
      <w:r w:rsidRPr="006D66BF">
        <w:rPr>
          <w:rFonts w:hint="eastAsia"/>
          <w:szCs w:val="24"/>
          <w:lang w:eastAsia="ja-JP"/>
        </w:rPr>
        <w:t xml:space="preserve">; Gas saturation method, </w:t>
      </w:r>
      <w:r w:rsidRPr="006D66BF">
        <w:rPr>
          <w:szCs w:val="24"/>
          <w:lang w:eastAsia="ja-JP"/>
        </w:rPr>
        <w:t>Report number 8</w:t>
      </w:r>
      <w:r w:rsidRPr="006D66BF">
        <w:rPr>
          <w:rFonts w:hint="eastAsia"/>
          <w:szCs w:val="24"/>
          <w:lang w:eastAsia="ja-JP"/>
        </w:rPr>
        <w:t>05776</w:t>
      </w:r>
      <w:r w:rsidRPr="006D66BF">
        <w:rPr>
          <w:szCs w:val="24"/>
          <w:lang w:eastAsia="ja-JP"/>
        </w:rPr>
        <w:t xml:space="preserve"> (in Japanese)</w:t>
      </w:r>
      <w:r w:rsidRPr="006D66BF">
        <w:rPr>
          <w:rFonts w:hint="eastAsia"/>
          <w:szCs w:val="24"/>
          <w:lang w:eastAsia="ja-JP"/>
        </w:rPr>
        <w:t xml:space="preserve">, </w:t>
      </w:r>
      <w:r w:rsidRPr="006D66BF">
        <w:rPr>
          <w:szCs w:val="24"/>
          <w:lang w:eastAsia="ja-JP"/>
        </w:rPr>
        <w:t xml:space="preserve">Chemicals Evaluation and Research Institute, </w:t>
      </w:r>
      <w:smartTag w:uri="urn:schemas-microsoft-com:office:smarttags" w:element="place">
        <w:smartTag w:uri="urn:schemas-microsoft-com:office:smarttags" w:element="country-region">
          <w:r w:rsidRPr="006D66BF">
            <w:rPr>
              <w:szCs w:val="24"/>
              <w:lang w:eastAsia="ja-JP"/>
            </w:rPr>
            <w:t>Japan</w:t>
          </w:r>
        </w:smartTag>
      </w:smartTag>
      <w:r w:rsidRPr="006D66BF">
        <w:rPr>
          <w:szCs w:val="24"/>
          <w:lang w:eastAsia="ja-JP"/>
        </w:rPr>
        <w:t>.</w:t>
      </w:r>
    </w:p>
    <w:p w14:paraId="30FFE71F" w14:textId="77777777" w:rsidR="002B4541" w:rsidRPr="006D66BF" w:rsidRDefault="002B4541" w:rsidP="00673F0B">
      <w:pPr>
        <w:pStyle w:val="BodyText"/>
        <w:spacing w:beforeLines="100" w:before="240" w:after="100" w:afterAutospacing="1"/>
        <w:rPr>
          <w:szCs w:val="24"/>
          <w:lang w:eastAsia="ja-JP"/>
        </w:rPr>
      </w:pPr>
      <w:r w:rsidRPr="006D66BF">
        <w:rPr>
          <w:szCs w:val="24"/>
          <w:lang w:eastAsia="ja-JP"/>
        </w:rPr>
        <w:t>C</w:t>
      </w:r>
      <w:r w:rsidRPr="006D66BF">
        <w:rPr>
          <w:rFonts w:hint="eastAsia"/>
          <w:szCs w:val="24"/>
          <w:lang w:eastAsia="ja-JP"/>
        </w:rPr>
        <w:t>ITI</w:t>
      </w:r>
      <w:r w:rsidRPr="006D66BF">
        <w:rPr>
          <w:szCs w:val="24"/>
          <w:lang w:eastAsia="ja-JP"/>
        </w:rPr>
        <w:t xml:space="preserve"> (19</w:t>
      </w:r>
      <w:r w:rsidRPr="006D66BF">
        <w:rPr>
          <w:rFonts w:hint="eastAsia"/>
          <w:szCs w:val="24"/>
          <w:lang w:eastAsia="ja-JP"/>
        </w:rPr>
        <w:t>93a</w:t>
      </w:r>
      <w:r w:rsidRPr="006D66BF">
        <w:rPr>
          <w:szCs w:val="24"/>
          <w:lang w:eastAsia="ja-JP"/>
        </w:rPr>
        <w:t>)</w:t>
      </w:r>
      <w:r w:rsidRPr="006D66BF">
        <w:rPr>
          <w:rFonts w:hint="eastAsia"/>
          <w:szCs w:val="24"/>
          <w:lang w:eastAsia="ja-JP"/>
        </w:rPr>
        <w:t>,</w:t>
      </w:r>
      <w:r w:rsidRPr="006D66BF">
        <w:rPr>
          <w:szCs w:val="24"/>
          <w:lang w:eastAsia="ja-JP"/>
        </w:rPr>
        <w:t xml:space="preserve"> </w:t>
      </w:r>
      <w:r w:rsidRPr="006D66BF">
        <w:rPr>
          <w:rFonts w:hint="eastAsia"/>
          <w:szCs w:val="24"/>
          <w:lang w:eastAsia="ja-JP"/>
        </w:rPr>
        <w:t>Measurement</w:t>
      </w:r>
      <w:r w:rsidRPr="006D66BF">
        <w:rPr>
          <w:szCs w:val="24"/>
          <w:lang w:eastAsia="ja-JP"/>
        </w:rPr>
        <w:t xml:space="preserve"> of </w:t>
      </w:r>
      <w:r w:rsidRPr="006D66BF">
        <w:rPr>
          <w:rFonts w:hint="eastAsia"/>
          <w:szCs w:val="24"/>
          <w:lang w:eastAsia="ja-JP"/>
        </w:rPr>
        <w:t>physico-chemical properties</w:t>
      </w:r>
      <w:r w:rsidRPr="006D66BF">
        <w:rPr>
          <w:szCs w:val="24"/>
          <w:lang w:eastAsia="ja-JP"/>
        </w:rPr>
        <w:t xml:space="preserve"> of 2-</w:t>
      </w:r>
      <w:r w:rsidRPr="006D66BF">
        <w:rPr>
          <w:rFonts w:hint="eastAsia"/>
          <w:szCs w:val="24"/>
          <w:lang w:eastAsia="ja-JP"/>
        </w:rPr>
        <w:t>metyl-2-hydroxymethyl -1</w:t>
      </w:r>
      <w:proofErr w:type="gramStart"/>
      <w:r w:rsidRPr="006D66BF">
        <w:rPr>
          <w:rFonts w:hint="eastAsia"/>
          <w:szCs w:val="24"/>
          <w:lang w:eastAsia="ja-JP"/>
        </w:rPr>
        <w:t>,3</w:t>
      </w:r>
      <w:proofErr w:type="gramEnd"/>
      <w:r w:rsidRPr="006D66BF">
        <w:rPr>
          <w:rFonts w:hint="eastAsia"/>
          <w:szCs w:val="24"/>
          <w:lang w:eastAsia="ja-JP"/>
        </w:rPr>
        <w:t>-propanediol</w:t>
      </w:r>
      <w:r w:rsidRPr="006D66BF">
        <w:rPr>
          <w:szCs w:val="24"/>
          <w:lang w:eastAsia="ja-JP"/>
        </w:rPr>
        <w:t xml:space="preserve"> (K-</w:t>
      </w:r>
      <w:r w:rsidRPr="006D66BF">
        <w:rPr>
          <w:rFonts w:hint="eastAsia"/>
          <w:szCs w:val="24"/>
          <w:lang w:eastAsia="ja-JP"/>
        </w:rPr>
        <w:t>1087</w:t>
      </w:r>
      <w:r w:rsidRPr="006D66BF">
        <w:rPr>
          <w:szCs w:val="24"/>
          <w:lang w:eastAsia="ja-JP"/>
        </w:rPr>
        <w:t>)</w:t>
      </w:r>
      <w:r w:rsidRPr="006D66BF">
        <w:rPr>
          <w:rFonts w:hint="eastAsia"/>
          <w:szCs w:val="24"/>
          <w:lang w:eastAsia="ja-JP"/>
        </w:rPr>
        <w:t>,</w:t>
      </w:r>
      <w:r w:rsidRPr="006D66BF">
        <w:rPr>
          <w:szCs w:val="24"/>
          <w:lang w:eastAsia="ja-JP"/>
        </w:rPr>
        <w:t xml:space="preserve"> Report number </w:t>
      </w:r>
      <w:r w:rsidRPr="006D66BF">
        <w:rPr>
          <w:rFonts w:hint="eastAsia"/>
          <w:szCs w:val="24"/>
          <w:lang w:eastAsia="ja-JP"/>
        </w:rPr>
        <w:t>81087K</w:t>
      </w:r>
      <w:r w:rsidRPr="006D66BF">
        <w:rPr>
          <w:szCs w:val="24"/>
          <w:lang w:eastAsia="ja-JP"/>
        </w:rPr>
        <w:t xml:space="preserve"> (in Japanese)</w:t>
      </w:r>
      <w:r w:rsidRPr="006D66BF">
        <w:rPr>
          <w:rFonts w:hint="eastAsia"/>
          <w:szCs w:val="24"/>
          <w:lang w:eastAsia="ja-JP"/>
        </w:rPr>
        <w:t>,</w:t>
      </w:r>
      <w:r w:rsidRPr="006D66BF">
        <w:rPr>
          <w:szCs w:val="24"/>
          <w:lang w:eastAsia="ja-JP"/>
        </w:rPr>
        <w:t xml:space="preserve"> Chemicals Inspection &amp; Testing Institute, </w:t>
      </w:r>
      <w:smartTag w:uri="urn:schemas-microsoft-com:office:smarttags" w:element="place">
        <w:smartTag w:uri="urn:schemas-microsoft-com:office:smarttags" w:element="country-region">
          <w:r w:rsidRPr="006D66BF">
            <w:rPr>
              <w:szCs w:val="24"/>
              <w:lang w:eastAsia="ja-JP"/>
            </w:rPr>
            <w:t>Japan</w:t>
          </w:r>
        </w:smartTag>
      </w:smartTag>
      <w:r w:rsidRPr="006D66BF">
        <w:rPr>
          <w:szCs w:val="24"/>
          <w:lang w:eastAsia="ja-JP"/>
        </w:rPr>
        <w:t>.</w:t>
      </w:r>
    </w:p>
    <w:p w14:paraId="30FFE720" w14:textId="77777777" w:rsidR="002B4541" w:rsidRPr="006D66BF" w:rsidRDefault="002B4541" w:rsidP="00673F0B">
      <w:pPr>
        <w:pStyle w:val="BodyText"/>
        <w:spacing w:beforeLines="100" w:before="240" w:after="100" w:afterAutospacing="1"/>
        <w:rPr>
          <w:szCs w:val="24"/>
          <w:lang w:eastAsia="ja-JP"/>
        </w:rPr>
      </w:pPr>
      <w:r w:rsidRPr="006D66BF">
        <w:rPr>
          <w:szCs w:val="24"/>
          <w:lang w:eastAsia="ja-JP"/>
        </w:rPr>
        <w:t>C</w:t>
      </w:r>
      <w:r w:rsidRPr="006D66BF">
        <w:rPr>
          <w:rFonts w:hint="eastAsia"/>
          <w:szCs w:val="24"/>
          <w:lang w:eastAsia="ja-JP"/>
        </w:rPr>
        <w:t>ITI</w:t>
      </w:r>
      <w:r w:rsidRPr="006D66BF">
        <w:rPr>
          <w:szCs w:val="24"/>
          <w:lang w:eastAsia="ja-JP"/>
        </w:rPr>
        <w:t xml:space="preserve"> (199</w:t>
      </w:r>
      <w:r w:rsidRPr="006D66BF">
        <w:rPr>
          <w:rFonts w:hint="eastAsia"/>
          <w:szCs w:val="24"/>
          <w:lang w:eastAsia="ja-JP"/>
        </w:rPr>
        <w:t>3b</w:t>
      </w:r>
      <w:r w:rsidRPr="006D66BF">
        <w:rPr>
          <w:szCs w:val="24"/>
          <w:lang w:eastAsia="ja-JP"/>
        </w:rPr>
        <w:t>)</w:t>
      </w:r>
      <w:r w:rsidRPr="006D66BF">
        <w:rPr>
          <w:rFonts w:hint="eastAsia"/>
          <w:szCs w:val="24"/>
          <w:lang w:eastAsia="ja-JP"/>
        </w:rPr>
        <w:t>,</w:t>
      </w:r>
      <w:r w:rsidRPr="006D66BF">
        <w:rPr>
          <w:szCs w:val="24"/>
          <w:lang w:eastAsia="ja-JP"/>
        </w:rPr>
        <w:t xml:space="preserve"> </w:t>
      </w:r>
      <w:r w:rsidRPr="006D66BF">
        <w:rPr>
          <w:rFonts w:hint="eastAsia"/>
          <w:szCs w:val="24"/>
          <w:lang w:eastAsia="ja-JP"/>
        </w:rPr>
        <w:t>S</w:t>
      </w:r>
      <w:r w:rsidRPr="006D66BF">
        <w:rPr>
          <w:szCs w:val="24"/>
          <w:lang w:eastAsia="ja-JP"/>
        </w:rPr>
        <w:t>tudy of bio-degradability of 2-</w:t>
      </w:r>
      <w:r w:rsidRPr="006D66BF">
        <w:rPr>
          <w:rFonts w:hint="eastAsia"/>
          <w:szCs w:val="24"/>
          <w:lang w:eastAsia="ja-JP"/>
        </w:rPr>
        <w:t>metyl-2-hydroxymethyl-1</w:t>
      </w:r>
      <w:proofErr w:type="gramStart"/>
      <w:r w:rsidRPr="006D66BF">
        <w:rPr>
          <w:rFonts w:hint="eastAsia"/>
          <w:szCs w:val="24"/>
          <w:lang w:eastAsia="ja-JP"/>
        </w:rPr>
        <w:t>,3</w:t>
      </w:r>
      <w:proofErr w:type="gramEnd"/>
      <w:r w:rsidRPr="006D66BF">
        <w:rPr>
          <w:rFonts w:hint="eastAsia"/>
          <w:szCs w:val="24"/>
          <w:lang w:eastAsia="ja-JP"/>
        </w:rPr>
        <w:t>-propanediol</w:t>
      </w:r>
      <w:r w:rsidRPr="006D66BF">
        <w:rPr>
          <w:szCs w:val="24"/>
          <w:lang w:eastAsia="ja-JP"/>
        </w:rPr>
        <w:t xml:space="preserve"> (K-</w:t>
      </w:r>
      <w:r w:rsidRPr="006D66BF">
        <w:rPr>
          <w:rFonts w:hint="eastAsia"/>
          <w:szCs w:val="24"/>
          <w:lang w:eastAsia="ja-JP"/>
        </w:rPr>
        <w:t>1087</w:t>
      </w:r>
      <w:r w:rsidRPr="006D66BF">
        <w:rPr>
          <w:szCs w:val="24"/>
          <w:lang w:eastAsia="ja-JP"/>
        </w:rPr>
        <w:t>)</w:t>
      </w:r>
      <w:r w:rsidRPr="006D66BF">
        <w:rPr>
          <w:rFonts w:hint="eastAsia"/>
          <w:szCs w:val="24"/>
          <w:lang w:eastAsia="ja-JP"/>
        </w:rPr>
        <w:t>,</w:t>
      </w:r>
      <w:r w:rsidRPr="006D66BF">
        <w:rPr>
          <w:szCs w:val="24"/>
          <w:lang w:eastAsia="ja-JP"/>
        </w:rPr>
        <w:t xml:space="preserve"> Report number </w:t>
      </w:r>
      <w:r w:rsidRPr="006D66BF">
        <w:rPr>
          <w:rFonts w:hint="eastAsia"/>
          <w:szCs w:val="24"/>
          <w:lang w:eastAsia="ja-JP"/>
        </w:rPr>
        <w:t>21087</w:t>
      </w:r>
      <w:r w:rsidRPr="006D66BF">
        <w:rPr>
          <w:szCs w:val="24"/>
          <w:lang w:eastAsia="ja-JP"/>
        </w:rPr>
        <w:t xml:space="preserve"> (in Japanese)</w:t>
      </w:r>
      <w:r w:rsidRPr="006D66BF">
        <w:rPr>
          <w:rFonts w:hint="eastAsia"/>
          <w:szCs w:val="24"/>
          <w:lang w:eastAsia="ja-JP"/>
        </w:rPr>
        <w:t>,</w:t>
      </w:r>
      <w:r w:rsidRPr="006D66BF">
        <w:rPr>
          <w:szCs w:val="24"/>
          <w:lang w:eastAsia="ja-JP"/>
        </w:rPr>
        <w:t xml:space="preserve"> Chemicals Inspection &amp; Testing Institute, </w:t>
      </w:r>
      <w:smartTag w:uri="urn:schemas-microsoft-com:office:smarttags" w:element="place">
        <w:smartTag w:uri="urn:schemas-microsoft-com:office:smarttags" w:element="country-region">
          <w:r w:rsidRPr="006D66BF">
            <w:rPr>
              <w:szCs w:val="24"/>
              <w:lang w:eastAsia="ja-JP"/>
            </w:rPr>
            <w:t>Japan</w:t>
          </w:r>
        </w:smartTag>
      </w:smartTag>
      <w:r w:rsidRPr="006D66BF">
        <w:rPr>
          <w:rFonts w:hint="eastAsia"/>
          <w:szCs w:val="24"/>
          <w:lang w:eastAsia="ja-JP"/>
        </w:rPr>
        <w:t>.</w:t>
      </w:r>
    </w:p>
    <w:p w14:paraId="30FFE721" w14:textId="77777777" w:rsidR="002B4541" w:rsidRPr="006D66BF" w:rsidRDefault="002B4541" w:rsidP="00673F0B">
      <w:pPr>
        <w:pStyle w:val="BodyText"/>
        <w:spacing w:beforeLines="100" w:before="240" w:after="100" w:afterAutospacing="1"/>
        <w:rPr>
          <w:szCs w:val="24"/>
          <w:lang w:eastAsia="ja-JP"/>
        </w:rPr>
      </w:pPr>
      <w:r w:rsidRPr="006D66BF">
        <w:rPr>
          <w:szCs w:val="24"/>
          <w:lang w:eastAsia="ja-JP"/>
        </w:rPr>
        <w:t>C</w:t>
      </w:r>
      <w:r w:rsidRPr="006D66BF">
        <w:rPr>
          <w:rFonts w:hint="eastAsia"/>
          <w:szCs w:val="24"/>
          <w:lang w:eastAsia="ja-JP"/>
        </w:rPr>
        <w:t>ITI</w:t>
      </w:r>
      <w:r w:rsidRPr="006D66BF">
        <w:rPr>
          <w:szCs w:val="24"/>
          <w:lang w:eastAsia="ja-JP"/>
        </w:rPr>
        <w:t xml:space="preserve"> (199</w:t>
      </w:r>
      <w:r w:rsidRPr="006D66BF">
        <w:rPr>
          <w:rFonts w:hint="eastAsia"/>
          <w:szCs w:val="24"/>
          <w:lang w:eastAsia="ja-JP"/>
        </w:rPr>
        <w:t>4</w:t>
      </w:r>
      <w:r w:rsidRPr="006D66BF">
        <w:rPr>
          <w:szCs w:val="24"/>
          <w:lang w:eastAsia="ja-JP"/>
        </w:rPr>
        <w:t>)</w:t>
      </w:r>
      <w:r w:rsidRPr="006D66BF">
        <w:rPr>
          <w:rFonts w:hint="eastAsia"/>
          <w:szCs w:val="24"/>
          <w:lang w:eastAsia="ja-JP"/>
        </w:rPr>
        <w:t>,</w:t>
      </w:r>
      <w:r w:rsidRPr="006D66BF">
        <w:rPr>
          <w:szCs w:val="24"/>
          <w:lang w:eastAsia="ja-JP"/>
        </w:rPr>
        <w:t xml:space="preserve"> </w:t>
      </w:r>
      <w:r w:rsidRPr="006D66BF">
        <w:rPr>
          <w:rFonts w:hint="eastAsia"/>
          <w:szCs w:val="24"/>
          <w:lang w:eastAsia="ja-JP"/>
        </w:rPr>
        <w:t>Study</w:t>
      </w:r>
      <w:r w:rsidRPr="006D66BF">
        <w:rPr>
          <w:szCs w:val="24"/>
          <w:lang w:eastAsia="ja-JP"/>
        </w:rPr>
        <w:t xml:space="preserve"> of partition coefficient of 2-</w:t>
      </w:r>
      <w:r w:rsidRPr="006D66BF">
        <w:rPr>
          <w:rFonts w:hint="eastAsia"/>
          <w:szCs w:val="24"/>
          <w:lang w:eastAsia="ja-JP"/>
        </w:rPr>
        <w:t>metyl-2-hydroxymethyl-1</w:t>
      </w:r>
      <w:proofErr w:type="gramStart"/>
      <w:r w:rsidRPr="006D66BF">
        <w:rPr>
          <w:rFonts w:hint="eastAsia"/>
          <w:szCs w:val="24"/>
          <w:lang w:eastAsia="ja-JP"/>
        </w:rPr>
        <w:t>,3</w:t>
      </w:r>
      <w:proofErr w:type="gramEnd"/>
      <w:r w:rsidRPr="006D66BF">
        <w:rPr>
          <w:rFonts w:hint="eastAsia"/>
          <w:szCs w:val="24"/>
          <w:lang w:eastAsia="ja-JP"/>
        </w:rPr>
        <w:t>-propanediol</w:t>
      </w:r>
      <w:r w:rsidRPr="006D66BF">
        <w:rPr>
          <w:szCs w:val="24"/>
          <w:lang w:eastAsia="ja-JP"/>
        </w:rPr>
        <w:t xml:space="preserve"> (K-</w:t>
      </w:r>
      <w:r w:rsidRPr="006D66BF">
        <w:rPr>
          <w:rFonts w:hint="eastAsia"/>
          <w:szCs w:val="24"/>
          <w:lang w:eastAsia="ja-JP"/>
        </w:rPr>
        <w:t>1087</w:t>
      </w:r>
      <w:r w:rsidRPr="006D66BF">
        <w:rPr>
          <w:szCs w:val="24"/>
          <w:lang w:eastAsia="ja-JP"/>
        </w:rPr>
        <w:t>) between water and 1-octanol</w:t>
      </w:r>
      <w:r w:rsidRPr="006D66BF">
        <w:rPr>
          <w:rFonts w:hint="eastAsia"/>
          <w:szCs w:val="24"/>
          <w:lang w:eastAsia="ja-JP"/>
        </w:rPr>
        <w:t>,</w:t>
      </w:r>
      <w:r w:rsidRPr="006D66BF">
        <w:rPr>
          <w:szCs w:val="24"/>
          <w:lang w:eastAsia="ja-JP"/>
        </w:rPr>
        <w:t xml:space="preserve"> Report number 81</w:t>
      </w:r>
      <w:r w:rsidRPr="006D66BF">
        <w:rPr>
          <w:rFonts w:hint="eastAsia"/>
          <w:szCs w:val="24"/>
          <w:lang w:eastAsia="ja-JP"/>
        </w:rPr>
        <w:t>087</w:t>
      </w:r>
      <w:r w:rsidRPr="006D66BF">
        <w:rPr>
          <w:szCs w:val="24"/>
          <w:lang w:eastAsia="ja-JP"/>
        </w:rPr>
        <w:t>K (in Japanese)</w:t>
      </w:r>
      <w:r w:rsidRPr="006D66BF">
        <w:rPr>
          <w:rFonts w:hint="eastAsia"/>
          <w:szCs w:val="24"/>
          <w:lang w:eastAsia="ja-JP"/>
        </w:rPr>
        <w:t>,</w:t>
      </w:r>
      <w:r w:rsidRPr="006D66BF">
        <w:rPr>
          <w:szCs w:val="24"/>
          <w:lang w:eastAsia="ja-JP"/>
        </w:rPr>
        <w:t xml:space="preserve"> Chemicals Inspection &amp; Testing Institute, </w:t>
      </w:r>
      <w:smartTag w:uri="urn:schemas-microsoft-com:office:smarttags" w:element="place">
        <w:smartTag w:uri="urn:schemas-microsoft-com:office:smarttags" w:element="country-region">
          <w:r w:rsidRPr="006D66BF">
            <w:rPr>
              <w:szCs w:val="24"/>
              <w:lang w:eastAsia="ja-JP"/>
            </w:rPr>
            <w:t>Japan</w:t>
          </w:r>
        </w:smartTag>
      </w:smartTag>
      <w:r w:rsidRPr="006D66BF">
        <w:rPr>
          <w:rFonts w:hint="eastAsia"/>
          <w:szCs w:val="24"/>
          <w:lang w:eastAsia="ja-JP"/>
        </w:rPr>
        <w:t>.</w:t>
      </w:r>
    </w:p>
    <w:p w14:paraId="30FFE722" w14:textId="77777777" w:rsidR="002B4541" w:rsidRPr="006D66BF" w:rsidRDefault="002B4541" w:rsidP="00673F0B">
      <w:pPr>
        <w:pStyle w:val="BodyText"/>
        <w:spacing w:beforeLines="100" w:before="240" w:after="100" w:afterAutospacing="1"/>
        <w:rPr>
          <w:szCs w:val="24"/>
          <w:lang w:eastAsia="ja-JP"/>
        </w:rPr>
      </w:pPr>
      <w:r w:rsidRPr="006D66BF">
        <w:rPr>
          <w:rFonts w:hint="eastAsia"/>
          <w:szCs w:val="24"/>
          <w:lang w:eastAsia="ja-JP"/>
        </w:rPr>
        <w:t>CITI (1998), Measurement</w:t>
      </w:r>
      <w:r w:rsidRPr="006D66BF">
        <w:rPr>
          <w:szCs w:val="24"/>
          <w:lang w:eastAsia="ja-JP"/>
        </w:rPr>
        <w:t xml:space="preserve"> of </w:t>
      </w:r>
      <w:r w:rsidRPr="006D66BF">
        <w:rPr>
          <w:rFonts w:hint="eastAsia"/>
          <w:szCs w:val="24"/>
          <w:lang w:eastAsia="ja-JP"/>
        </w:rPr>
        <w:t>physico-chemical properties</w:t>
      </w:r>
      <w:r w:rsidRPr="006D66BF">
        <w:rPr>
          <w:szCs w:val="24"/>
          <w:lang w:eastAsia="ja-JP"/>
        </w:rPr>
        <w:t xml:space="preserve"> of 2-</w:t>
      </w:r>
      <w:r w:rsidRPr="006D66BF">
        <w:rPr>
          <w:rFonts w:hint="eastAsia"/>
          <w:szCs w:val="24"/>
          <w:lang w:eastAsia="ja-JP"/>
        </w:rPr>
        <w:t>metyl-2-hydroxymethyl -1</w:t>
      </w:r>
      <w:proofErr w:type="gramStart"/>
      <w:r w:rsidRPr="006D66BF">
        <w:rPr>
          <w:rFonts w:hint="eastAsia"/>
          <w:szCs w:val="24"/>
          <w:lang w:eastAsia="ja-JP"/>
        </w:rPr>
        <w:t>,3</w:t>
      </w:r>
      <w:proofErr w:type="gramEnd"/>
      <w:r w:rsidRPr="006D66BF">
        <w:rPr>
          <w:rFonts w:hint="eastAsia"/>
          <w:szCs w:val="24"/>
          <w:lang w:eastAsia="ja-JP"/>
        </w:rPr>
        <w:t>-propanediol</w:t>
      </w:r>
      <w:r w:rsidRPr="006D66BF">
        <w:rPr>
          <w:szCs w:val="24"/>
          <w:lang w:eastAsia="ja-JP"/>
        </w:rPr>
        <w:t xml:space="preserve"> (K-</w:t>
      </w:r>
      <w:r w:rsidRPr="006D66BF">
        <w:rPr>
          <w:rFonts w:hint="eastAsia"/>
          <w:szCs w:val="24"/>
          <w:lang w:eastAsia="ja-JP"/>
        </w:rPr>
        <w:t>1087</w:t>
      </w:r>
      <w:r w:rsidRPr="006D66BF">
        <w:rPr>
          <w:szCs w:val="24"/>
          <w:lang w:eastAsia="ja-JP"/>
        </w:rPr>
        <w:t>)</w:t>
      </w:r>
      <w:r w:rsidRPr="006D66BF">
        <w:rPr>
          <w:rFonts w:hint="eastAsia"/>
          <w:szCs w:val="24"/>
          <w:lang w:eastAsia="ja-JP"/>
        </w:rPr>
        <w:t>,</w:t>
      </w:r>
      <w:r w:rsidRPr="006D66BF">
        <w:rPr>
          <w:szCs w:val="24"/>
          <w:lang w:eastAsia="ja-JP"/>
        </w:rPr>
        <w:t xml:space="preserve"> Report number </w:t>
      </w:r>
      <w:r w:rsidRPr="006D66BF">
        <w:rPr>
          <w:rFonts w:hint="eastAsia"/>
          <w:szCs w:val="24"/>
          <w:lang w:eastAsia="ja-JP"/>
        </w:rPr>
        <w:t>81087K</w:t>
      </w:r>
      <w:r w:rsidRPr="006D66BF">
        <w:rPr>
          <w:szCs w:val="24"/>
          <w:lang w:eastAsia="ja-JP"/>
        </w:rPr>
        <w:t xml:space="preserve"> (in Japanese)</w:t>
      </w:r>
      <w:r w:rsidRPr="006D66BF">
        <w:rPr>
          <w:rFonts w:hint="eastAsia"/>
          <w:szCs w:val="24"/>
          <w:lang w:eastAsia="ja-JP"/>
        </w:rPr>
        <w:t>,</w:t>
      </w:r>
      <w:r w:rsidRPr="006D66BF">
        <w:rPr>
          <w:szCs w:val="24"/>
          <w:lang w:eastAsia="ja-JP"/>
        </w:rPr>
        <w:t xml:space="preserve"> Chemicals Inspection &amp; Testing Institute, </w:t>
      </w:r>
      <w:smartTag w:uri="urn:schemas-microsoft-com:office:smarttags" w:element="place">
        <w:smartTag w:uri="urn:schemas-microsoft-com:office:smarttags" w:element="country-region">
          <w:r w:rsidRPr="006D66BF">
            <w:rPr>
              <w:szCs w:val="24"/>
              <w:lang w:eastAsia="ja-JP"/>
            </w:rPr>
            <w:t>Japan</w:t>
          </w:r>
        </w:smartTag>
      </w:smartTag>
    </w:p>
    <w:p w14:paraId="30FFE723" w14:textId="77777777" w:rsidR="002B4541" w:rsidRPr="006D66BF" w:rsidRDefault="002B4541" w:rsidP="00673F0B">
      <w:pPr>
        <w:pStyle w:val="BodyText"/>
        <w:spacing w:beforeLines="100" w:before="240" w:after="100" w:afterAutospacing="1"/>
        <w:rPr>
          <w:szCs w:val="24"/>
          <w:lang w:eastAsia="ja-JP"/>
        </w:rPr>
      </w:pPr>
      <w:proofErr w:type="gramStart"/>
      <w:r w:rsidRPr="006D66BF">
        <w:rPr>
          <w:szCs w:val="24"/>
          <w:lang w:eastAsia="ja-JP"/>
        </w:rPr>
        <w:t>HSDB (200</w:t>
      </w:r>
      <w:r w:rsidRPr="006D66BF">
        <w:rPr>
          <w:rFonts w:hint="eastAsia"/>
          <w:szCs w:val="24"/>
          <w:lang w:eastAsia="ja-JP"/>
        </w:rPr>
        <w:t>8</w:t>
      </w:r>
      <w:r w:rsidRPr="006D66BF">
        <w:rPr>
          <w:szCs w:val="24"/>
          <w:lang w:eastAsia="ja-JP"/>
        </w:rPr>
        <w:t>), Hazardous Substances Databank, Bethesda, MD, 200</w:t>
      </w:r>
      <w:r w:rsidRPr="006D66BF">
        <w:rPr>
          <w:rFonts w:hint="eastAsia"/>
          <w:szCs w:val="24"/>
          <w:lang w:eastAsia="ja-JP"/>
        </w:rPr>
        <w:t>8</w:t>
      </w:r>
      <w:r w:rsidRPr="006D66BF">
        <w:rPr>
          <w:szCs w:val="24"/>
          <w:lang w:eastAsia="ja-JP"/>
        </w:rPr>
        <w:t>.</w:t>
      </w:r>
      <w:proofErr w:type="gramEnd"/>
    </w:p>
    <w:p w14:paraId="30FFE724" w14:textId="77777777" w:rsidR="002B4541" w:rsidRPr="006D66BF" w:rsidRDefault="002B4541" w:rsidP="00673F0B">
      <w:pPr>
        <w:pStyle w:val="BodyText"/>
        <w:spacing w:beforeLines="100" w:before="240" w:after="100" w:afterAutospacing="1"/>
        <w:rPr>
          <w:szCs w:val="24"/>
          <w:lang w:eastAsia="ja-JP"/>
        </w:rPr>
      </w:pPr>
      <w:proofErr w:type="gramStart"/>
      <w:r w:rsidRPr="006D66BF">
        <w:rPr>
          <w:szCs w:val="24"/>
          <w:lang w:eastAsia="ja-JP"/>
        </w:rPr>
        <w:t>Kirk-Othmer (2004), Kirk-Othmer Encyclopedia of Chemical Technology, fifth edition, volume 2, Wiley-Interscience, 2004.</w:t>
      </w:r>
      <w:proofErr w:type="gramEnd"/>
    </w:p>
    <w:p w14:paraId="30FFE725" w14:textId="77777777" w:rsidR="002B4541" w:rsidRPr="006D66BF" w:rsidRDefault="002B4541" w:rsidP="00673F0B">
      <w:pPr>
        <w:pStyle w:val="BodyText"/>
        <w:spacing w:beforeLines="100" w:before="240" w:after="100" w:afterAutospacing="1"/>
        <w:rPr>
          <w:szCs w:val="24"/>
          <w:lang w:eastAsia="ja-JP"/>
        </w:rPr>
      </w:pPr>
      <w:r w:rsidRPr="006D66BF">
        <w:rPr>
          <w:szCs w:val="24"/>
          <w:lang w:eastAsia="ja-JP"/>
        </w:rPr>
        <w:t>Lewis R.J. (2001), Hawley’s Condensed Chemical Dictionary, 14th edition, John Wiley &amp; Sons, Inc.</w:t>
      </w:r>
    </w:p>
    <w:p w14:paraId="30FFE726" w14:textId="77777777" w:rsidR="002B4541" w:rsidRPr="006D66BF" w:rsidRDefault="002B4541" w:rsidP="00673F0B">
      <w:pPr>
        <w:pStyle w:val="BodyText"/>
        <w:spacing w:beforeLines="100" w:before="240" w:after="100" w:afterAutospacing="1"/>
        <w:rPr>
          <w:szCs w:val="24"/>
          <w:lang w:eastAsia="ja-JP"/>
        </w:rPr>
      </w:pPr>
      <w:r w:rsidRPr="006D66BF">
        <w:rPr>
          <w:szCs w:val="24"/>
          <w:lang w:eastAsia="ja-JP"/>
        </w:rPr>
        <w:t>Lide D.R. (</w:t>
      </w:r>
      <w:proofErr w:type="gramStart"/>
      <w:r w:rsidRPr="006D66BF">
        <w:rPr>
          <w:szCs w:val="24"/>
          <w:lang w:eastAsia="ja-JP"/>
        </w:rPr>
        <w:t>ed</w:t>
      </w:r>
      <w:proofErr w:type="gramEnd"/>
      <w:r w:rsidRPr="006D66BF">
        <w:rPr>
          <w:szCs w:val="24"/>
          <w:lang w:eastAsia="ja-JP"/>
        </w:rPr>
        <w:t>) (2008)</w:t>
      </w:r>
      <w:r w:rsidRPr="006D66BF">
        <w:rPr>
          <w:rFonts w:hint="eastAsia"/>
          <w:szCs w:val="24"/>
          <w:lang w:eastAsia="ja-JP"/>
        </w:rPr>
        <w:t>,</w:t>
      </w:r>
      <w:r w:rsidRPr="006D66BF">
        <w:rPr>
          <w:szCs w:val="24"/>
          <w:lang w:eastAsia="ja-JP"/>
        </w:rPr>
        <w:t xml:space="preserve"> CRC Handbook of Chemistry and Physics, version 2008</w:t>
      </w:r>
      <w:r w:rsidRPr="006D66BF">
        <w:rPr>
          <w:rFonts w:hint="eastAsia"/>
          <w:szCs w:val="24"/>
          <w:lang w:eastAsia="ja-JP"/>
        </w:rPr>
        <w:t>,</w:t>
      </w:r>
      <w:r w:rsidRPr="006D66BF">
        <w:rPr>
          <w:szCs w:val="24"/>
          <w:lang w:eastAsia="ja-JP"/>
        </w:rPr>
        <w:t xml:space="preserve"> CRC Press Inc.</w:t>
      </w:r>
    </w:p>
    <w:p w14:paraId="30FFE727" w14:textId="77777777" w:rsidR="002B4541" w:rsidRPr="006D66BF" w:rsidRDefault="002B4541">
      <w:pPr>
        <w:pStyle w:val="BodyText"/>
        <w:rPr>
          <w:lang w:eastAsia="ja-JP"/>
        </w:rPr>
      </w:pPr>
      <w:r w:rsidRPr="006D66BF">
        <w:rPr>
          <w:lang w:eastAsia="ja-JP"/>
        </w:rPr>
        <w:t xml:space="preserve">MHW (Ministry of Health and Welfare), </w:t>
      </w:r>
      <w:smartTag w:uri="urn:schemas-microsoft-com:office:smarttags" w:element="place">
        <w:smartTag w:uri="urn:schemas-microsoft-com:office:smarttags" w:element="country-region">
          <w:r w:rsidRPr="006D66BF">
            <w:rPr>
              <w:lang w:eastAsia="ja-JP"/>
            </w:rPr>
            <w:t>Japan</w:t>
          </w:r>
        </w:smartTag>
      </w:smartTag>
      <w:r w:rsidRPr="006D66BF">
        <w:rPr>
          <w:lang w:eastAsia="ja-JP"/>
        </w:rPr>
        <w:t xml:space="preserve"> (199</w:t>
      </w:r>
      <w:r w:rsidRPr="006D66BF">
        <w:rPr>
          <w:rFonts w:hint="eastAsia"/>
          <w:lang w:eastAsia="ja-JP"/>
        </w:rPr>
        <w:t>8a</w:t>
      </w:r>
      <w:r w:rsidRPr="006D66BF">
        <w:rPr>
          <w:lang w:eastAsia="ja-JP"/>
        </w:rPr>
        <w:t>) Single Dose Oral Toxicity Test of 1</w:t>
      </w:r>
      <w:proofErr w:type="gramStart"/>
      <w:r w:rsidRPr="006D66BF">
        <w:rPr>
          <w:lang w:eastAsia="ja-JP"/>
        </w:rPr>
        <w:t>,1,1</w:t>
      </w:r>
      <w:proofErr w:type="gramEnd"/>
      <w:r w:rsidRPr="006D66BF">
        <w:rPr>
          <w:lang w:eastAsia="ja-JP"/>
        </w:rPr>
        <w:t>-Tris(hydroxymethyl)ethane in Rat</w:t>
      </w:r>
      <w:r w:rsidRPr="006D66BF">
        <w:rPr>
          <w:rFonts w:hint="eastAsia"/>
          <w:lang w:eastAsia="ja-JP"/>
        </w:rPr>
        <w:t>s</w:t>
      </w:r>
      <w:r w:rsidRPr="006D66BF">
        <w:rPr>
          <w:lang w:eastAsia="ja-JP"/>
        </w:rPr>
        <w:t xml:space="preserve">. </w:t>
      </w:r>
      <w:proofErr w:type="gramStart"/>
      <w:r w:rsidRPr="006D66BF">
        <w:rPr>
          <w:lang w:eastAsia="ja-JP"/>
        </w:rPr>
        <w:t>Toxicity Testing Reports of Environmental Chemicals.</w:t>
      </w:r>
      <w:proofErr w:type="gramEnd"/>
      <w:r w:rsidRPr="006D66BF">
        <w:rPr>
          <w:lang w:eastAsia="ja-JP"/>
        </w:rPr>
        <w:t xml:space="preserve"> </w:t>
      </w:r>
      <w:r w:rsidRPr="006D66BF">
        <w:rPr>
          <w:rFonts w:hint="eastAsia"/>
          <w:lang w:eastAsia="ja-JP"/>
        </w:rPr>
        <w:t>6</w:t>
      </w:r>
      <w:r w:rsidRPr="006D66BF">
        <w:rPr>
          <w:lang w:eastAsia="ja-JP"/>
        </w:rPr>
        <w:t xml:space="preserve">, </w:t>
      </w:r>
      <w:r w:rsidRPr="006D66BF">
        <w:rPr>
          <w:rFonts w:hint="eastAsia"/>
          <w:lang w:eastAsia="ja-JP"/>
        </w:rPr>
        <w:t>41</w:t>
      </w:r>
      <w:r w:rsidRPr="006D66BF">
        <w:rPr>
          <w:lang w:eastAsia="ja-JP"/>
        </w:rPr>
        <w:t>-</w:t>
      </w:r>
      <w:r w:rsidRPr="006D66BF">
        <w:rPr>
          <w:rFonts w:hint="eastAsia"/>
          <w:lang w:eastAsia="ja-JP"/>
        </w:rPr>
        <w:t>42</w:t>
      </w:r>
      <w:r w:rsidRPr="006D66BF">
        <w:rPr>
          <w:lang w:eastAsia="ja-JP"/>
        </w:rPr>
        <w:t>.</w:t>
      </w:r>
      <w:r w:rsidRPr="006D66BF">
        <w:rPr>
          <w:rFonts w:hint="eastAsia"/>
          <w:lang w:eastAsia="ja-JP"/>
        </w:rPr>
        <w:t xml:space="preserve"> (</w:t>
      </w:r>
      <w:hyperlink r:id="rId13" w:history="1">
        <w:r w:rsidRPr="006D66BF">
          <w:rPr>
            <w:rStyle w:val="Hyperlink"/>
            <w:color w:val="auto"/>
            <w:sz w:val="24"/>
            <w:lang w:eastAsia="ja-JP"/>
          </w:rPr>
          <w:t>http://dra4.nihs.go.jp/mhlw_data/home/paper/paper77-85-0a.html</w:t>
        </w:r>
      </w:hyperlink>
      <w:r w:rsidRPr="006D66BF">
        <w:rPr>
          <w:rFonts w:hint="eastAsia"/>
          <w:lang w:eastAsia="ja-JP"/>
        </w:rPr>
        <w:t>)</w:t>
      </w:r>
    </w:p>
    <w:p w14:paraId="30FFE728" w14:textId="77777777" w:rsidR="002B4541" w:rsidRPr="006D66BF" w:rsidRDefault="002B4541">
      <w:pPr>
        <w:pStyle w:val="BodyText"/>
        <w:rPr>
          <w:lang w:eastAsia="ja-JP"/>
        </w:rPr>
      </w:pPr>
      <w:r w:rsidRPr="006D66BF">
        <w:rPr>
          <w:lang w:eastAsia="ja-JP"/>
        </w:rPr>
        <w:t xml:space="preserve">MHW (Ministry of Health and Welfare), </w:t>
      </w:r>
      <w:smartTag w:uri="urn:schemas-microsoft-com:office:smarttags" w:element="place">
        <w:smartTag w:uri="urn:schemas-microsoft-com:office:smarttags" w:element="country-region">
          <w:r w:rsidRPr="006D66BF">
            <w:rPr>
              <w:lang w:eastAsia="ja-JP"/>
            </w:rPr>
            <w:t>Japan</w:t>
          </w:r>
        </w:smartTag>
      </w:smartTag>
      <w:r w:rsidRPr="006D66BF">
        <w:rPr>
          <w:lang w:eastAsia="ja-JP"/>
        </w:rPr>
        <w:t xml:space="preserve"> (199</w:t>
      </w:r>
      <w:r w:rsidRPr="006D66BF">
        <w:rPr>
          <w:rFonts w:hint="eastAsia"/>
          <w:lang w:eastAsia="ja-JP"/>
        </w:rPr>
        <w:t>8b</w:t>
      </w:r>
      <w:r w:rsidRPr="006D66BF">
        <w:rPr>
          <w:lang w:eastAsia="ja-JP"/>
        </w:rPr>
        <w:t>) Combined Repeat Dose and Reproductive/Developmental Toxicity Screening Test of 1</w:t>
      </w:r>
      <w:proofErr w:type="gramStart"/>
      <w:r w:rsidRPr="006D66BF">
        <w:rPr>
          <w:lang w:eastAsia="ja-JP"/>
        </w:rPr>
        <w:t>,1,1</w:t>
      </w:r>
      <w:proofErr w:type="gramEnd"/>
      <w:r w:rsidRPr="006D66BF">
        <w:rPr>
          <w:lang w:eastAsia="ja-JP"/>
        </w:rPr>
        <w:t xml:space="preserve">-Tris(hydroxymethyl)ethane by Oral Administration in Rats. </w:t>
      </w:r>
      <w:proofErr w:type="gramStart"/>
      <w:r w:rsidRPr="006D66BF">
        <w:rPr>
          <w:lang w:eastAsia="ja-JP"/>
        </w:rPr>
        <w:t>Toxicity Testing Reports of Environmental Chemicals.</w:t>
      </w:r>
      <w:proofErr w:type="gramEnd"/>
      <w:r w:rsidRPr="006D66BF">
        <w:rPr>
          <w:lang w:eastAsia="ja-JP"/>
        </w:rPr>
        <w:t xml:space="preserve"> </w:t>
      </w:r>
      <w:r w:rsidRPr="006D66BF">
        <w:rPr>
          <w:rFonts w:hint="eastAsia"/>
          <w:lang w:eastAsia="ja-JP"/>
        </w:rPr>
        <w:t>6</w:t>
      </w:r>
      <w:r w:rsidRPr="006D66BF">
        <w:rPr>
          <w:lang w:eastAsia="ja-JP"/>
        </w:rPr>
        <w:t xml:space="preserve">, </w:t>
      </w:r>
      <w:r w:rsidRPr="006D66BF">
        <w:rPr>
          <w:rFonts w:hint="eastAsia"/>
          <w:lang w:eastAsia="ja-JP"/>
        </w:rPr>
        <w:t>43</w:t>
      </w:r>
      <w:r w:rsidRPr="006D66BF">
        <w:rPr>
          <w:lang w:eastAsia="ja-JP"/>
        </w:rPr>
        <w:t>-</w:t>
      </w:r>
      <w:r w:rsidRPr="006D66BF">
        <w:rPr>
          <w:rFonts w:hint="eastAsia"/>
          <w:lang w:eastAsia="ja-JP"/>
        </w:rPr>
        <w:t>53</w:t>
      </w:r>
      <w:r w:rsidRPr="006D66BF">
        <w:rPr>
          <w:lang w:eastAsia="ja-JP"/>
        </w:rPr>
        <w:t>.</w:t>
      </w:r>
      <w:r w:rsidRPr="006D66BF">
        <w:rPr>
          <w:rFonts w:hint="eastAsia"/>
          <w:lang w:eastAsia="ja-JP"/>
        </w:rPr>
        <w:t xml:space="preserve"> </w:t>
      </w:r>
      <w:r w:rsidRPr="006D66BF">
        <w:rPr>
          <w:lang w:eastAsia="ja-JP"/>
        </w:rPr>
        <w:t>(</w:t>
      </w:r>
      <w:hyperlink r:id="rId14" w:history="1">
        <w:r w:rsidRPr="006D66BF">
          <w:rPr>
            <w:rStyle w:val="Hyperlink"/>
            <w:color w:val="auto"/>
            <w:sz w:val="24"/>
            <w:lang w:eastAsia="ja-JP"/>
          </w:rPr>
          <w:t>http://dra4.nihs.go.jp/mhlw_data/home/paper/paper77-85-0d.html</w:t>
        </w:r>
      </w:hyperlink>
      <w:r w:rsidRPr="006D66BF">
        <w:rPr>
          <w:lang w:eastAsia="ja-JP"/>
        </w:rPr>
        <w:t>)</w:t>
      </w:r>
    </w:p>
    <w:p w14:paraId="30FFE729" w14:textId="77777777" w:rsidR="002B4541" w:rsidRPr="006D66BF" w:rsidRDefault="002B4541" w:rsidP="009D0EC2">
      <w:pPr>
        <w:pStyle w:val="BodyText"/>
        <w:rPr>
          <w:lang w:eastAsia="ja-JP"/>
        </w:rPr>
      </w:pPr>
      <w:r w:rsidRPr="006D66BF">
        <w:rPr>
          <w:lang w:eastAsia="ja-JP"/>
        </w:rPr>
        <w:t xml:space="preserve">MHW (Ministry of Health and Welfare), </w:t>
      </w:r>
      <w:smartTag w:uri="urn:schemas-microsoft-com:office:smarttags" w:element="place">
        <w:smartTag w:uri="urn:schemas-microsoft-com:office:smarttags" w:element="country-region">
          <w:r w:rsidRPr="006D66BF">
            <w:rPr>
              <w:lang w:eastAsia="ja-JP"/>
            </w:rPr>
            <w:t>Japan</w:t>
          </w:r>
        </w:smartTag>
      </w:smartTag>
      <w:r w:rsidRPr="006D66BF">
        <w:rPr>
          <w:lang w:eastAsia="ja-JP"/>
        </w:rPr>
        <w:t xml:space="preserve"> (199</w:t>
      </w:r>
      <w:r w:rsidRPr="006D66BF">
        <w:rPr>
          <w:rFonts w:hint="eastAsia"/>
          <w:lang w:eastAsia="ja-JP"/>
        </w:rPr>
        <w:t>8c</w:t>
      </w:r>
      <w:r w:rsidRPr="006D66BF">
        <w:rPr>
          <w:lang w:eastAsia="ja-JP"/>
        </w:rPr>
        <w:t>) Reverse Mutation Test of 1</w:t>
      </w:r>
      <w:proofErr w:type="gramStart"/>
      <w:r w:rsidRPr="006D66BF">
        <w:rPr>
          <w:lang w:eastAsia="ja-JP"/>
        </w:rPr>
        <w:t>,1,1</w:t>
      </w:r>
      <w:proofErr w:type="gramEnd"/>
      <w:r w:rsidRPr="006D66BF">
        <w:rPr>
          <w:lang w:eastAsia="ja-JP"/>
        </w:rPr>
        <w:t xml:space="preserve">-Tris(hydroxymethyl)ethane on Bacteria. </w:t>
      </w:r>
      <w:proofErr w:type="gramStart"/>
      <w:r w:rsidRPr="006D66BF">
        <w:rPr>
          <w:lang w:eastAsia="ja-JP"/>
        </w:rPr>
        <w:t>Toxicity Testing Reports of Environmental Chemicals.</w:t>
      </w:r>
      <w:proofErr w:type="gramEnd"/>
      <w:r w:rsidRPr="006D66BF">
        <w:rPr>
          <w:lang w:eastAsia="ja-JP"/>
        </w:rPr>
        <w:t xml:space="preserve"> </w:t>
      </w:r>
      <w:r w:rsidRPr="006D66BF">
        <w:rPr>
          <w:rFonts w:hint="eastAsia"/>
          <w:lang w:eastAsia="ja-JP"/>
        </w:rPr>
        <w:t>6</w:t>
      </w:r>
      <w:r w:rsidRPr="006D66BF">
        <w:rPr>
          <w:lang w:eastAsia="ja-JP"/>
        </w:rPr>
        <w:t xml:space="preserve">, </w:t>
      </w:r>
      <w:r w:rsidRPr="006D66BF">
        <w:rPr>
          <w:rFonts w:hint="eastAsia"/>
          <w:lang w:eastAsia="ja-JP"/>
        </w:rPr>
        <w:t>54</w:t>
      </w:r>
      <w:r w:rsidRPr="006D66BF">
        <w:rPr>
          <w:lang w:eastAsia="ja-JP"/>
        </w:rPr>
        <w:t>-</w:t>
      </w:r>
      <w:r w:rsidRPr="006D66BF">
        <w:rPr>
          <w:rFonts w:hint="eastAsia"/>
          <w:lang w:eastAsia="ja-JP"/>
        </w:rPr>
        <w:t>57</w:t>
      </w:r>
      <w:r w:rsidRPr="006D66BF">
        <w:rPr>
          <w:lang w:eastAsia="ja-JP"/>
        </w:rPr>
        <w:t>.</w:t>
      </w:r>
      <w:r w:rsidRPr="006D66BF">
        <w:rPr>
          <w:rFonts w:hint="eastAsia"/>
          <w:lang w:eastAsia="ja-JP"/>
        </w:rPr>
        <w:t xml:space="preserve"> </w:t>
      </w:r>
      <w:r w:rsidRPr="006D66BF">
        <w:rPr>
          <w:lang w:eastAsia="ja-JP"/>
        </w:rPr>
        <w:t>(</w:t>
      </w:r>
      <w:hyperlink r:id="rId15" w:history="1">
        <w:r w:rsidRPr="006D66BF">
          <w:rPr>
            <w:rStyle w:val="Hyperlink"/>
            <w:color w:val="auto"/>
            <w:sz w:val="24"/>
            <w:lang w:eastAsia="ja-JP"/>
          </w:rPr>
          <w:t>http://dra4.nihs.go.jp/mhlw_data/home/paper/paper77-85-0e.html</w:t>
        </w:r>
      </w:hyperlink>
      <w:r w:rsidRPr="006D66BF">
        <w:rPr>
          <w:lang w:eastAsia="ja-JP"/>
        </w:rPr>
        <w:t>)</w:t>
      </w:r>
    </w:p>
    <w:p w14:paraId="30FFE72A" w14:textId="77777777" w:rsidR="002B4541" w:rsidRPr="006D66BF" w:rsidRDefault="002B4541">
      <w:pPr>
        <w:pStyle w:val="BodyText"/>
        <w:rPr>
          <w:lang w:eastAsia="ja-JP"/>
        </w:rPr>
      </w:pPr>
      <w:r w:rsidRPr="006D66BF">
        <w:t xml:space="preserve">MHW (Ministry of Health and Welfare), </w:t>
      </w:r>
      <w:smartTag w:uri="urn:schemas-microsoft-com:office:smarttags" w:element="place">
        <w:smartTag w:uri="urn:schemas-microsoft-com:office:smarttags" w:element="country-region">
          <w:r w:rsidRPr="006D66BF">
            <w:t>Japan</w:t>
          </w:r>
        </w:smartTag>
      </w:smartTag>
      <w:r w:rsidRPr="006D66BF">
        <w:t xml:space="preserve"> (199</w:t>
      </w:r>
      <w:r w:rsidRPr="006D66BF">
        <w:rPr>
          <w:rFonts w:hint="eastAsia"/>
          <w:lang w:eastAsia="ja-JP"/>
        </w:rPr>
        <w:t>8d</w:t>
      </w:r>
      <w:r w:rsidRPr="006D66BF">
        <w:t xml:space="preserve">) In Vitro Chromosomal Aberration Test of </w:t>
      </w:r>
      <w:r w:rsidRPr="006D66BF">
        <w:rPr>
          <w:lang w:eastAsia="ja-JP"/>
        </w:rPr>
        <w:t>1</w:t>
      </w:r>
      <w:proofErr w:type="gramStart"/>
      <w:r w:rsidRPr="006D66BF">
        <w:rPr>
          <w:lang w:eastAsia="ja-JP"/>
        </w:rPr>
        <w:t>,1,1</w:t>
      </w:r>
      <w:proofErr w:type="gramEnd"/>
      <w:r w:rsidRPr="006D66BF">
        <w:rPr>
          <w:lang w:eastAsia="ja-JP"/>
        </w:rPr>
        <w:t>-Tris(hydroxymethyl)ethane</w:t>
      </w:r>
      <w:r w:rsidRPr="006D66BF">
        <w:t xml:space="preserve"> on Cultured Chinese Hamster Cells. </w:t>
      </w:r>
      <w:proofErr w:type="gramStart"/>
      <w:r w:rsidRPr="006D66BF">
        <w:t xml:space="preserve">Toxicity Testing Reports of Environmental Chemicals, </w:t>
      </w:r>
      <w:r w:rsidRPr="006D66BF">
        <w:rPr>
          <w:rFonts w:hint="eastAsia"/>
          <w:lang w:eastAsia="ja-JP"/>
        </w:rPr>
        <w:t>6</w:t>
      </w:r>
      <w:r w:rsidRPr="006D66BF">
        <w:t xml:space="preserve">, </w:t>
      </w:r>
      <w:r w:rsidRPr="006D66BF">
        <w:rPr>
          <w:rFonts w:hint="eastAsia"/>
          <w:lang w:eastAsia="ja-JP"/>
        </w:rPr>
        <w:t>58</w:t>
      </w:r>
      <w:r w:rsidRPr="006D66BF">
        <w:t>-</w:t>
      </w:r>
      <w:r w:rsidRPr="006D66BF">
        <w:rPr>
          <w:rFonts w:hint="eastAsia"/>
          <w:lang w:eastAsia="ja-JP"/>
        </w:rPr>
        <w:t>61</w:t>
      </w:r>
      <w:r w:rsidRPr="006D66BF">
        <w:t>.</w:t>
      </w:r>
      <w:proofErr w:type="gramEnd"/>
      <w:r w:rsidRPr="006D66BF">
        <w:rPr>
          <w:rFonts w:hint="eastAsia"/>
          <w:lang w:eastAsia="ja-JP"/>
        </w:rPr>
        <w:t xml:space="preserve"> (</w:t>
      </w:r>
      <w:hyperlink r:id="rId16" w:history="1">
        <w:r w:rsidRPr="006D66BF">
          <w:rPr>
            <w:rStyle w:val="Hyperlink"/>
            <w:color w:val="auto"/>
            <w:sz w:val="24"/>
            <w:lang w:eastAsia="ja-JP"/>
          </w:rPr>
          <w:t>http://dra4.nihs.go.jp/mhlw_data/home/paper/paper77-85-0f.html</w:t>
        </w:r>
      </w:hyperlink>
      <w:r w:rsidRPr="006D66BF">
        <w:t>)</w:t>
      </w:r>
    </w:p>
    <w:p w14:paraId="30FFE72B" w14:textId="77777777" w:rsidR="002B4541" w:rsidRPr="006D66BF" w:rsidRDefault="002B4541" w:rsidP="002B4541">
      <w:pPr>
        <w:pStyle w:val="BodyText"/>
        <w:rPr>
          <w:szCs w:val="24"/>
          <w:lang w:eastAsia="ja-JP"/>
        </w:rPr>
      </w:pPr>
      <w:r w:rsidRPr="006D66BF">
        <w:rPr>
          <w:szCs w:val="24"/>
          <w:lang w:eastAsia="ja-JP"/>
        </w:rPr>
        <w:t>MOE, Japan (</w:t>
      </w:r>
      <w:r w:rsidRPr="006D66BF">
        <w:rPr>
          <w:rFonts w:hint="eastAsia"/>
          <w:szCs w:val="24"/>
          <w:lang w:eastAsia="ja-JP"/>
        </w:rPr>
        <w:t>1998</w:t>
      </w:r>
      <w:r w:rsidRPr="006D66BF">
        <w:rPr>
          <w:szCs w:val="24"/>
          <w:lang w:eastAsia="ja-JP"/>
        </w:rPr>
        <w:t xml:space="preserve">) </w:t>
      </w:r>
      <w:r w:rsidRPr="006D66BF">
        <w:rPr>
          <w:rFonts w:eastAsia="MS PGothic"/>
          <w:szCs w:val="24"/>
        </w:rPr>
        <w:t>Ecotoxicity of 1</w:t>
      </w:r>
      <w:proofErr w:type="gramStart"/>
      <w:r w:rsidRPr="006D66BF">
        <w:rPr>
          <w:rFonts w:eastAsia="MS PGothic"/>
          <w:szCs w:val="24"/>
        </w:rPr>
        <w:t>,3</w:t>
      </w:r>
      <w:proofErr w:type="gramEnd"/>
      <w:r w:rsidRPr="006D66BF">
        <w:rPr>
          <w:rFonts w:eastAsia="MS PGothic"/>
          <w:szCs w:val="24"/>
        </w:rPr>
        <w:t>-Propanediol, 2-(hydroxymethyl)-2-methyl- for aquatic species of algae, daphnia and fish.</w:t>
      </w:r>
      <w:r w:rsidRPr="006D66BF">
        <w:rPr>
          <w:rFonts w:eastAsia="MS PGothic"/>
          <w:szCs w:val="24"/>
          <w:lang w:eastAsia="ja-JP"/>
        </w:rPr>
        <w:t xml:space="preserve"> (</w:t>
      </w:r>
      <w:proofErr w:type="gramStart"/>
      <w:r w:rsidRPr="006D66BF">
        <w:rPr>
          <w:rFonts w:eastAsia="MS PGothic"/>
          <w:szCs w:val="24"/>
          <w:lang w:eastAsia="ja-JP"/>
        </w:rPr>
        <w:t>un-published</w:t>
      </w:r>
      <w:proofErr w:type="gramEnd"/>
      <w:r w:rsidRPr="006D66BF">
        <w:rPr>
          <w:rFonts w:eastAsia="MS PGothic"/>
          <w:szCs w:val="24"/>
          <w:lang w:eastAsia="ja-JP"/>
        </w:rPr>
        <w:t xml:space="preserve"> data)</w:t>
      </w:r>
    </w:p>
    <w:p w14:paraId="30FFE72C" w14:textId="77777777" w:rsidR="002B4541" w:rsidRPr="006D66BF" w:rsidRDefault="002B4541" w:rsidP="00673F0B">
      <w:pPr>
        <w:pStyle w:val="BodyText"/>
        <w:spacing w:beforeLines="100" w:before="240" w:after="100" w:afterAutospacing="1"/>
        <w:rPr>
          <w:szCs w:val="24"/>
          <w:lang w:eastAsia="ja-JP"/>
        </w:rPr>
      </w:pPr>
      <w:proofErr w:type="gramStart"/>
      <w:r w:rsidRPr="006D66BF">
        <w:rPr>
          <w:szCs w:val="24"/>
          <w:lang w:eastAsia="ja-JP"/>
        </w:rPr>
        <w:t>USEPA (2008a)</w:t>
      </w:r>
      <w:r w:rsidRPr="006D66BF">
        <w:rPr>
          <w:rFonts w:hint="eastAsia"/>
          <w:szCs w:val="24"/>
          <w:lang w:eastAsia="ja-JP"/>
        </w:rPr>
        <w:t>,</w:t>
      </w:r>
      <w:r w:rsidRPr="006D66BF">
        <w:rPr>
          <w:szCs w:val="24"/>
          <w:lang w:eastAsia="ja-JP"/>
        </w:rPr>
        <w:t xml:space="preserve"> HENRYWIN programme</w:t>
      </w:r>
      <w:r w:rsidRPr="006D66BF">
        <w:rPr>
          <w:rFonts w:hint="eastAsia"/>
          <w:szCs w:val="24"/>
          <w:lang w:eastAsia="ja-JP"/>
        </w:rPr>
        <w:t>,</w:t>
      </w:r>
      <w:r w:rsidRPr="006D66BF">
        <w:rPr>
          <w:szCs w:val="24"/>
          <w:lang w:eastAsia="ja-JP"/>
        </w:rPr>
        <w:t xml:space="preserve"> version 3.20</w:t>
      </w:r>
      <w:r w:rsidRPr="006D66BF">
        <w:rPr>
          <w:rFonts w:hint="eastAsia"/>
          <w:szCs w:val="24"/>
          <w:lang w:eastAsia="ja-JP"/>
        </w:rPr>
        <w:t>,</w:t>
      </w:r>
      <w:r w:rsidRPr="006D66BF">
        <w:rPr>
          <w:szCs w:val="24"/>
          <w:lang w:eastAsia="ja-JP"/>
        </w:rPr>
        <w:t xml:space="preserve"> United States Environmental Protection Agency</w:t>
      </w:r>
      <w:r w:rsidRPr="006D66BF">
        <w:rPr>
          <w:rFonts w:hint="eastAsia"/>
          <w:szCs w:val="24"/>
          <w:lang w:eastAsia="ja-JP"/>
        </w:rPr>
        <w:t>,</w:t>
      </w:r>
      <w:r w:rsidRPr="006D66BF">
        <w:rPr>
          <w:szCs w:val="24"/>
          <w:lang w:eastAsia="ja-JP"/>
        </w:rPr>
        <w:t xml:space="preserve"> Washington D.C., USA.</w:t>
      </w:r>
      <w:proofErr w:type="gramEnd"/>
    </w:p>
    <w:p w14:paraId="30FFE72D" w14:textId="77777777" w:rsidR="002B4541" w:rsidRPr="006D66BF" w:rsidRDefault="002B4541" w:rsidP="00673F0B">
      <w:pPr>
        <w:pStyle w:val="BodyText"/>
        <w:spacing w:beforeLines="100" w:before="240" w:after="100" w:afterAutospacing="1"/>
        <w:rPr>
          <w:szCs w:val="24"/>
          <w:lang w:eastAsia="ja-JP"/>
        </w:rPr>
      </w:pPr>
      <w:proofErr w:type="gramStart"/>
      <w:r w:rsidRPr="006D66BF">
        <w:rPr>
          <w:szCs w:val="24"/>
          <w:lang w:eastAsia="ja-JP"/>
        </w:rPr>
        <w:t>USEPA (2008b)</w:t>
      </w:r>
      <w:r w:rsidRPr="006D66BF">
        <w:rPr>
          <w:rFonts w:hint="eastAsia"/>
          <w:szCs w:val="24"/>
          <w:lang w:eastAsia="ja-JP"/>
        </w:rPr>
        <w:t>,</w:t>
      </w:r>
      <w:r w:rsidRPr="006D66BF">
        <w:rPr>
          <w:szCs w:val="24"/>
          <w:lang w:eastAsia="ja-JP"/>
        </w:rPr>
        <w:t xml:space="preserve"> AOPWIN programme</w:t>
      </w:r>
      <w:r w:rsidRPr="006D66BF">
        <w:rPr>
          <w:rFonts w:hint="eastAsia"/>
          <w:szCs w:val="24"/>
          <w:lang w:eastAsia="ja-JP"/>
        </w:rPr>
        <w:t>,</w:t>
      </w:r>
      <w:r w:rsidRPr="006D66BF">
        <w:rPr>
          <w:szCs w:val="24"/>
          <w:lang w:eastAsia="ja-JP"/>
        </w:rPr>
        <w:t xml:space="preserve"> version 1.92a</w:t>
      </w:r>
      <w:r w:rsidRPr="006D66BF">
        <w:rPr>
          <w:rFonts w:hint="eastAsia"/>
          <w:szCs w:val="24"/>
          <w:lang w:eastAsia="ja-JP"/>
        </w:rPr>
        <w:t>,</w:t>
      </w:r>
      <w:r w:rsidRPr="006D66BF">
        <w:rPr>
          <w:szCs w:val="24"/>
          <w:lang w:eastAsia="ja-JP"/>
        </w:rPr>
        <w:t xml:space="preserve"> United States Environmental Protection Agency</w:t>
      </w:r>
      <w:r w:rsidRPr="006D66BF">
        <w:rPr>
          <w:rFonts w:hint="eastAsia"/>
          <w:szCs w:val="24"/>
          <w:lang w:eastAsia="ja-JP"/>
        </w:rPr>
        <w:t>,</w:t>
      </w:r>
      <w:r w:rsidRPr="006D66BF">
        <w:rPr>
          <w:szCs w:val="24"/>
          <w:lang w:eastAsia="ja-JP"/>
        </w:rPr>
        <w:t xml:space="preserve"> Washington D.C., USA.</w:t>
      </w:r>
      <w:proofErr w:type="gramEnd"/>
    </w:p>
    <w:p w14:paraId="30FFE72E" w14:textId="77777777" w:rsidR="002B4541" w:rsidRPr="006D66BF" w:rsidRDefault="002B4541" w:rsidP="00673F0B">
      <w:pPr>
        <w:pStyle w:val="BodyText"/>
        <w:spacing w:beforeLines="100" w:before="240" w:after="100" w:afterAutospacing="1"/>
        <w:rPr>
          <w:szCs w:val="24"/>
          <w:lang w:eastAsia="ja-JP"/>
        </w:rPr>
      </w:pPr>
      <w:proofErr w:type="gramStart"/>
      <w:r w:rsidRPr="006D66BF">
        <w:rPr>
          <w:szCs w:val="24"/>
          <w:lang w:eastAsia="ja-JP"/>
        </w:rPr>
        <w:t>USEPA (2008c)</w:t>
      </w:r>
      <w:r w:rsidRPr="006D66BF">
        <w:rPr>
          <w:rFonts w:hint="eastAsia"/>
          <w:szCs w:val="24"/>
          <w:lang w:eastAsia="ja-JP"/>
        </w:rPr>
        <w:t>,</w:t>
      </w:r>
      <w:r w:rsidRPr="006D66BF">
        <w:rPr>
          <w:szCs w:val="24"/>
          <w:lang w:eastAsia="ja-JP"/>
        </w:rPr>
        <w:t xml:space="preserve"> EPISUITE programme</w:t>
      </w:r>
      <w:r w:rsidRPr="006D66BF">
        <w:rPr>
          <w:rFonts w:hint="eastAsia"/>
          <w:szCs w:val="24"/>
          <w:lang w:eastAsia="ja-JP"/>
        </w:rPr>
        <w:t>,</w:t>
      </w:r>
      <w:r w:rsidRPr="006D66BF">
        <w:rPr>
          <w:szCs w:val="24"/>
          <w:lang w:eastAsia="ja-JP"/>
        </w:rPr>
        <w:t xml:space="preserve"> version 4.00</w:t>
      </w:r>
      <w:r w:rsidRPr="006D66BF">
        <w:rPr>
          <w:rFonts w:hint="eastAsia"/>
          <w:szCs w:val="24"/>
          <w:lang w:eastAsia="ja-JP"/>
        </w:rPr>
        <w:t>,</w:t>
      </w:r>
      <w:r w:rsidRPr="006D66BF">
        <w:rPr>
          <w:szCs w:val="24"/>
          <w:lang w:eastAsia="ja-JP"/>
        </w:rPr>
        <w:t xml:space="preserve"> United States Environmental Protection Agency</w:t>
      </w:r>
      <w:r w:rsidRPr="006D66BF">
        <w:rPr>
          <w:rFonts w:hint="eastAsia"/>
          <w:szCs w:val="24"/>
          <w:lang w:eastAsia="ja-JP"/>
        </w:rPr>
        <w:t>,</w:t>
      </w:r>
      <w:r w:rsidRPr="006D66BF">
        <w:rPr>
          <w:szCs w:val="24"/>
          <w:lang w:eastAsia="ja-JP"/>
        </w:rPr>
        <w:t xml:space="preserve"> Washington D.C., USA.</w:t>
      </w:r>
      <w:proofErr w:type="gramEnd"/>
    </w:p>
    <w:p w14:paraId="30FFE72F" w14:textId="77777777" w:rsidR="002B4541" w:rsidRPr="006D66BF" w:rsidRDefault="002B4541" w:rsidP="00673F0B">
      <w:pPr>
        <w:pStyle w:val="BodyText"/>
        <w:spacing w:beforeLines="100" w:before="240" w:after="100" w:afterAutospacing="1"/>
        <w:rPr>
          <w:szCs w:val="24"/>
          <w:lang w:eastAsia="ja-JP"/>
        </w:rPr>
      </w:pPr>
      <w:proofErr w:type="gramStart"/>
      <w:r w:rsidRPr="006D66BF">
        <w:rPr>
          <w:szCs w:val="24"/>
          <w:lang w:eastAsia="ja-JP"/>
        </w:rPr>
        <w:t>USEPA (2008d)</w:t>
      </w:r>
      <w:r w:rsidRPr="006D66BF">
        <w:rPr>
          <w:rFonts w:hint="eastAsia"/>
          <w:szCs w:val="24"/>
          <w:lang w:eastAsia="ja-JP"/>
        </w:rPr>
        <w:t>,</w:t>
      </w:r>
      <w:r w:rsidRPr="006D66BF">
        <w:rPr>
          <w:szCs w:val="24"/>
          <w:lang w:eastAsia="ja-JP"/>
        </w:rPr>
        <w:t xml:space="preserve"> BCFBAF programme</w:t>
      </w:r>
      <w:r w:rsidRPr="006D66BF">
        <w:rPr>
          <w:rFonts w:hint="eastAsia"/>
          <w:szCs w:val="24"/>
          <w:lang w:eastAsia="ja-JP"/>
        </w:rPr>
        <w:t>,</w:t>
      </w:r>
      <w:r w:rsidRPr="006D66BF">
        <w:rPr>
          <w:szCs w:val="24"/>
          <w:lang w:eastAsia="ja-JP"/>
        </w:rPr>
        <w:t xml:space="preserve"> version 3.00</w:t>
      </w:r>
      <w:r w:rsidRPr="006D66BF">
        <w:rPr>
          <w:rFonts w:hint="eastAsia"/>
          <w:szCs w:val="24"/>
          <w:lang w:eastAsia="ja-JP"/>
        </w:rPr>
        <w:t>,</w:t>
      </w:r>
      <w:r w:rsidRPr="006D66BF">
        <w:rPr>
          <w:szCs w:val="24"/>
          <w:lang w:eastAsia="ja-JP"/>
        </w:rPr>
        <w:t xml:space="preserve"> United States Environmental Protection Agency</w:t>
      </w:r>
      <w:r w:rsidRPr="006D66BF">
        <w:rPr>
          <w:rFonts w:hint="eastAsia"/>
          <w:szCs w:val="24"/>
          <w:lang w:eastAsia="ja-JP"/>
        </w:rPr>
        <w:t>,</w:t>
      </w:r>
      <w:r w:rsidRPr="006D66BF">
        <w:rPr>
          <w:szCs w:val="24"/>
          <w:lang w:eastAsia="ja-JP"/>
        </w:rPr>
        <w:t xml:space="preserve"> Washington D.C., USA.</w:t>
      </w:r>
      <w:proofErr w:type="gramEnd"/>
    </w:p>
    <w:p w14:paraId="30FFE730" w14:textId="77777777" w:rsidR="002B4541" w:rsidRPr="006D66BF" w:rsidRDefault="002B4541" w:rsidP="00673F0B">
      <w:pPr>
        <w:pStyle w:val="BodyText"/>
        <w:spacing w:beforeLines="100" w:before="240" w:after="100" w:afterAutospacing="1"/>
        <w:rPr>
          <w:szCs w:val="24"/>
          <w:lang w:eastAsia="ja-JP"/>
        </w:rPr>
      </w:pPr>
      <w:proofErr w:type="gramStart"/>
      <w:r w:rsidRPr="006D66BF">
        <w:rPr>
          <w:szCs w:val="24"/>
          <w:lang w:eastAsia="ja-JP"/>
        </w:rPr>
        <w:t>USEPA (2009a)</w:t>
      </w:r>
      <w:r w:rsidRPr="006D66BF">
        <w:rPr>
          <w:rFonts w:hint="eastAsia"/>
          <w:szCs w:val="24"/>
          <w:lang w:eastAsia="ja-JP"/>
        </w:rPr>
        <w:t>,</w:t>
      </w:r>
      <w:r w:rsidRPr="006D66BF">
        <w:rPr>
          <w:szCs w:val="24"/>
          <w:lang w:eastAsia="ja-JP"/>
        </w:rPr>
        <w:t xml:space="preserve"> KOCWIN programme</w:t>
      </w:r>
      <w:r w:rsidRPr="006D66BF">
        <w:rPr>
          <w:rFonts w:hint="eastAsia"/>
          <w:szCs w:val="24"/>
          <w:lang w:eastAsia="ja-JP"/>
        </w:rPr>
        <w:t>,</w:t>
      </w:r>
      <w:r w:rsidRPr="006D66BF">
        <w:rPr>
          <w:szCs w:val="24"/>
          <w:lang w:eastAsia="ja-JP"/>
        </w:rPr>
        <w:t xml:space="preserve"> version 2.00</w:t>
      </w:r>
      <w:r w:rsidRPr="006D66BF">
        <w:rPr>
          <w:rFonts w:hint="eastAsia"/>
          <w:szCs w:val="24"/>
          <w:lang w:eastAsia="ja-JP"/>
        </w:rPr>
        <w:t>,</w:t>
      </w:r>
      <w:r w:rsidRPr="006D66BF">
        <w:rPr>
          <w:szCs w:val="24"/>
          <w:lang w:eastAsia="ja-JP"/>
        </w:rPr>
        <w:t xml:space="preserve"> United States Environmental Protection Agency</w:t>
      </w:r>
      <w:r w:rsidRPr="006D66BF">
        <w:rPr>
          <w:rFonts w:hint="eastAsia"/>
          <w:szCs w:val="24"/>
          <w:lang w:eastAsia="ja-JP"/>
        </w:rPr>
        <w:t>,</w:t>
      </w:r>
      <w:r w:rsidRPr="006D66BF">
        <w:rPr>
          <w:szCs w:val="24"/>
          <w:lang w:eastAsia="ja-JP"/>
        </w:rPr>
        <w:t xml:space="preserve"> Washington D.C., USA.</w:t>
      </w:r>
      <w:proofErr w:type="gramEnd"/>
    </w:p>
    <w:p w14:paraId="30FFE731" w14:textId="77777777" w:rsidR="002B4541" w:rsidRPr="006D66BF" w:rsidRDefault="002B4541" w:rsidP="00673F0B">
      <w:pPr>
        <w:pStyle w:val="BodyText"/>
        <w:spacing w:beforeLines="100" w:before="240" w:after="100" w:afterAutospacing="1"/>
        <w:rPr>
          <w:szCs w:val="24"/>
          <w:lang w:eastAsia="ja-JP"/>
        </w:rPr>
      </w:pPr>
      <w:proofErr w:type="gramStart"/>
      <w:r w:rsidRPr="006D66BF">
        <w:rPr>
          <w:szCs w:val="24"/>
          <w:lang w:eastAsia="ja-JP"/>
        </w:rPr>
        <w:t>USEPA (2009</w:t>
      </w:r>
      <w:r w:rsidRPr="006D66BF">
        <w:rPr>
          <w:rFonts w:hint="eastAsia"/>
          <w:szCs w:val="24"/>
          <w:lang w:eastAsia="ja-JP"/>
        </w:rPr>
        <w:t>b</w:t>
      </w:r>
      <w:r w:rsidRPr="006D66BF">
        <w:rPr>
          <w:szCs w:val="24"/>
          <w:lang w:eastAsia="ja-JP"/>
        </w:rPr>
        <w:t>)</w:t>
      </w:r>
      <w:r w:rsidRPr="006D66BF">
        <w:rPr>
          <w:rFonts w:hint="eastAsia"/>
          <w:szCs w:val="24"/>
          <w:lang w:eastAsia="ja-JP"/>
        </w:rPr>
        <w:t>,</w:t>
      </w:r>
      <w:r w:rsidRPr="006D66BF">
        <w:rPr>
          <w:szCs w:val="24"/>
          <w:lang w:eastAsia="ja-JP"/>
        </w:rPr>
        <w:t xml:space="preserve"> </w:t>
      </w:r>
      <w:r w:rsidRPr="006D66BF">
        <w:rPr>
          <w:rFonts w:hint="eastAsia"/>
          <w:szCs w:val="24"/>
          <w:lang w:eastAsia="ja-JP"/>
        </w:rPr>
        <w:t>Interpretive Assistance Document for Assessment of Discrete Organic Chemicals Sustainable Futures Summary Assessment, updated September 2009,</w:t>
      </w:r>
      <w:r w:rsidRPr="006D66BF">
        <w:rPr>
          <w:szCs w:val="24"/>
          <w:lang w:eastAsia="ja-JP"/>
        </w:rPr>
        <w:t xml:space="preserve"> United States Environmental Protection Agency</w:t>
      </w:r>
      <w:r w:rsidRPr="006D66BF">
        <w:rPr>
          <w:rFonts w:hint="eastAsia"/>
          <w:szCs w:val="24"/>
          <w:lang w:eastAsia="ja-JP"/>
        </w:rPr>
        <w:t>,</w:t>
      </w:r>
      <w:r w:rsidRPr="006D66BF">
        <w:rPr>
          <w:szCs w:val="24"/>
          <w:lang w:eastAsia="ja-JP"/>
        </w:rPr>
        <w:t xml:space="preserve"> Washington D.C., USA.</w:t>
      </w:r>
      <w:proofErr w:type="gramEnd"/>
    </w:p>
    <w:p w14:paraId="30FFE732" w14:textId="77777777" w:rsidR="002B4541" w:rsidRPr="000A4616" w:rsidRDefault="002B4541" w:rsidP="00954B5C">
      <w:pPr>
        <w:pStyle w:val="BodyText"/>
        <w:spacing w:beforeLines="100" w:before="240" w:after="100" w:afterAutospacing="1"/>
        <w:rPr>
          <w:kern w:val="2"/>
          <w:szCs w:val="24"/>
          <w:lang w:val="en-US" w:eastAsia="ja-JP"/>
        </w:rPr>
      </w:pPr>
      <w:r w:rsidRPr="006D66BF">
        <w:rPr>
          <w:szCs w:val="24"/>
          <w:lang w:eastAsia="ja-JP"/>
        </w:rPr>
        <w:t>USEPA (201</w:t>
      </w:r>
      <w:r w:rsidRPr="006D66BF">
        <w:rPr>
          <w:rFonts w:hint="eastAsia"/>
          <w:szCs w:val="24"/>
          <w:lang w:eastAsia="ja-JP"/>
        </w:rPr>
        <w:t>1</w:t>
      </w:r>
      <w:r w:rsidRPr="006D66BF">
        <w:rPr>
          <w:szCs w:val="24"/>
          <w:lang w:eastAsia="ja-JP"/>
        </w:rPr>
        <w:t>)</w:t>
      </w:r>
      <w:r w:rsidRPr="006D66BF">
        <w:rPr>
          <w:rFonts w:hint="eastAsia"/>
          <w:szCs w:val="24"/>
          <w:lang w:eastAsia="ja-JP"/>
        </w:rPr>
        <w:t>,</w:t>
      </w:r>
      <w:r w:rsidRPr="006D66BF">
        <w:rPr>
          <w:szCs w:val="24"/>
          <w:lang w:eastAsia="ja-JP"/>
        </w:rPr>
        <w:t xml:space="preserve"> 2006</w:t>
      </w:r>
      <w:r w:rsidRPr="006D66BF">
        <w:rPr>
          <w:kern w:val="2"/>
          <w:szCs w:val="24"/>
          <w:lang w:eastAsia="ja-JP"/>
        </w:rPr>
        <w:t xml:space="preserve"> Inventory Update Reporting</w:t>
      </w:r>
      <w:r w:rsidRPr="006D66BF">
        <w:rPr>
          <w:rFonts w:eastAsia="MS PGothic"/>
          <w:szCs w:val="24"/>
          <w:lang w:val="en-US"/>
        </w:rPr>
        <w:t xml:space="preserve"> (IUR) information</w:t>
      </w:r>
      <w:proofErr w:type="gramStart"/>
      <w:r w:rsidRPr="006D66BF">
        <w:rPr>
          <w:rFonts w:eastAsia="MS PGothic" w:hint="eastAsia"/>
          <w:szCs w:val="24"/>
          <w:lang w:val="en-US" w:eastAsia="ja-JP"/>
        </w:rPr>
        <w:t xml:space="preserve">, </w:t>
      </w:r>
      <w:r w:rsidRPr="006D66BF">
        <w:rPr>
          <w:rFonts w:eastAsia="MS PGothic"/>
          <w:szCs w:val="24"/>
          <w:lang w:val="en-US"/>
        </w:rPr>
        <w:t xml:space="preserve"> </w:t>
      </w:r>
      <w:r w:rsidRPr="006D66BF">
        <w:rPr>
          <w:kern w:val="2"/>
          <w:szCs w:val="24"/>
          <w:lang w:eastAsia="ja-JP"/>
        </w:rPr>
        <w:t>http</w:t>
      </w:r>
      <w:proofErr w:type="gramEnd"/>
      <w:r w:rsidRPr="006D66BF">
        <w:rPr>
          <w:kern w:val="2"/>
          <w:szCs w:val="24"/>
          <w:lang w:eastAsia="ja-JP"/>
        </w:rPr>
        <w:t>://www.epa.gov/iur/tools/data/index.htm.</w:t>
      </w:r>
      <w:r w:rsidRPr="006D66BF">
        <w:rPr>
          <w:rFonts w:eastAsia="MS PGothic"/>
          <w:szCs w:val="24"/>
          <w:lang w:val="en-US"/>
        </w:rPr>
        <w:t xml:space="preserve"> </w:t>
      </w:r>
      <w:r w:rsidRPr="006D66BF">
        <w:rPr>
          <w:kern w:val="2"/>
          <w:szCs w:val="24"/>
          <w:lang w:eastAsia="ja-JP"/>
        </w:rPr>
        <w:t>Unites State</w:t>
      </w:r>
      <w:r w:rsidRPr="006D66BF">
        <w:rPr>
          <w:rFonts w:hint="eastAsia"/>
          <w:kern w:val="2"/>
          <w:szCs w:val="24"/>
          <w:lang w:eastAsia="ja-JP"/>
        </w:rPr>
        <w:t>s</w:t>
      </w:r>
      <w:r w:rsidRPr="006D66BF">
        <w:rPr>
          <w:kern w:val="2"/>
          <w:szCs w:val="24"/>
          <w:lang w:eastAsia="ja-JP"/>
        </w:rPr>
        <w:t xml:space="preserve"> Environmental Protection Agency</w:t>
      </w:r>
      <w:r w:rsidRPr="006D66BF">
        <w:rPr>
          <w:rFonts w:hint="eastAsia"/>
          <w:kern w:val="2"/>
          <w:szCs w:val="24"/>
          <w:lang w:eastAsia="ja-JP"/>
        </w:rPr>
        <w:t>,</w:t>
      </w:r>
      <w:r w:rsidRPr="006D66BF">
        <w:rPr>
          <w:kern w:val="2"/>
          <w:szCs w:val="24"/>
          <w:lang w:eastAsia="ja-JP"/>
        </w:rPr>
        <w:t xml:space="preserve"> </w:t>
      </w:r>
      <w:smartTag w:uri="urn:schemas-microsoft-com:office:smarttags" w:element="place">
        <w:smartTag w:uri="urn:schemas-microsoft-com:office:smarttags" w:element="City">
          <w:r w:rsidRPr="006D66BF">
            <w:rPr>
              <w:kern w:val="2"/>
              <w:szCs w:val="24"/>
              <w:lang w:eastAsia="ja-JP"/>
            </w:rPr>
            <w:t>Washington</w:t>
          </w:r>
        </w:smartTag>
        <w:r w:rsidRPr="006D66BF">
          <w:rPr>
            <w:kern w:val="2"/>
            <w:szCs w:val="24"/>
            <w:lang w:eastAsia="ja-JP"/>
          </w:rPr>
          <w:t xml:space="preserve"> </w:t>
        </w:r>
        <w:smartTag w:uri="urn:schemas-microsoft-com:office:smarttags" w:element="State">
          <w:r w:rsidRPr="006D66BF">
            <w:rPr>
              <w:kern w:val="2"/>
              <w:szCs w:val="24"/>
              <w:lang w:eastAsia="ja-JP"/>
            </w:rPr>
            <w:t>D.C.</w:t>
          </w:r>
        </w:smartTag>
        <w:r w:rsidRPr="006D66BF">
          <w:rPr>
            <w:kern w:val="2"/>
            <w:szCs w:val="24"/>
            <w:lang w:eastAsia="ja-JP"/>
          </w:rPr>
          <w:t xml:space="preserve">, </w:t>
        </w:r>
        <w:smartTag w:uri="urn:schemas-microsoft-com:office:smarttags" w:element="country-region">
          <w:r w:rsidRPr="006D66BF">
            <w:rPr>
              <w:kern w:val="2"/>
              <w:szCs w:val="24"/>
              <w:lang w:eastAsia="ja-JP"/>
            </w:rPr>
            <w:t>USA</w:t>
          </w:r>
        </w:smartTag>
      </w:smartTag>
      <w:r w:rsidRPr="006D66BF">
        <w:rPr>
          <w:kern w:val="2"/>
          <w:szCs w:val="24"/>
          <w:lang w:eastAsia="ja-JP"/>
        </w:rPr>
        <w:t>.</w:t>
      </w:r>
    </w:p>
    <w:sectPr w:rsidR="002B4541" w:rsidRPr="000A4616" w:rsidSect="009D0EC2">
      <w:footerReference w:type="even" r:id="rId17"/>
      <w:footerReference w:type="default" r:id="rId18"/>
      <w:pgSz w:w="11907" w:h="16840" w:code="9"/>
      <w:pgMar w:top="1418" w:right="1134" w:bottom="1134" w:left="1134" w:header="737" w:footer="73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FFE739" w14:textId="77777777" w:rsidR="00E56A35" w:rsidRDefault="00E56A35">
      <w:r>
        <w:separator/>
      </w:r>
    </w:p>
  </w:endnote>
  <w:endnote w:type="continuationSeparator" w:id="0">
    <w:p w14:paraId="30FFE73A" w14:textId="77777777" w:rsidR="00E56A35" w:rsidRDefault="00E56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AFF" w:usb1="C0007841" w:usb2="00000009" w:usb3="00000000" w:csb0="000001FF" w:csb1="00000000"/>
  </w:font>
  <w:font w:name="MS PGothic">
    <w:panose1 w:val="020B0600070205080204"/>
    <w:charset w:val="80"/>
    <w:family w:val="swiss"/>
    <w:pitch w:val="variable"/>
    <w:sig w:usb0="E00002FF" w:usb1="6AC7FDFB" w:usb2="00000012" w:usb3="00000000" w:csb0="0002009F" w:csb1="00000000"/>
  </w:font>
  <w:font w:name="MS-UIGothic">
    <w:altName w:val="Arial Unicode MS"/>
    <w:panose1 w:val="00000000000000000000"/>
    <w:charset w:val="80"/>
    <w:family w:val="auto"/>
    <w:notTrueType/>
    <w:pitch w:val="default"/>
    <w:sig w:usb0="00000001" w:usb1="08070000" w:usb2="00000010" w:usb3="00000000" w:csb0="00020000"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FFE73C" w14:textId="77777777" w:rsidR="00E56A35" w:rsidRDefault="00B94138">
    <w:pPr>
      <w:pStyle w:val="Footer"/>
      <w:framePr w:wrap="around" w:vAnchor="text" w:hAnchor="margin" w:xAlign="outside" w:y="1"/>
      <w:rPr>
        <w:rStyle w:val="PageNumber"/>
      </w:rPr>
    </w:pPr>
    <w:r>
      <w:rPr>
        <w:rStyle w:val="PageNumber"/>
      </w:rPr>
      <w:fldChar w:fldCharType="begin"/>
    </w:r>
    <w:r w:rsidR="00E56A35">
      <w:rPr>
        <w:rStyle w:val="PageNumber"/>
      </w:rPr>
      <w:instrText xml:space="preserve">PAGE  </w:instrText>
    </w:r>
    <w:r>
      <w:rPr>
        <w:rStyle w:val="PageNumber"/>
      </w:rPr>
      <w:fldChar w:fldCharType="end"/>
    </w:r>
  </w:p>
  <w:p w14:paraId="30FFE73D" w14:textId="77777777" w:rsidR="00E56A35" w:rsidRDefault="00E56A35">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FFE73E" w14:textId="77777777" w:rsidR="00E56A35" w:rsidRDefault="00B94138">
    <w:pPr>
      <w:pStyle w:val="Footer"/>
      <w:framePr w:wrap="around" w:vAnchor="text" w:hAnchor="margin" w:xAlign="outside" w:y="1"/>
      <w:rPr>
        <w:rStyle w:val="PageNumber"/>
      </w:rPr>
    </w:pPr>
    <w:r>
      <w:rPr>
        <w:rStyle w:val="PageNumber"/>
      </w:rPr>
      <w:fldChar w:fldCharType="begin"/>
    </w:r>
    <w:r w:rsidR="00E56A35">
      <w:rPr>
        <w:rStyle w:val="PageNumber"/>
      </w:rPr>
      <w:instrText xml:space="preserve">PAGE  </w:instrText>
    </w:r>
    <w:r>
      <w:rPr>
        <w:rStyle w:val="PageNumber"/>
      </w:rPr>
      <w:fldChar w:fldCharType="separate"/>
    </w:r>
    <w:r w:rsidR="00662844">
      <w:rPr>
        <w:rStyle w:val="PageNumber"/>
      </w:rPr>
      <w:t>5</w:t>
    </w:r>
    <w:r>
      <w:rPr>
        <w:rStyle w:val="PageNumber"/>
      </w:rPr>
      <w:fldChar w:fldCharType="end"/>
    </w:r>
  </w:p>
  <w:p w14:paraId="30FFE73F" w14:textId="77777777" w:rsidR="00E56A35" w:rsidRDefault="00E56A35">
    <w:pPr>
      <w:pStyle w:val="Footer"/>
      <w:ind w:right="3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FFE740" w14:textId="77777777" w:rsidR="00E56A35" w:rsidRDefault="00B94138" w:rsidP="00FC3A3D">
    <w:pPr>
      <w:pStyle w:val="Footer"/>
      <w:framePr w:wrap="around" w:vAnchor="text" w:hAnchor="margin" w:xAlign="center" w:y="1"/>
      <w:rPr>
        <w:rStyle w:val="PageNumber"/>
      </w:rPr>
    </w:pPr>
    <w:r>
      <w:rPr>
        <w:rStyle w:val="PageNumber"/>
      </w:rPr>
      <w:fldChar w:fldCharType="begin"/>
    </w:r>
    <w:r w:rsidR="00E56A35">
      <w:rPr>
        <w:rStyle w:val="PageNumber"/>
      </w:rPr>
      <w:instrText xml:space="preserve">PAGE  </w:instrText>
    </w:r>
    <w:r>
      <w:rPr>
        <w:rStyle w:val="PageNumber"/>
      </w:rPr>
      <w:fldChar w:fldCharType="end"/>
    </w:r>
  </w:p>
  <w:p w14:paraId="30FFE741" w14:textId="77777777" w:rsidR="00E56A35" w:rsidRDefault="00E56A3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FFE742" w14:textId="77777777" w:rsidR="00E56A35" w:rsidRDefault="00B94138" w:rsidP="00FC3A3D">
    <w:pPr>
      <w:pStyle w:val="Footer"/>
      <w:framePr w:wrap="around" w:vAnchor="text" w:hAnchor="margin" w:xAlign="center" w:y="1"/>
      <w:rPr>
        <w:rStyle w:val="PageNumber"/>
      </w:rPr>
    </w:pPr>
    <w:r>
      <w:rPr>
        <w:rStyle w:val="PageNumber"/>
      </w:rPr>
      <w:fldChar w:fldCharType="begin"/>
    </w:r>
    <w:r w:rsidR="00E56A35">
      <w:rPr>
        <w:rStyle w:val="PageNumber"/>
      </w:rPr>
      <w:instrText xml:space="preserve">PAGE  </w:instrText>
    </w:r>
    <w:r>
      <w:rPr>
        <w:rStyle w:val="PageNumber"/>
      </w:rPr>
      <w:fldChar w:fldCharType="separate"/>
    </w:r>
    <w:r w:rsidR="00662844">
      <w:rPr>
        <w:rStyle w:val="PageNumber"/>
      </w:rPr>
      <w:t>10</w:t>
    </w:r>
    <w:r>
      <w:rPr>
        <w:rStyle w:val="PageNumber"/>
      </w:rPr>
      <w:fldChar w:fldCharType="end"/>
    </w:r>
  </w:p>
  <w:p w14:paraId="30FFE743" w14:textId="77777777" w:rsidR="00E56A35" w:rsidRDefault="00E56A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FFE737" w14:textId="77777777" w:rsidR="00E56A35" w:rsidRDefault="00E56A35">
      <w:r>
        <w:separator/>
      </w:r>
    </w:p>
  </w:footnote>
  <w:footnote w:type="continuationSeparator" w:id="0">
    <w:p w14:paraId="30FFE738" w14:textId="77777777" w:rsidR="00E56A35" w:rsidRDefault="00E56A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FFE73B" w14:textId="77777777" w:rsidR="00E56A35" w:rsidRPr="00EC41D1" w:rsidRDefault="00BA2CF0" w:rsidP="00EC41D1">
    <w:pPr>
      <w:pStyle w:val="Header"/>
    </w:pPr>
    <w:r>
      <w:t>oecd sids</w:t>
    </w:r>
    <w:r>
      <w:tab/>
    </w:r>
    <w:r>
      <w:tab/>
    </w:r>
    <w:r w:rsidRPr="00FC3A3D">
      <w:rPr>
        <w:rFonts w:hint="eastAsia"/>
        <w:szCs w:val="24"/>
      </w:rPr>
      <w:t>1,1,1-Tris(hydroxymethyl)ethane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24DCC0"/>
    <w:lvl w:ilvl="0">
      <w:start w:val="1"/>
      <w:numFmt w:val="decimal"/>
      <w:pStyle w:val="ListNumber2"/>
      <w:lvlText w:val="%1."/>
      <w:lvlJc w:val="left"/>
      <w:pPr>
        <w:tabs>
          <w:tab w:val="num" w:pos="720"/>
        </w:tabs>
        <w:ind w:left="720" w:hanging="360"/>
      </w:pPr>
    </w:lvl>
  </w:abstractNum>
  <w:abstractNum w:abstractNumId="1">
    <w:nsid w:val="FFFFFF82"/>
    <w:multiLevelType w:val="singleLevel"/>
    <w:tmpl w:val="E7BCC07C"/>
    <w:lvl w:ilvl="0">
      <w:start w:val="1"/>
      <w:numFmt w:val="bullet"/>
      <w:pStyle w:val="ListBullet3"/>
      <w:lvlText w:val=""/>
      <w:lvlJc w:val="left"/>
      <w:pPr>
        <w:tabs>
          <w:tab w:val="num" w:pos="1145"/>
        </w:tabs>
        <w:ind w:left="1145" w:hanging="425"/>
      </w:pPr>
      <w:rPr>
        <w:rFonts w:ascii="Symbol" w:hAnsi="Symbol" w:hint="default"/>
        <w:sz w:val="16"/>
      </w:rPr>
    </w:lvl>
  </w:abstractNum>
  <w:abstractNum w:abstractNumId="2">
    <w:nsid w:val="FFFFFF83"/>
    <w:multiLevelType w:val="singleLevel"/>
    <w:tmpl w:val="3A067F5C"/>
    <w:lvl w:ilvl="0">
      <w:start w:val="1"/>
      <w:numFmt w:val="bullet"/>
      <w:pStyle w:val="ListBullet2"/>
      <w:lvlText w:val=""/>
      <w:lvlJc w:val="left"/>
      <w:pPr>
        <w:tabs>
          <w:tab w:val="num" w:pos="720"/>
        </w:tabs>
        <w:ind w:left="720" w:hanging="363"/>
      </w:pPr>
      <w:rPr>
        <w:rFonts w:ascii="Symbol" w:hAnsi="Symbol" w:hint="default"/>
        <w:sz w:val="16"/>
      </w:rPr>
    </w:lvl>
  </w:abstractNum>
  <w:abstractNum w:abstractNumId="3">
    <w:nsid w:val="0BC66AB7"/>
    <w:multiLevelType w:val="hybridMultilevel"/>
    <w:tmpl w:val="9948D532"/>
    <w:lvl w:ilvl="0" w:tplc="AEF69B60">
      <w:start w:val="1"/>
      <w:numFmt w:val="decimal"/>
      <w:pStyle w:val="ListNumb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3AD7ED3"/>
    <w:multiLevelType w:val="hybridMultilevel"/>
    <w:tmpl w:val="5E36D17A"/>
    <w:lvl w:ilvl="0" w:tplc="C84E037E">
      <w:start w:val="1"/>
      <w:numFmt w:val="bullet"/>
      <w:pStyle w:val="ListBullet"/>
      <w:lvlText w:val=""/>
      <w:lvlJc w:val="left"/>
      <w:pPr>
        <w:tabs>
          <w:tab w:val="num" w:pos="425"/>
        </w:tabs>
        <w:ind w:left="425" w:hanging="425"/>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9ED608F"/>
    <w:multiLevelType w:val="multilevel"/>
    <w:tmpl w:val="5002F0CA"/>
    <w:lvl w:ilvl="0">
      <w:start w:val="1"/>
      <w:numFmt w:val="decimal"/>
      <w:pStyle w:val="Heading1"/>
      <w:lvlText w:val="%1"/>
      <w:lvlJc w:val="left"/>
      <w:pPr>
        <w:tabs>
          <w:tab w:val="num" w:pos="1077"/>
        </w:tabs>
        <w:ind w:left="1077" w:hanging="1077"/>
      </w:pPr>
      <w:rPr>
        <w:rFonts w:ascii="Times New Roman" w:hAnsi="Times New Roman" w:hint="default"/>
        <w:b/>
        <w:i w:val="0"/>
        <w:sz w:val="28"/>
      </w:rPr>
    </w:lvl>
    <w:lvl w:ilvl="1">
      <w:start w:val="1"/>
      <w:numFmt w:val="decimal"/>
      <w:pStyle w:val="Heading2"/>
      <w:lvlText w:val="%1.%2"/>
      <w:lvlJc w:val="left"/>
      <w:pPr>
        <w:tabs>
          <w:tab w:val="num" w:pos="1077"/>
        </w:tabs>
        <w:ind w:left="1077" w:hanging="1077"/>
      </w:pPr>
      <w:rPr>
        <w:rFonts w:ascii="Times New Roman" w:hAnsi="Times New Roman" w:hint="default"/>
        <w:b/>
        <w:i w:val="0"/>
        <w:sz w:val="24"/>
      </w:rPr>
    </w:lvl>
    <w:lvl w:ilvl="2">
      <w:start w:val="1"/>
      <w:numFmt w:val="decimal"/>
      <w:pStyle w:val="Heading3"/>
      <w:lvlText w:val="%1.%2.%3"/>
      <w:lvlJc w:val="left"/>
      <w:pPr>
        <w:tabs>
          <w:tab w:val="num" w:pos="1077"/>
        </w:tabs>
        <w:ind w:left="1077" w:hanging="1077"/>
      </w:pPr>
      <w:rPr>
        <w:rFonts w:ascii="Times New Roman" w:hAnsi="Times New Roman" w:hint="default"/>
        <w:b/>
        <w:i w:val="0"/>
        <w:sz w:val="24"/>
      </w:rPr>
    </w:lvl>
    <w:lvl w:ilvl="3">
      <w:start w:val="1"/>
      <w:numFmt w:val="decimal"/>
      <w:pStyle w:val="Heading4"/>
      <w:lvlText w:val="%1.%2.%3.%4"/>
      <w:lvlJc w:val="left"/>
      <w:pPr>
        <w:tabs>
          <w:tab w:val="num" w:pos="1077"/>
        </w:tabs>
        <w:ind w:left="1077" w:hanging="1077"/>
      </w:pPr>
      <w:rPr>
        <w:rFonts w:ascii="Times New Roman" w:hAnsi="Times New Roman" w:hint="default"/>
        <w:b/>
        <w:i w:val="0"/>
        <w:sz w:val="24"/>
      </w:rPr>
    </w:lvl>
    <w:lvl w:ilvl="4">
      <w:start w:val="1"/>
      <w:numFmt w:val="decimal"/>
      <w:pStyle w:val="Heading5"/>
      <w:lvlText w:val="%1.%2.%3.%4.%5"/>
      <w:lvlJc w:val="left"/>
      <w:pPr>
        <w:tabs>
          <w:tab w:val="num" w:pos="1843"/>
        </w:tabs>
        <w:ind w:left="1843" w:hanging="1843"/>
      </w:pPr>
      <w:rPr>
        <w:rFonts w:ascii="Times New Roman" w:hAnsi="Times New Roman" w:hint="default"/>
        <w:b/>
        <w:i w:val="0"/>
        <w:sz w:val="24"/>
      </w:rPr>
    </w:lvl>
    <w:lvl w:ilvl="5">
      <w:start w:val="1"/>
      <w:numFmt w:val="none"/>
      <w:lvlText w:val="%1.%2.%3.%4.%5.%61."/>
      <w:lvlJc w:val="left"/>
      <w:pPr>
        <w:tabs>
          <w:tab w:val="num" w:pos="1843"/>
        </w:tabs>
        <w:ind w:left="1843" w:hanging="1843"/>
      </w:pPr>
      <w:rPr>
        <w:rFonts w:hint="default"/>
        <w:b/>
        <w:i w:val="0"/>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FD0194B"/>
    <w:multiLevelType w:val="hybridMultilevel"/>
    <w:tmpl w:val="DB607A1E"/>
    <w:lvl w:ilvl="0" w:tplc="BF26A3B4">
      <w:start w:val="1"/>
      <w:numFmt w:val="decimal"/>
      <w:lvlText w:val="%1)"/>
      <w:lvlJc w:val="left"/>
      <w:pPr>
        <w:tabs>
          <w:tab w:val="num" w:pos="779"/>
        </w:tabs>
        <w:ind w:left="779" w:hanging="360"/>
      </w:pPr>
      <w:rPr>
        <w:rFonts w:hint="default"/>
      </w:rPr>
    </w:lvl>
    <w:lvl w:ilvl="1" w:tplc="04090017" w:tentative="1">
      <w:start w:val="1"/>
      <w:numFmt w:val="aiueoFullWidth"/>
      <w:lvlText w:val="(%2)"/>
      <w:lvlJc w:val="left"/>
      <w:pPr>
        <w:tabs>
          <w:tab w:val="num" w:pos="1259"/>
        </w:tabs>
        <w:ind w:left="1259" w:hanging="420"/>
      </w:pPr>
    </w:lvl>
    <w:lvl w:ilvl="2" w:tplc="04090011" w:tentative="1">
      <w:start w:val="1"/>
      <w:numFmt w:val="decimalEnclosedCircle"/>
      <w:lvlText w:val="%3"/>
      <w:lvlJc w:val="left"/>
      <w:pPr>
        <w:tabs>
          <w:tab w:val="num" w:pos="1679"/>
        </w:tabs>
        <w:ind w:left="1679" w:hanging="420"/>
      </w:pPr>
    </w:lvl>
    <w:lvl w:ilvl="3" w:tplc="0409000F" w:tentative="1">
      <w:start w:val="1"/>
      <w:numFmt w:val="decimal"/>
      <w:lvlText w:val="%4."/>
      <w:lvlJc w:val="left"/>
      <w:pPr>
        <w:tabs>
          <w:tab w:val="num" w:pos="2099"/>
        </w:tabs>
        <w:ind w:left="2099" w:hanging="420"/>
      </w:pPr>
    </w:lvl>
    <w:lvl w:ilvl="4" w:tplc="04090017" w:tentative="1">
      <w:start w:val="1"/>
      <w:numFmt w:val="aiueoFullWidth"/>
      <w:lvlText w:val="(%5)"/>
      <w:lvlJc w:val="left"/>
      <w:pPr>
        <w:tabs>
          <w:tab w:val="num" w:pos="2519"/>
        </w:tabs>
        <w:ind w:left="2519" w:hanging="420"/>
      </w:pPr>
    </w:lvl>
    <w:lvl w:ilvl="5" w:tplc="04090011" w:tentative="1">
      <w:start w:val="1"/>
      <w:numFmt w:val="decimalEnclosedCircle"/>
      <w:lvlText w:val="%6"/>
      <w:lvlJc w:val="left"/>
      <w:pPr>
        <w:tabs>
          <w:tab w:val="num" w:pos="2939"/>
        </w:tabs>
        <w:ind w:left="2939" w:hanging="420"/>
      </w:pPr>
    </w:lvl>
    <w:lvl w:ilvl="6" w:tplc="0409000F" w:tentative="1">
      <w:start w:val="1"/>
      <w:numFmt w:val="decimal"/>
      <w:lvlText w:val="%7."/>
      <w:lvlJc w:val="left"/>
      <w:pPr>
        <w:tabs>
          <w:tab w:val="num" w:pos="3359"/>
        </w:tabs>
        <w:ind w:left="3359" w:hanging="420"/>
      </w:pPr>
    </w:lvl>
    <w:lvl w:ilvl="7" w:tplc="04090017" w:tentative="1">
      <w:start w:val="1"/>
      <w:numFmt w:val="aiueoFullWidth"/>
      <w:lvlText w:val="(%8)"/>
      <w:lvlJc w:val="left"/>
      <w:pPr>
        <w:tabs>
          <w:tab w:val="num" w:pos="3779"/>
        </w:tabs>
        <w:ind w:left="3779" w:hanging="420"/>
      </w:pPr>
    </w:lvl>
    <w:lvl w:ilvl="8" w:tplc="04090011" w:tentative="1">
      <w:start w:val="1"/>
      <w:numFmt w:val="decimalEnclosedCircle"/>
      <w:lvlText w:val="%9"/>
      <w:lvlJc w:val="left"/>
      <w:pPr>
        <w:tabs>
          <w:tab w:val="num" w:pos="4199"/>
        </w:tabs>
        <w:ind w:left="4199" w:hanging="420"/>
      </w:pPr>
    </w:lvl>
  </w:abstractNum>
  <w:abstractNum w:abstractNumId="7">
    <w:nsid w:val="2A88671F"/>
    <w:multiLevelType w:val="hybridMultilevel"/>
    <w:tmpl w:val="C75474EC"/>
    <w:lvl w:ilvl="0" w:tplc="C1DCBEB4">
      <w:start w:val="1"/>
      <w:numFmt w:val="lowerLetter"/>
      <w:pStyle w:val="Listalpha"/>
      <w:lvlText w:val="%1."/>
      <w:lvlJc w:val="left"/>
      <w:pPr>
        <w:tabs>
          <w:tab w:val="num" w:pos="360"/>
        </w:tabs>
        <w:ind w:left="360" w:hanging="360"/>
      </w:pPr>
      <w:rPr>
        <w:rFonts w:ascii="Times New Roman" w:hAnsi="Times New Roman"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F6F468E"/>
    <w:multiLevelType w:val="hybridMultilevel"/>
    <w:tmpl w:val="F830080C"/>
    <w:lvl w:ilvl="0" w:tplc="CB923936">
      <w:start w:val="1"/>
      <w:numFmt w:val="bullet"/>
      <w:lvlText w:val=""/>
      <w:lvlJc w:val="left"/>
      <w:pPr>
        <w:ind w:left="720" w:hanging="360"/>
      </w:pPr>
      <w:rPr>
        <w:rFonts w:ascii="Symbol" w:hAnsi="Symbol" w:hint="default"/>
        <w:sz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438B6A0F"/>
    <w:multiLevelType w:val="multilevel"/>
    <w:tmpl w:val="9BC8D632"/>
    <w:lvl w:ilvl="0">
      <w:start w:val="1"/>
      <w:numFmt w:val="decimal"/>
      <w:lvlText w:val="%1"/>
      <w:lvlJc w:val="left"/>
      <w:pPr>
        <w:tabs>
          <w:tab w:val="num" w:pos="1077"/>
        </w:tabs>
        <w:ind w:left="1077" w:hanging="1077"/>
      </w:pPr>
      <w:rPr>
        <w:rFonts w:ascii="Times New Roman" w:hAnsi="Times New Roman" w:hint="default"/>
        <w:b/>
        <w:i w:val="0"/>
        <w:sz w:val="28"/>
      </w:rPr>
    </w:lvl>
    <w:lvl w:ilvl="1">
      <w:start w:val="1"/>
      <w:numFmt w:val="decimal"/>
      <w:lvlText w:val="%1.%2"/>
      <w:lvlJc w:val="left"/>
      <w:pPr>
        <w:tabs>
          <w:tab w:val="num" w:pos="1077"/>
        </w:tabs>
        <w:ind w:left="1077" w:hanging="1077"/>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lvlText w:val="%1.%2.%3"/>
      <w:lvlJc w:val="left"/>
      <w:pPr>
        <w:tabs>
          <w:tab w:val="num" w:pos="1077"/>
        </w:tabs>
        <w:ind w:left="1077" w:hanging="1077"/>
      </w:pPr>
      <w:rPr>
        <w:rFonts w:ascii="Times New Roman" w:hAnsi="Times New Roman" w:hint="default"/>
        <w:b/>
        <w:i w:val="0"/>
        <w:sz w:val="24"/>
      </w:rPr>
    </w:lvl>
    <w:lvl w:ilvl="3">
      <w:start w:val="1"/>
      <w:numFmt w:val="decimal"/>
      <w:lvlText w:val="%1.%2.%3.%4"/>
      <w:lvlJc w:val="left"/>
      <w:pPr>
        <w:tabs>
          <w:tab w:val="num" w:pos="1077"/>
        </w:tabs>
        <w:ind w:left="1077" w:hanging="1077"/>
      </w:pPr>
      <w:rPr>
        <w:rFonts w:ascii="Times New Roman" w:hAnsi="Times New Roman" w:hint="default"/>
        <w:b/>
        <w:i w:val="0"/>
        <w:sz w:val="24"/>
      </w:rPr>
    </w:lvl>
    <w:lvl w:ilvl="4">
      <w:start w:val="1"/>
      <w:numFmt w:val="decimal"/>
      <w:lvlText w:val="%1.%2.%3.%4.%5"/>
      <w:lvlJc w:val="left"/>
      <w:pPr>
        <w:tabs>
          <w:tab w:val="num" w:pos="1843"/>
        </w:tabs>
        <w:ind w:left="1843" w:hanging="1843"/>
      </w:pPr>
      <w:rPr>
        <w:rFonts w:ascii="Times New Roman" w:hAnsi="Times New Roman" w:hint="default"/>
        <w:b/>
        <w:i w:val="0"/>
        <w:sz w:val="24"/>
      </w:rPr>
    </w:lvl>
    <w:lvl w:ilvl="5">
      <w:start w:val="1"/>
      <w:numFmt w:val="none"/>
      <w:lvlText w:val="%1.%2.%3.%4.%5.%61."/>
      <w:lvlJc w:val="left"/>
      <w:pPr>
        <w:tabs>
          <w:tab w:val="num" w:pos="1843"/>
        </w:tabs>
        <w:ind w:left="1843" w:hanging="1843"/>
      </w:pPr>
      <w:rPr>
        <w:rFonts w:hint="default"/>
        <w:b/>
        <w:i w:val="0"/>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4EA601EB"/>
    <w:multiLevelType w:val="multilevel"/>
    <w:tmpl w:val="3C9236FE"/>
    <w:lvl w:ilvl="0">
      <w:start w:val="1"/>
      <w:numFmt w:val="decimal"/>
      <w:lvlText w:val="%1"/>
      <w:lvlJc w:val="left"/>
      <w:pPr>
        <w:tabs>
          <w:tab w:val="num" w:pos="1077"/>
        </w:tabs>
        <w:ind w:left="1077" w:hanging="1077"/>
      </w:pPr>
      <w:rPr>
        <w:rFonts w:ascii="Times New Roman" w:hAnsi="Times New Roman" w:hint="default"/>
        <w:b/>
        <w:i w:val="0"/>
        <w:sz w:val="28"/>
      </w:rPr>
    </w:lvl>
    <w:lvl w:ilvl="1">
      <w:start w:val="1"/>
      <w:numFmt w:val="decimal"/>
      <w:lvlText w:val="%1.%2"/>
      <w:lvlJc w:val="left"/>
      <w:pPr>
        <w:tabs>
          <w:tab w:val="num" w:pos="1077"/>
        </w:tabs>
        <w:ind w:left="1077" w:hanging="1077"/>
      </w:pPr>
      <w:rPr>
        <w:rFonts w:ascii="Times New Roman" w:hAnsi="Times New Roman" w:hint="default"/>
        <w:b/>
        <w:i w:val="0"/>
        <w:sz w:val="24"/>
      </w:rPr>
    </w:lvl>
    <w:lvl w:ilvl="2">
      <w:start w:val="1"/>
      <w:numFmt w:val="decimal"/>
      <w:lvlText w:val="%1.%2.%3"/>
      <w:lvlJc w:val="left"/>
      <w:pPr>
        <w:tabs>
          <w:tab w:val="num" w:pos="1077"/>
        </w:tabs>
        <w:ind w:left="1077" w:hanging="1077"/>
      </w:pPr>
      <w:rPr>
        <w:rFonts w:ascii="Times New Roman" w:hAnsi="Times New Roman" w:hint="default"/>
        <w:b/>
        <w:i w:val="0"/>
        <w:sz w:val="24"/>
      </w:rPr>
    </w:lvl>
    <w:lvl w:ilvl="3">
      <w:start w:val="1"/>
      <w:numFmt w:val="decimal"/>
      <w:lvlText w:val="%1.%2.%3.%4"/>
      <w:lvlJc w:val="left"/>
      <w:pPr>
        <w:tabs>
          <w:tab w:val="num" w:pos="1077"/>
        </w:tabs>
        <w:ind w:left="1077" w:hanging="1077"/>
      </w:pPr>
      <w:rPr>
        <w:rFonts w:ascii="Times New Roman" w:hAnsi="Times New Roman" w:hint="default"/>
        <w:b/>
        <w:i w:val="0"/>
        <w:sz w:val="24"/>
      </w:rPr>
    </w:lvl>
    <w:lvl w:ilvl="4">
      <w:start w:val="1"/>
      <w:numFmt w:val="decimal"/>
      <w:lvlText w:val="%1.%2.%3.%4.%5"/>
      <w:lvlJc w:val="left"/>
      <w:pPr>
        <w:tabs>
          <w:tab w:val="num" w:pos="1843"/>
        </w:tabs>
        <w:ind w:left="1843" w:hanging="1843"/>
      </w:pPr>
      <w:rPr>
        <w:rFonts w:ascii="Times New Roman" w:hAnsi="Times New Roman" w:hint="default"/>
        <w:b/>
        <w:i w:val="0"/>
        <w:sz w:val="24"/>
      </w:rPr>
    </w:lvl>
    <w:lvl w:ilvl="5">
      <w:start w:val="1"/>
      <w:numFmt w:val="none"/>
      <w:lvlText w:val="%1.%2.%3.%4.%5.%61."/>
      <w:lvlJc w:val="left"/>
      <w:pPr>
        <w:tabs>
          <w:tab w:val="num" w:pos="1843"/>
        </w:tabs>
        <w:ind w:left="1843" w:hanging="1843"/>
      </w:pPr>
      <w:rPr>
        <w:rFonts w:hint="default"/>
        <w:b/>
        <w:i w:val="0"/>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65B34479"/>
    <w:multiLevelType w:val="hybridMultilevel"/>
    <w:tmpl w:val="309669D8"/>
    <w:lvl w:ilvl="0" w:tplc="04090011">
      <w:start w:val="1"/>
      <w:numFmt w:val="decimal"/>
      <w:lvlText w:val="%1)"/>
      <w:lvlJc w:val="left"/>
      <w:pPr>
        <w:ind w:left="1559" w:hanging="360"/>
      </w:pPr>
    </w:lvl>
    <w:lvl w:ilvl="1" w:tplc="04090019" w:tentative="1">
      <w:start w:val="1"/>
      <w:numFmt w:val="lowerLetter"/>
      <w:lvlText w:val="%2."/>
      <w:lvlJc w:val="left"/>
      <w:pPr>
        <w:ind w:left="2279" w:hanging="360"/>
      </w:pPr>
    </w:lvl>
    <w:lvl w:ilvl="2" w:tplc="0409001B" w:tentative="1">
      <w:start w:val="1"/>
      <w:numFmt w:val="lowerRoman"/>
      <w:lvlText w:val="%3."/>
      <w:lvlJc w:val="right"/>
      <w:pPr>
        <w:ind w:left="2999" w:hanging="180"/>
      </w:pPr>
    </w:lvl>
    <w:lvl w:ilvl="3" w:tplc="0409000F" w:tentative="1">
      <w:start w:val="1"/>
      <w:numFmt w:val="decimal"/>
      <w:lvlText w:val="%4."/>
      <w:lvlJc w:val="left"/>
      <w:pPr>
        <w:ind w:left="3719" w:hanging="360"/>
      </w:pPr>
    </w:lvl>
    <w:lvl w:ilvl="4" w:tplc="04090019" w:tentative="1">
      <w:start w:val="1"/>
      <w:numFmt w:val="lowerLetter"/>
      <w:lvlText w:val="%5."/>
      <w:lvlJc w:val="left"/>
      <w:pPr>
        <w:ind w:left="4439" w:hanging="360"/>
      </w:pPr>
    </w:lvl>
    <w:lvl w:ilvl="5" w:tplc="0409001B" w:tentative="1">
      <w:start w:val="1"/>
      <w:numFmt w:val="lowerRoman"/>
      <w:lvlText w:val="%6."/>
      <w:lvlJc w:val="right"/>
      <w:pPr>
        <w:ind w:left="5159" w:hanging="180"/>
      </w:pPr>
    </w:lvl>
    <w:lvl w:ilvl="6" w:tplc="0409000F" w:tentative="1">
      <w:start w:val="1"/>
      <w:numFmt w:val="decimal"/>
      <w:lvlText w:val="%7."/>
      <w:lvlJc w:val="left"/>
      <w:pPr>
        <w:ind w:left="5879" w:hanging="360"/>
      </w:pPr>
    </w:lvl>
    <w:lvl w:ilvl="7" w:tplc="04090019" w:tentative="1">
      <w:start w:val="1"/>
      <w:numFmt w:val="lowerLetter"/>
      <w:lvlText w:val="%8."/>
      <w:lvlJc w:val="left"/>
      <w:pPr>
        <w:ind w:left="6599" w:hanging="360"/>
      </w:pPr>
    </w:lvl>
    <w:lvl w:ilvl="8" w:tplc="0409001B" w:tentative="1">
      <w:start w:val="1"/>
      <w:numFmt w:val="lowerRoman"/>
      <w:lvlText w:val="%9."/>
      <w:lvlJc w:val="right"/>
      <w:pPr>
        <w:ind w:left="7319" w:hanging="180"/>
      </w:pPr>
    </w:lvl>
  </w:abstractNum>
  <w:num w:numId="1">
    <w:abstractNumId w:val="4"/>
  </w:num>
  <w:num w:numId="2">
    <w:abstractNumId w:val="7"/>
  </w:num>
  <w:num w:numId="3">
    <w:abstractNumId w:val="2"/>
  </w:num>
  <w:num w:numId="4">
    <w:abstractNumId w:val="1"/>
  </w:num>
  <w:num w:numId="5">
    <w:abstractNumId w:val="0"/>
  </w:num>
  <w:num w:numId="6">
    <w:abstractNumId w:val="3"/>
  </w:num>
  <w:num w:numId="7">
    <w:abstractNumId w:val="5"/>
  </w:num>
  <w:num w:numId="8">
    <w:abstractNumId w:val="10"/>
  </w:num>
  <w:num w:numId="9">
    <w:abstractNumId w:val="9"/>
  </w:num>
  <w:num w:numId="10">
    <w:abstractNumId w:val="6"/>
  </w:num>
  <w:num w:numId="11">
    <w:abstractNumId w:val="11"/>
  </w:num>
  <w:num w:numId="12">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11265">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A84B1F"/>
    <w:rsid w:val="000103F3"/>
    <w:rsid w:val="00066644"/>
    <w:rsid w:val="000A245C"/>
    <w:rsid w:val="000E14A3"/>
    <w:rsid w:val="000E70D8"/>
    <w:rsid w:val="0014220A"/>
    <w:rsid w:val="0022423B"/>
    <w:rsid w:val="00243765"/>
    <w:rsid w:val="0026745C"/>
    <w:rsid w:val="002741A6"/>
    <w:rsid w:val="00280EFA"/>
    <w:rsid w:val="002B14A4"/>
    <w:rsid w:val="002B4541"/>
    <w:rsid w:val="002B7A74"/>
    <w:rsid w:val="002F320F"/>
    <w:rsid w:val="00347945"/>
    <w:rsid w:val="0037771C"/>
    <w:rsid w:val="00383972"/>
    <w:rsid w:val="003D6936"/>
    <w:rsid w:val="0041591A"/>
    <w:rsid w:val="00433E9D"/>
    <w:rsid w:val="004F6495"/>
    <w:rsid w:val="005A6B93"/>
    <w:rsid w:val="005A6BC9"/>
    <w:rsid w:val="00643FEF"/>
    <w:rsid w:val="00662844"/>
    <w:rsid w:val="00673F0B"/>
    <w:rsid w:val="00682715"/>
    <w:rsid w:val="006A1FEC"/>
    <w:rsid w:val="006D66BF"/>
    <w:rsid w:val="0072441B"/>
    <w:rsid w:val="007955F3"/>
    <w:rsid w:val="007C4965"/>
    <w:rsid w:val="00802798"/>
    <w:rsid w:val="00851C56"/>
    <w:rsid w:val="008C1DF2"/>
    <w:rsid w:val="00941BE7"/>
    <w:rsid w:val="00954B5C"/>
    <w:rsid w:val="00971F86"/>
    <w:rsid w:val="009D0EC2"/>
    <w:rsid w:val="00A27169"/>
    <w:rsid w:val="00A410D2"/>
    <w:rsid w:val="00A56F65"/>
    <w:rsid w:val="00A84B1F"/>
    <w:rsid w:val="00B120DE"/>
    <w:rsid w:val="00B13216"/>
    <w:rsid w:val="00B16D8D"/>
    <w:rsid w:val="00B56016"/>
    <w:rsid w:val="00B632D3"/>
    <w:rsid w:val="00B94138"/>
    <w:rsid w:val="00BA2CF0"/>
    <w:rsid w:val="00BA584B"/>
    <w:rsid w:val="00BF3C2E"/>
    <w:rsid w:val="00C702F3"/>
    <w:rsid w:val="00C922C5"/>
    <w:rsid w:val="00CD4097"/>
    <w:rsid w:val="00D23AF3"/>
    <w:rsid w:val="00D3443F"/>
    <w:rsid w:val="00D35BD8"/>
    <w:rsid w:val="00D93728"/>
    <w:rsid w:val="00DC79C9"/>
    <w:rsid w:val="00E51773"/>
    <w:rsid w:val="00E56A35"/>
    <w:rsid w:val="00E70F17"/>
    <w:rsid w:val="00E71FBF"/>
    <w:rsid w:val="00EC41D1"/>
    <w:rsid w:val="00F6068E"/>
    <w:rsid w:val="00FA6AB1"/>
    <w:rsid w:val="00FC3A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11265">
      <v:textbox inset="5.85pt,.7pt,5.85pt,.7pt"/>
    </o:shapedefaults>
    <o:shapelayout v:ext="edit">
      <o:idmap v:ext="edit" data="1"/>
    </o:shapelayout>
  </w:shapeDefaults>
  <w:decimalSymbol w:val="."/>
  <w:listSeparator w:val=","/>
  <w14:docId w14:val="30FFE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0" w:unhideWhenUsed="0" w:qFormat="1"/>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9CC"/>
    <w:rPr>
      <w:sz w:val="24"/>
      <w:szCs w:val="24"/>
      <w:lang w:eastAsia="en-US"/>
    </w:rPr>
  </w:style>
  <w:style w:type="paragraph" w:styleId="Heading1">
    <w:name w:val="heading 1"/>
    <w:next w:val="BodyText"/>
    <w:qFormat/>
    <w:rsid w:val="007659CC"/>
    <w:pPr>
      <w:keepNext/>
      <w:numPr>
        <w:numId w:val="7"/>
      </w:numPr>
      <w:tabs>
        <w:tab w:val="left" w:pos="839"/>
      </w:tabs>
      <w:spacing w:before="360" w:after="200"/>
      <w:outlineLvl w:val="0"/>
    </w:pPr>
    <w:rPr>
      <w:rFonts w:ascii="Times New Roman Bold" w:hAnsi="Times New Roman Bold"/>
      <w:b/>
      <w:caps/>
      <w:sz w:val="24"/>
      <w:lang w:val="en-GB" w:eastAsia="en-US"/>
    </w:rPr>
  </w:style>
  <w:style w:type="paragraph" w:styleId="Heading2">
    <w:name w:val="heading 2"/>
    <w:basedOn w:val="Heading1"/>
    <w:next w:val="BodyText"/>
    <w:qFormat/>
    <w:rsid w:val="007659CC"/>
    <w:pPr>
      <w:numPr>
        <w:ilvl w:val="1"/>
      </w:numPr>
      <w:jc w:val="both"/>
      <w:outlineLvl w:val="1"/>
    </w:pPr>
    <w:rPr>
      <w:caps w:val="0"/>
    </w:rPr>
  </w:style>
  <w:style w:type="paragraph" w:styleId="Heading3">
    <w:name w:val="heading 3"/>
    <w:basedOn w:val="Heading2"/>
    <w:next w:val="BodyText"/>
    <w:qFormat/>
    <w:rsid w:val="007659CC"/>
    <w:pPr>
      <w:numPr>
        <w:ilvl w:val="2"/>
      </w:numPr>
      <w:jc w:val="left"/>
      <w:outlineLvl w:val="2"/>
    </w:pPr>
  </w:style>
  <w:style w:type="paragraph" w:styleId="Heading4">
    <w:name w:val="heading 4"/>
    <w:basedOn w:val="Heading3"/>
    <w:next w:val="BodyText"/>
    <w:qFormat/>
    <w:rsid w:val="007659CC"/>
    <w:pPr>
      <w:numPr>
        <w:ilvl w:val="3"/>
      </w:numPr>
      <w:outlineLvl w:val="3"/>
    </w:pPr>
  </w:style>
  <w:style w:type="paragraph" w:styleId="Heading5">
    <w:name w:val="heading 5"/>
    <w:basedOn w:val="Heading4"/>
    <w:next w:val="BodyText"/>
    <w:qFormat/>
    <w:rsid w:val="007659CC"/>
    <w:pPr>
      <w:numPr>
        <w:ilvl w:val="4"/>
      </w:numPr>
      <w:outlineLvl w:val="4"/>
    </w:pPr>
  </w:style>
  <w:style w:type="paragraph" w:styleId="Heading6">
    <w:name w:val="heading 6"/>
    <w:next w:val="BodyText"/>
    <w:qFormat/>
    <w:rsid w:val="007659CC"/>
    <w:pPr>
      <w:keepNext/>
      <w:spacing w:after="200"/>
      <w:outlineLvl w:val="5"/>
    </w:pPr>
    <w:rPr>
      <w:rFonts w:ascii="Times New Roman Bold" w:hAnsi="Times New Roman Bold"/>
      <w:b/>
      <w:caps/>
      <w:sz w:val="24"/>
      <w:lang w:val="en-GB" w:eastAsia="en-US"/>
    </w:rPr>
  </w:style>
  <w:style w:type="paragraph" w:styleId="Heading7">
    <w:name w:val="heading 7"/>
    <w:next w:val="BodyText"/>
    <w:qFormat/>
    <w:rsid w:val="007659CC"/>
    <w:pPr>
      <w:keepNext/>
      <w:spacing w:after="180"/>
      <w:outlineLvl w:val="6"/>
    </w:pPr>
    <w:rPr>
      <w:rFonts w:ascii="Times New Roman Bold" w:hAnsi="Times New Roman Bold"/>
      <w:b/>
      <w:sz w:val="24"/>
      <w:lang w:val="en-GB" w:eastAsia="en-US"/>
    </w:rPr>
  </w:style>
  <w:style w:type="paragraph" w:styleId="Heading8">
    <w:name w:val="heading 8"/>
    <w:next w:val="BodyText"/>
    <w:qFormat/>
    <w:rsid w:val="007659CC"/>
    <w:pPr>
      <w:keepNext/>
      <w:spacing w:after="180"/>
      <w:outlineLvl w:val="7"/>
    </w:pPr>
    <w:rPr>
      <w:sz w:val="24"/>
      <w:szCs w:val="24"/>
      <w:u w:val="single"/>
      <w:lang w:val="en-GB" w:eastAsia="en-US"/>
    </w:rPr>
  </w:style>
  <w:style w:type="paragraph" w:styleId="Heading9">
    <w:name w:val="heading 9"/>
    <w:next w:val="BodyText"/>
    <w:qFormat/>
    <w:rsid w:val="007659CC"/>
    <w:pPr>
      <w:keepNext/>
      <w:spacing w:after="180"/>
      <w:outlineLvl w:val="8"/>
    </w:pPr>
    <w:rPr>
      <w:i/>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 Char Char Char, Char,Char Char Char,Char, Char Char Char Cha Char Char, Char Char Char Cha Char Char Char C, Char Char Char Cha, Char Char Char Cha Char, Char Char Char Cha Char Char Char C Char Char Char,Body Text Char Char Ch"/>
    <w:link w:val="BodyTextChar1"/>
    <w:rsid w:val="007659CC"/>
    <w:pPr>
      <w:spacing w:after="180"/>
      <w:jc w:val="both"/>
    </w:pPr>
    <w:rPr>
      <w:sz w:val="24"/>
      <w:lang w:val="en-GB" w:eastAsia="en-US"/>
    </w:rPr>
  </w:style>
  <w:style w:type="paragraph" w:customStyle="1" w:styleId="Tabletitle">
    <w:name w:val="Table title"/>
    <w:basedOn w:val="Normal"/>
    <w:next w:val="Normal"/>
    <w:rsid w:val="007659CC"/>
  </w:style>
  <w:style w:type="paragraph" w:customStyle="1" w:styleId="Tabletext">
    <w:name w:val="Table text"/>
    <w:link w:val="TabletextChar"/>
    <w:rsid w:val="007659CC"/>
    <w:pPr>
      <w:keepNext/>
      <w:keepLines/>
      <w:spacing w:before="54" w:after="54"/>
    </w:pPr>
    <w:rPr>
      <w:snapToGrid w:val="0"/>
      <w:lang w:eastAsia="da-DK"/>
    </w:rPr>
  </w:style>
  <w:style w:type="paragraph" w:styleId="TOC6">
    <w:name w:val="toc 6"/>
    <w:basedOn w:val="TOC1"/>
    <w:next w:val="Normal"/>
    <w:uiPriority w:val="39"/>
    <w:rsid w:val="007659CC"/>
    <w:pPr>
      <w:tabs>
        <w:tab w:val="clear" w:pos="284"/>
      </w:tabs>
    </w:pPr>
  </w:style>
  <w:style w:type="paragraph" w:styleId="TOC1">
    <w:name w:val="toc 1"/>
    <w:next w:val="BodyText"/>
    <w:uiPriority w:val="39"/>
    <w:rsid w:val="007659CC"/>
    <w:pPr>
      <w:tabs>
        <w:tab w:val="left" w:pos="284"/>
        <w:tab w:val="left" w:leader="dot" w:pos="9214"/>
        <w:tab w:val="right" w:pos="9639"/>
      </w:tabs>
      <w:spacing w:before="240"/>
    </w:pPr>
    <w:rPr>
      <w:caps/>
      <w:noProof/>
      <w:lang w:eastAsia="en-US"/>
    </w:rPr>
  </w:style>
  <w:style w:type="paragraph" w:styleId="BlockText">
    <w:name w:val="Block Text"/>
    <w:basedOn w:val="BodyText"/>
    <w:next w:val="BodyText"/>
    <w:rsid w:val="007659CC"/>
    <w:pPr>
      <w:ind w:left="1440" w:right="1440"/>
    </w:pPr>
  </w:style>
  <w:style w:type="paragraph" w:styleId="BodyText2">
    <w:name w:val="Body Text 2"/>
    <w:basedOn w:val="BodyText"/>
    <w:rsid w:val="007659CC"/>
    <w:pPr>
      <w:suppressAutoHyphens/>
      <w:spacing w:after="0"/>
    </w:pPr>
  </w:style>
  <w:style w:type="paragraph" w:styleId="Caption">
    <w:name w:val="caption"/>
    <w:next w:val="BodyText"/>
    <w:qFormat/>
    <w:rsid w:val="007659CC"/>
    <w:pPr>
      <w:keepNext/>
      <w:spacing w:before="360" w:after="90"/>
      <w:ind w:left="839"/>
    </w:pPr>
    <w:rPr>
      <w:rFonts w:ascii="Times New Roman Bold" w:hAnsi="Times New Roman Bold"/>
      <w:b/>
      <w:bCs/>
      <w:sz w:val="24"/>
      <w:lang w:eastAsia="en-US"/>
    </w:rPr>
  </w:style>
  <w:style w:type="paragraph" w:styleId="Title">
    <w:name w:val="Title"/>
    <w:next w:val="BodyText"/>
    <w:qFormat/>
    <w:rsid w:val="007659CC"/>
    <w:pPr>
      <w:spacing w:before="3120" w:after="320"/>
      <w:jc w:val="center"/>
      <w:outlineLvl w:val="0"/>
    </w:pPr>
    <w:rPr>
      <w:rFonts w:ascii="Algerian" w:hAnsi="Algerian" w:cs="Arial"/>
      <w:b/>
      <w:bCs/>
      <w:i/>
      <w:kern w:val="28"/>
      <w:sz w:val="72"/>
      <w:szCs w:val="32"/>
      <w:lang w:val="en-GB" w:eastAsia="en-US"/>
    </w:rPr>
  </w:style>
  <w:style w:type="paragraph" w:styleId="Subtitle">
    <w:name w:val="Subtitle"/>
    <w:next w:val="BodyText"/>
    <w:qFormat/>
    <w:rsid w:val="007659CC"/>
    <w:pPr>
      <w:jc w:val="center"/>
      <w:outlineLvl w:val="1"/>
    </w:pPr>
    <w:rPr>
      <w:rFonts w:ascii="Algerian" w:hAnsi="Algerian"/>
      <w:b/>
      <w:i/>
      <w:sz w:val="40"/>
      <w:lang w:eastAsia="en-US"/>
    </w:rPr>
  </w:style>
  <w:style w:type="paragraph" w:styleId="BodyText3">
    <w:name w:val="Body Text 3"/>
    <w:basedOn w:val="BodyText"/>
    <w:rsid w:val="007659CC"/>
    <w:pPr>
      <w:spacing w:after="140"/>
    </w:pPr>
    <w:rPr>
      <w:sz w:val="20"/>
    </w:rPr>
  </w:style>
  <w:style w:type="paragraph" w:styleId="TOC2">
    <w:name w:val="toc 2"/>
    <w:basedOn w:val="TOC1"/>
    <w:next w:val="BodyText"/>
    <w:uiPriority w:val="39"/>
    <w:rsid w:val="007659CC"/>
    <w:pPr>
      <w:tabs>
        <w:tab w:val="clear" w:pos="284"/>
        <w:tab w:val="left" w:pos="709"/>
      </w:tabs>
      <w:ind w:left="709" w:hanging="425"/>
    </w:pPr>
    <w:rPr>
      <w:caps w:val="0"/>
    </w:rPr>
  </w:style>
  <w:style w:type="paragraph" w:styleId="TOC3">
    <w:name w:val="toc 3"/>
    <w:basedOn w:val="TOC2"/>
    <w:next w:val="BodyText"/>
    <w:uiPriority w:val="39"/>
    <w:rsid w:val="007659CC"/>
    <w:pPr>
      <w:tabs>
        <w:tab w:val="clear" w:pos="709"/>
        <w:tab w:val="left" w:pos="1276"/>
      </w:tabs>
      <w:spacing w:before="0"/>
      <w:ind w:left="1276" w:hanging="567"/>
    </w:pPr>
  </w:style>
  <w:style w:type="paragraph" w:styleId="TOC4">
    <w:name w:val="toc 4"/>
    <w:basedOn w:val="TOC3"/>
    <w:next w:val="BodyText"/>
    <w:semiHidden/>
    <w:rsid w:val="007659CC"/>
    <w:pPr>
      <w:tabs>
        <w:tab w:val="clear" w:pos="1276"/>
        <w:tab w:val="left" w:pos="1985"/>
      </w:tabs>
      <w:ind w:left="1985" w:hanging="709"/>
    </w:pPr>
  </w:style>
  <w:style w:type="paragraph" w:styleId="TOC5">
    <w:name w:val="toc 5"/>
    <w:basedOn w:val="TOC1"/>
    <w:next w:val="BodyText"/>
    <w:semiHidden/>
    <w:rsid w:val="007659CC"/>
    <w:pPr>
      <w:tabs>
        <w:tab w:val="clear" w:pos="284"/>
      </w:tabs>
      <w:spacing w:before="0"/>
    </w:pPr>
    <w:rPr>
      <w:bCs/>
      <w:caps w:val="0"/>
      <w:lang w:val="en-GB"/>
    </w:rPr>
  </w:style>
  <w:style w:type="paragraph" w:styleId="TableofFigures">
    <w:name w:val="table of figures"/>
    <w:next w:val="BodyText"/>
    <w:uiPriority w:val="99"/>
    <w:rsid w:val="007659CC"/>
    <w:pPr>
      <w:tabs>
        <w:tab w:val="left" w:leader="dot" w:pos="9214"/>
        <w:tab w:val="right" w:pos="9639"/>
      </w:tabs>
    </w:pPr>
    <w:rPr>
      <w:lang w:eastAsia="en-US"/>
    </w:rPr>
  </w:style>
  <w:style w:type="paragraph" w:customStyle="1" w:styleId="Tablenote">
    <w:name w:val="Table note"/>
    <w:next w:val="BodyText"/>
    <w:rsid w:val="007659CC"/>
    <w:pPr>
      <w:spacing w:before="90"/>
      <w:ind w:left="839"/>
      <w:jc w:val="both"/>
    </w:pPr>
    <w:rPr>
      <w:spacing w:val="-3"/>
      <w:lang w:eastAsia="en-US"/>
    </w:rPr>
  </w:style>
  <w:style w:type="paragraph" w:styleId="Header">
    <w:name w:val="header"/>
    <w:link w:val="HeaderChar"/>
    <w:uiPriority w:val="99"/>
    <w:rsid w:val="007659CC"/>
    <w:pPr>
      <w:widowControl w:val="0"/>
      <w:pBdr>
        <w:bottom w:val="single" w:sz="6" w:space="2" w:color="auto"/>
      </w:pBdr>
      <w:tabs>
        <w:tab w:val="center" w:pos="4820"/>
        <w:tab w:val="right" w:pos="9639"/>
      </w:tabs>
    </w:pPr>
    <w:rPr>
      <w:caps/>
      <w:noProof/>
      <w:sz w:val="24"/>
      <w:lang w:eastAsia="en-US"/>
    </w:rPr>
  </w:style>
  <w:style w:type="paragraph" w:styleId="ListBullet">
    <w:name w:val="List Bullet"/>
    <w:next w:val="BodyText"/>
    <w:rsid w:val="007659CC"/>
    <w:pPr>
      <w:numPr>
        <w:numId w:val="1"/>
      </w:numPr>
      <w:tabs>
        <w:tab w:val="clear" w:pos="425"/>
        <w:tab w:val="left" w:pos="357"/>
      </w:tabs>
      <w:ind w:left="357" w:hanging="357"/>
      <w:jc w:val="both"/>
    </w:pPr>
    <w:rPr>
      <w:sz w:val="24"/>
      <w:lang w:eastAsia="en-US"/>
    </w:rPr>
  </w:style>
  <w:style w:type="paragraph" w:styleId="ListNumber">
    <w:name w:val="List Number"/>
    <w:next w:val="BodyText"/>
    <w:rsid w:val="007659CC"/>
    <w:pPr>
      <w:numPr>
        <w:numId w:val="6"/>
      </w:numPr>
      <w:tabs>
        <w:tab w:val="clear" w:pos="720"/>
        <w:tab w:val="left" w:pos="357"/>
      </w:tabs>
      <w:ind w:left="357" w:hanging="357"/>
      <w:jc w:val="both"/>
    </w:pPr>
    <w:rPr>
      <w:sz w:val="24"/>
      <w:lang w:eastAsia="en-US"/>
    </w:rPr>
  </w:style>
  <w:style w:type="paragraph" w:styleId="Footer">
    <w:name w:val="footer"/>
    <w:basedOn w:val="Header"/>
    <w:rsid w:val="007659CC"/>
    <w:pPr>
      <w:pBdr>
        <w:top w:val="single" w:sz="6" w:space="2" w:color="auto"/>
        <w:bottom w:val="none" w:sz="0" w:space="0" w:color="auto"/>
      </w:pBdr>
    </w:pPr>
    <w:rPr>
      <w:caps w:val="0"/>
      <w:sz w:val="20"/>
    </w:rPr>
  </w:style>
  <w:style w:type="character" w:styleId="PageNumber">
    <w:name w:val="page number"/>
    <w:rsid w:val="007659CC"/>
    <w:rPr>
      <w:rFonts w:ascii="Times New Roman" w:hAnsi="Times New Roman"/>
      <w:sz w:val="20"/>
    </w:rPr>
  </w:style>
  <w:style w:type="paragraph" w:styleId="TOC7">
    <w:name w:val="toc 7"/>
    <w:basedOn w:val="Normal"/>
    <w:next w:val="Normal"/>
    <w:autoRedefine/>
    <w:semiHidden/>
    <w:rsid w:val="007659CC"/>
    <w:pPr>
      <w:ind w:left="1440"/>
    </w:pPr>
  </w:style>
  <w:style w:type="paragraph" w:styleId="BodyTextFirstIndent">
    <w:name w:val="Body Text First Indent"/>
    <w:basedOn w:val="BodyText"/>
    <w:rsid w:val="007659CC"/>
    <w:pPr>
      <w:ind w:firstLine="210"/>
    </w:pPr>
    <w:rPr>
      <w:szCs w:val="24"/>
    </w:rPr>
  </w:style>
  <w:style w:type="paragraph" w:styleId="BodyTextIndent">
    <w:name w:val="Body Text Indent"/>
    <w:next w:val="BodyText"/>
    <w:rsid w:val="007659CC"/>
    <w:pPr>
      <w:spacing w:after="180"/>
      <w:ind w:left="357"/>
      <w:jc w:val="both"/>
    </w:pPr>
    <w:rPr>
      <w:sz w:val="24"/>
      <w:lang w:val="en-GB" w:eastAsia="en-US"/>
    </w:rPr>
  </w:style>
  <w:style w:type="paragraph" w:styleId="BodyTextFirstIndent2">
    <w:name w:val="Body Text First Indent 2"/>
    <w:basedOn w:val="BodyTextIndent"/>
    <w:rsid w:val="007659CC"/>
    <w:pPr>
      <w:ind w:firstLine="210"/>
    </w:pPr>
  </w:style>
  <w:style w:type="paragraph" w:styleId="EndnoteText">
    <w:name w:val="endnote text"/>
    <w:semiHidden/>
    <w:rsid w:val="007659CC"/>
    <w:rPr>
      <w:lang w:val="en-GB" w:eastAsia="en-US"/>
    </w:rPr>
  </w:style>
  <w:style w:type="paragraph" w:styleId="FootnoteText">
    <w:name w:val="footnote text"/>
    <w:basedOn w:val="BodyText3"/>
    <w:semiHidden/>
    <w:rsid w:val="007659CC"/>
  </w:style>
  <w:style w:type="paragraph" w:styleId="Index2">
    <w:name w:val="index 2"/>
    <w:basedOn w:val="Normal"/>
    <w:next w:val="Normal"/>
    <w:autoRedefine/>
    <w:semiHidden/>
    <w:rsid w:val="007659CC"/>
    <w:pPr>
      <w:ind w:left="480" w:hanging="240"/>
    </w:pPr>
  </w:style>
  <w:style w:type="paragraph" w:customStyle="1" w:styleId="CoverTitle">
    <w:name w:val="Cover Title"/>
    <w:basedOn w:val="BodyText"/>
    <w:next w:val="BodyText"/>
    <w:rsid w:val="007659CC"/>
    <w:pPr>
      <w:spacing w:before="240" w:after="240"/>
      <w:jc w:val="center"/>
    </w:pPr>
    <w:rPr>
      <w:rFonts w:ascii="Times New Roman Bold" w:hAnsi="Times New Roman Bold"/>
      <w:b/>
      <w:sz w:val="32"/>
    </w:rPr>
  </w:style>
  <w:style w:type="paragraph" w:styleId="ListBullet2">
    <w:name w:val="List Bullet 2"/>
    <w:next w:val="BodyText"/>
    <w:rsid w:val="007659CC"/>
    <w:pPr>
      <w:numPr>
        <w:numId w:val="3"/>
      </w:numPr>
      <w:ind w:left="714" w:hanging="357"/>
    </w:pPr>
    <w:rPr>
      <w:sz w:val="24"/>
      <w:lang w:eastAsia="en-US"/>
    </w:rPr>
  </w:style>
  <w:style w:type="paragraph" w:styleId="ListBullet3">
    <w:name w:val="List Bullet 3"/>
    <w:next w:val="BodyText"/>
    <w:rsid w:val="007659CC"/>
    <w:pPr>
      <w:numPr>
        <w:numId w:val="4"/>
      </w:numPr>
      <w:tabs>
        <w:tab w:val="clear" w:pos="1145"/>
        <w:tab w:val="left" w:pos="1077"/>
      </w:tabs>
      <w:ind w:left="1077" w:hanging="357"/>
    </w:pPr>
    <w:rPr>
      <w:sz w:val="24"/>
      <w:lang w:eastAsia="en-US"/>
    </w:rPr>
  </w:style>
  <w:style w:type="paragraph" w:styleId="ListNumber2">
    <w:name w:val="List Number 2"/>
    <w:next w:val="BodyText"/>
    <w:rsid w:val="007659CC"/>
    <w:pPr>
      <w:numPr>
        <w:numId w:val="5"/>
      </w:numPr>
    </w:pPr>
    <w:rPr>
      <w:sz w:val="24"/>
      <w:lang w:val="en-GB" w:eastAsia="en-US"/>
    </w:rPr>
  </w:style>
  <w:style w:type="paragraph" w:customStyle="1" w:styleId="Listalpha">
    <w:name w:val="List alpha"/>
    <w:basedOn w:val="ListNumber"/>
    <w:next w:val="BodyText"/>
    <w:rsid w:val="007659CC"/>
    <w:pPr>
      <w:numPr>
        <w:numId w:val="2"/>
      </w:numPr>
    </w:pPr>
  </w:style>
  <w:style w:type="paragraph" w:styleId="TOC8">
    <w:name w:val="toc 8"/>
    <w:basedOn w:val="Normal"/>
    <w:next w:val="Normal"/>
    <w:autoRedefine/>
    <w:semiHidden/>
    <w:rsid w:val="007659CC"/>
    <w:pPr>
      <w:ind w:left="1680"/>
    </w:pPr>
  </w:style>
  <w:style w:type="paragraph" w:styleId="TOC9">
    <w:name w:val="toc 9"/>
    <w:basedOn w:val="Normal"/>
    <w:next w:val="Normal"/>
    <w:autoRedefine/>
    <w:semiHidden/>
    <w:rsid w:val="007659CC"/>
    <w:pPr>
      <w:ind w:left="1920"/>
    </w:pPr>
  </w:style>
  <w:style w:type="character" w:styleId="Hyperlink">
    <w:name w:val="Hyperlink"/>
    <w:uiPriority w:val="99"/>
    <w:rsid w:val="007659CC"/>
    <w:rPr>
      <w:rFonts w:ascii="Times New Roman" w:hAnsi="Times New Roman"/>
      <w:color w:val="0000FF"/>
      <w:sz w:val="20"/>
      <w:u w:val="single"/>
    </w:rPr>
  </w:style>
  <w:style w:type="character" w:styleId="FootnoteReference">
    <w:name w:val="footnote reference"/>
    <w:semiHidden/>
    <w:rsid w:val="007659CC"/>
    <w:rPr>
      <w:position w:val="6"/>
      <w:sz w:val="16"/>
    </w:rPr>
  </w:style>
  <w:style w:type="character" w:customStyle="1" w:styleId="BodyTextChar1">
    <w:name w:val="Body Text Char1"/>
    <w:aliases w:val="Body Text Char Char, Char Char Char Char, Char Char,Char Char Char Char,Char Char, Char Char Char Cha Char Char Char, Char Char Char Cha Char Char Char C Char, Char Char Char Cha Char1, Char Char Char Cha Char Char1"/>
    <w:link w:val="BodyText"/>
    <w:rsid w:val="008E225D"/>
    <w:rPr>
      <w:sz w:val="24"/>
      <w:lang w:val="en-GB" w:eastAsia="en-US" w:bidi="ar-SA"/>
    </w:rPr>
  </w:style>
  <w:style w:type="paragraph" w:styleId="Date">
    <w:name w:val="Date"/>
    <w:basedOn w:val="Normal"/>
    <w:next w:val="Normal"/>
    <w:rsid w:val="003E49D5"/>
    <w:pPr>
      <w:widowControl w:val="0"/>
      <w:jc w:val="both"/>
    </w:pPr>
    <w:rPr>
      <w:rFonts w:ascii="MS Mincho" w:hAnsi="MS Mincho"/>
      <w:kern w:val="2"/>
      <w:sz w:val="20"/>
      <w:lang w:eastAsia="ja-JP"/>
    </w:rPr>
  </w:style>
  <w:style w:type="table" w:styleId="TableGrid">
    <w:name w:val="Table Grid"/>
    <w:basedOn w:val="TableNormal"/>
    <w:rsid w:val="00F22E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DD4324"/>
    <w:rPr>
      <w:rFonts w:ascii="Arial" w:eastAsia="MS Gothic" w:hAnsi="Arial"/>
      <w:sz w:val="18"/>
      <w:szCs w:val="18"/>
    </w:rPr>
  </w:style>
  <w:style w:type="character" w:styleId="CommentReference">
    <w:name w:val="annotation reference"/>
    <w:uiPriority w:val="99"/>
    <w:semiHidden/>
    <w:unhideWhenUsed/>
    <w:rsid w:val="00DB35BC"/>
    <w:rPr>
      <w:sz w:val="18"/>
      <w:szCs w:val="18"/>
    </w:rPr>
  </w:style>
  <w:style w:type="paragraph" w:styleId="CommentText">
    <w:name w:val="annotation text"/>
    <w:basedOn w:val="Normal"/>
    <w:link w:val="CommentTextChar"/>
    <w:uiPriority w:val="99"/>
    <w:semiHidden/>
    <w:unhideWhenUsed/>
    <w:rsid w:val="00DB35BC"/>
  </w:style>
  <w:style w:type="character" w:customStyle="1" w:styleId="CommentTextChar">
    <w:name w:val="Comment Text Char"/>
    <w:link w:val="CommentText"/>
    <w:uiPriority w:val="99"/>
    <w:semiHidden/>
    <w:rsid w:val="00DB35BC"/>
    <w:rPr>
      <w:sz w:val="24"/>
      <w:szCs w:val="24"/>
      <w:lang w:eastAsia="en-US"/>
    </w:rPr>
  </w:style>
  <w:style w:type="paragraph" w:styleId="CommentSubject">
    <w:name w:val="annotation subject"/>
    <w:basedOn w:val="CommentText"/>
    <w:next w:val="CommentText"/>
    <w:link w:val="CommentSubjectChar"/>
    <w:uiPriority w:val="99"/>
    <w:semiHidden/>
    <w:unhideWhenUsed/>
    <w:rsid w:val="00DB35BC"/>
    <w:rPr>
      <w:b/>
      <w:bCs/>
    </w:rPr>
  </w:style>
  <w:style w:type="character" w:customStyle="1" w:styleId="CommentSubjectChar">
    <w:name w:val="Comment Subject Char"/>
    <w:link w:val="CommentSubject"/>
    <w:uiPriority w:val="99"/>
    <w:semiHidden/>
    <w:rsid w:val="00DB35BC"/>
    <w:rPr>
      <w:b/>
      <w:bCs/>
      <w:sz w:val="24"/>
      <w:szCs w:val="24"/>
      <w:lang w:eastAsia="en-US"/>
    </w:rPr>
  </w:style>
  <w:style w:type="character" w:customStyle="1" w:styleId="TabletextChar">
    <w:name w:val="Table text Char"/>
    <w:link w:val="Tabletext"/>
    <w:rsid w:val="00D23AF3"/>
    <w:rPr>
      <w:snapToGrid/>
      <w:lang w:eastAsia="da-DK"/>
    </w:rPr>
  </w:style>
  <w:style w:type="paragraph" w:customStyle="1" w:styleId="StyleTabletextBlue">
    <w:name w:val="Style Table text + Blue"/>
    <w:basedOn w:val="Tabletext"/>
    <w:link w:val="StyleTabletextBlueChar"/>
    <w:rsid w:val="00D23AF3"/>
    <w:rPr>
      <w:color w:val="0000FF"/>
    </w:rPr>
  </w:style>
  <w:style w:type="character" w:customStyle="1" w:styleId="StyleTabletextBlueChar">
    <w:name w:val="Style Table text + Blue Char"/>
    <w:link w:val="StyleTabletextBlue"/>
    <w:rsid w:val="00D23AF3"/>
    <w:rPr>
      <w:snapToGrid/>
      <w:color w:val="0000FF"/>
      <w:lang w:eastAsia="da-DK"/>
    </w:rPr>
  </w:style>
  <w:style w:type="character" w:customStyle="1" w:styleId="HeaderChar">
    <w:name w:val="Header Char"/>
    <w:basedOn w:val="DefaultParagraphFont"/>
    <w:link w:val="Header"/>
    <w:uiPriority w:val="99"/>
    <w:rsid w:val="00EC41D1"/>
    <w:rPr>
      <w:caps/>
      <w:noProof/>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841990">
      <w:bodyDiv w:val="1"/>
      <w:marLeft w:val="0"/>
      <w:marRight w:val="0"/>
      <w:marTop w:val="0"/>
      <w:marBottom w:val="0"/>
      <w:divBdr>
        <w:top w:val="none" w:sz="0" w:space="0" w:color="auto"/>
        <w:left w:val="none" w:sz="0" w:space="0" w:color="auto"/>
        <w:bottom w:val="none" w:sz="0" w:space="0" w:color="auto"/>
        <w:right w:val="none" w:sz="0" w:space="0" w:color="auto"/>
      </w:divBdr>
    </w:div>
    <w:div w:id="264192053">
      <w:bodyDiv w:val="1"/>
      <w:marLeft w:val="0"/>
      <w:marRight w:val="0"/>
      <w:marTop w:val="0"/>
      <w:marBottom w:val="0"/>
      <w:divBdr>
        <w:top w:val="none" w:sz="0" w:space="0" w:color="auto"/>
        <w:left w:val="none" w:sz="0" w:space="0" w:color="auto"/>
        <w:bottom w:val="none" w:sz="0" w:space="0" w:color="auto"/>
        <w:right w:val="none" w:sz="0" w:space="0" w:color="auto"/>
      </w:divBdr>
    </w:div>
    <w:div w:id="433860723">
      <w:bodyDiv w:val="1"/>
      <w:marLeft w:val="0"/>
      <w:marRight w:val="0"/>
      <w:marTop w:val="0"/>
      <w:marBottom w:val="0"/>
      <w:divBdr>
        <w:top w:val="none" w:sz="0" w:space="0" w:color="auto"/>
        <w:left w:val="none" w:sz="0" w:space="0" w:color="auto"/>
        <w:bottom w:val="none" w:sz="0" w:space="0" w:color="auto"/>
        <w:right w:val="none" w:sz="0" w:space="0" w:color="auto"/>
      </w:divBdr>
    </w:div>
    <w:div w:id="573203913">
      <w:bodyDiv w:val="1"/>
      <w:marLeft w:val="0"/>
      <w:marRight w:val="0"/>
      <w:marTop w:val="0"/>
      <w:marBottom w:val="0"/>
      <w:divBdr>
        <w:top w:val="none" w:sz="0" w:space="0" w:color="auto"/>
        <w:left w:val="none" w:sz="0" w:space="0" w:color="auto"/>
        <w:bottom w:val="none" w:sz="0" w:space="0" w:color="auto"/>
        <w:right w:val="none" w:sz="0" w:space="0" w:color="auto"/>
      </w:divBdr>
      <w:divsChild>
        <w:div w:id="389617299">
          <w:marLeft w:val="0"/>
          <w:marRight w:val="0"/>
          <w:marTop w:val="0"/>
          <w:marBottom w:val="0"/>
          <w:divBdr>
            <w:top w:val="none" w:sz="0" w:space="0" w:color="auto"/>
            <w:left w:val="none" w:sz="0" w:space="0" w:color="auto"/>
            <w:bottom w:val="none" w:sz="0" w:space="0" w:color="auto"/>
            <w:right w:val="none" w:sz="0" w:space="0" w:color="auto"/>
          </w:divBdr>
          <w:divsChild>
            <w:div w:id="509174084">
              <w:marLeft w:val="0"/>
              <w:marRight w:val="0"/>
              <w:marTop w:val="0"/>
              <w:marBottom w:val="0"/>
              <w:divBdr>
                <w:top w:val="none" w:sz="0" w:space="0" w:color="auto"/>
                <w:left w:val="none" w:sz="0" w:space="0" w:color="auto"/>
                <w:bottom w:val="none" w:sz="0" w:space="0" w:color="auto"/>
                <w:right w:val="none" w:sz="0" w:space="0" w:color="auto"/>
              </w:divBdr>
              <w:divsChild>
                <w:div w:id="1965773093">
                  <w:marLeft w:val="0"/>
                  <w:marRight w:val="0"/>
                  <w:marTop w:val="0"/>
                  <w:marBottom w:val="0"/>
                  <w:divBdr>
                    <w:top w:val="none" w:sz="0" w:space="0" w:color="auto"/>
                    <w:left w:val="none" w:sz="0" w:space="0" w:color="auto"/>
                    <w:bottom w:val="none" w:sz="0" w:space="0" w:color="auto"/>
                    <w:right w:val="none" w:sz="0" w:space="0" w:color="auto"/>
                  </w:divBdr>
                  <w:divsChild>
                    <w:div w:id="645282419">
                      <w:marLeft w:val="0"/>
                      <w:marRight w:val="0"/>
                      <w:marTop w:val="0"/>
                      <w:marBottom w:val="0"/>
                      <w:divBdr>
                        <w:top w:val="none" w:sz="0" w:space="0" w:color="auto"/>
                        <w:left w:val="none" w:sz="0" w:space="0" w:color="auto"/>
                        <w:bottom w:val="none" w:sz="0" w:space="0" w:color="auto"/>
                        <w:right w:val="none" w:sz="0" w:space="0" w:color="auto"/>
                      </w:divBdr>
                      <w:divsChild>
                        <w:div w:id="603534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4995341">
      <w:bodyDiv w:val="1"/>
      <w:marLeft w:val="0"/>
      <w:marRight w:val="0"/>
      <w:marTop w:val="0"/>
      <w:marBottom w:val="0"/>
      <w:divBdr>
        <w:top w:val="none" w:sz="0" w:space="0" w:color="auto"/>
        <w:left w:val="none" w:sz="0" w:space="0" w:color="auto"/>
        <w:bottom w:val="none" w:sz="0" w:space="0" w:color="auto"/>
        <w:right w:val="none" w:sz="0" w:space="0" w:color="auto"/>
      </w:divBdr>
    </w:div>
    <w:div w:id="899092050">
      <w:bodyDiv w:val="1"/>
      <w:marLeft w:val="0"/>
      <w:marRight w:val="0"/>
      <w:marTop w:val="0"/>
      <w:marBottom w:val="0"/>
      <w:divBdr>
        <w:top w:val="none" w:sz="0" w:space="0" w:color="auto"/>
        <w:left w:val="none" w:sz="0" w:space="0" w:color="auto"/>
        <w:bottom w:val="none" w:sz="0" w:space="0" w:color="auto"/>
        <w:right w:val="none" w:sz="0" w:space="0" w:color="auto"/>
      </w:divBdr>
    </w:div>
    <w:div w:id="1346790334">
      <w:bodyDiv w:val="1"/>
      <w:marLeft w:val="0"/>
      <w:marRight w:val="0"/>
      <w:marTop w:val="0"/>
      <w:marBottom w:val="0"/>
      <w:divBdr>
        <w:top w:val="none" w:sz="0" w:space="0" w:color="auto"/>
        <w:left w:val="none" w:sz="0" w:space="0" w:color="auto"/>
        <w:bottom w:val="none" w:sz="0" w:space="0" w:color="auto"/>
        <w:right w:val="none" w:sz="0" w:space="0" w:color="auto"/>
      </w:divBdr>
      <w:divsChild>
        <w:div w:id="357513042">
          <w:marLeft w:val="0"/>
          <w:marRight w:val="0"/>
          <w:marTop w:val="0"/>
          <w:marBottom w:val="0"/>
          <w:divBdr>
            <w:top w:val="none" w:sz="0" w:space="0" w:color="auto"/>
            <w:left w:val="none" w:sz="0" w:space="0" w:color="auto"/>
            <w:bottom w:val="none" w:sz="0" w:space="0" w:color="auto"/>
            <w:right w:val="none" w:sz="0" w:space="0" w:color="auto"/>
          </w:divBdr>
          <w:divsChild>
            <w:div w:id="711883952">
              <w:marLeft w:val="0"/>
              <w:marRight w:val="0"/>
              <w:marTop w:val="0"/>
              <w:marBottom w:val="0"/>
              <w:divBdr>
                <w:top w:val="none" w:sz="0" w:space="0" w:color="auto"/>
                <w:left w:val="none" w:sz="0" w:space="0" w:color="auto"/>
                <w:bottom w:val="none" w:sz="0" w:space="0" w:color="auto"/>
                <w:right w:val="none" w:sz="0" w:space="0" w:color="auto"/>
              </w:divBdr>
              <w:divsChild>
                <w:div w:id="1403987418">
                  <w:marLeft w:val="0"/>
                  <w:marRight w:val="0"/>
                  <w:marTop w:val="0"/>
                  <w:marBottom w:val="0"/>
                  <w:divBdr>
                    <w:top w:val="none" w:sz="0" w:space="0" w:color="auto"/>
                    <w:left w:val="none" w:sz="0" w:space="0" w:color="auto"/>
                    <w:bottom w:val="none" w:sz="0" w:space="0" w:color="auto"/>
                    <w:right w:val="none" w:sz="0" w:space="0" w:color="auto"/>
                  </w:divBdr>
                  <w:divsChild>
                    <w:div w:id="43218547">
                      <w:marLeft w:val="0"/>
                      <w:marRight w:val="0"/>
                      <w:marTop w:val="0"/>
                      <w:marBottom w:val="0"/>
                      <w:divBdr>
                        <w:top w:val="none" w:sz="0" w:space="0" w:color="auto"/>
                        <w:left w:val="none" w:sz="0" w:space="0" w:color="auto"/>
                        <w:bottom w:val="none" w:sz="0" w:space="0" w:color="auto"/>
                        <w:right w:val="none" w:sz="0" w:space="0" w:color="auto"/>
                      </w:divBdr>
                      <w:divsChild>
                        <w:div w:id="2098016439">
                          <w:marLeft w:val="0"/>
                          <w:marRight w:val="0"/>
                          <w:marTop w:val="0"/>
                          <w:marBottom w:val="0"/>
                          <w:divBdr>
                            <w:top w:val="none" w:sz="0" w:space="0" w:color="auto"/>
                            <w:left w:val="none" w:sz="0" w:space="0" w:color="auto"/>
                            <w:bottom w:val="none" w:sz="0" w:space="0" w:color="auto"/>
                            <w:right w:val="none" w:sz="0" w:space="0" w:color="auto"/>
                          </w:divBdr>
                          <w:divsChild>
                            <w:div w:id="1769081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9041298">
      <w:bodyDiv w:val="1"/>
      <w:marLeft w:val="0"/>
      <w:marRight w:val="0"/>
      <w:marTop w:val="0"/>
      <w:marBottom w:val="0"/>
      <w:divBdr>
        <w:top w:val="none" w:sz="0" w:space="0" w:color="auto"/>
        <w:left w:val="none" w:sz="0" w:space="0" w:color="auto"/>
        <w:bottom w:val="none" w:sz="0" w:space="0" w:color="auto"/>
        <w:right w:val="none" w:sz="0" w:space="0" w:color="auto"/>
      </w:divBdr>
      <w:divsChild>
        <w:div w:id="1275987270">
          <w:marLeft w:val="0"/>
          <w:marRight w:val="0"/>
          <w:marTop w:val="0"/>
          <w:marBottom w:val="0"/>
          <w:divBdr>
            <w:top w:val="none" w:sz="0" w:space="0" w:color="auto"/>
            <w:left w:val="none" w:sz="0" w:space="0" w:color="auto"/>
            <w:bottom w:val="none" w:sz="0" w:space="0" w:color="auto"/>
            <w:right w:val="none" w:sz="0" w:space="0" w:color="auto"/>
          </w:divBdr>
          <w:divsChild>
            <w:div w:id="889925707">
              <w:marLeft w:val="0"/>
              <w:marRight w:val="0"/>
              <w:marTop w:val="0"/>
              <w:marBottom w:val="0"/>
              <w:divBdr>
                <w:top w:val="none" w:sz="0" w:space="0" w:color="auto"/>
                <w:left w:val="none" w:sz="0" w:space="0" w:color="auto"/>
                <w:bottom w:val="none" w:sz="0" w:space="0" w:color="auto"/>
                <w:right w:val="none" w:sz="0" w:space="0" w:color="auto"/>
              </w:divBdr>
              <w:divsChild>
                <w:div w:id="1290431176">
                  <w:marLeft w:val="0"/>
                  <w:marRight w:val="0"/>
                  <w:marTop w:val="0"/>
                  <w:marBottom w:val="0"/>
                  <w:divBdr>
                    <w:top w:val="none" w:sz="0" w:space="0" w:color="auto"/>
                    <w:left w:val="none" w:sz="0" w:space="0" w:color="auto"/>
                    <w:bottom w:val="none" w:sz="0" w:space="0" w:color="auto"/>
                    <w:right w:val="none" w:sz="0" w:space="0" w:color="auto"/>
                  </w:divBdr>
                  <w:divsChild>
                    <w:div w:id="971322030">
                      <w:marLeft w:val="0"/>
                      <w:marRight w:val="0"/>
                      <w:marTop w:val="0"/>
                      <w:marBottom w:val="0"/>
                      <w:divBdr>
                        <w:top w:val="none" w:sz="0" w:space="0" w:color="auto"/>
                        <w:left w:val="none" w:sz="0" w:space="0" w:color="auto"/>
                        <w:bottom w:val="none" w:sz="0" w:space="0" w:color="auto"/>
                        <w:right w:val="none" w:sz="0" w:space="0" w:color="auto"/>
                      </w:divBdr>
                      <w:divsChild>
                        <w:div w:id="191038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3909719">
      <w:bodyDiv w:val="1"/>
      <w:marLeft w:val="0"/>
      <w:marRight w:val="0"/>
      <w:marTop w:val="0"/>
      <w:marBottom w:val="0"/>
      <w:divBdr>
        <w:top w:val="none" w:sz="0" w:space="0" w:color="auto"/>
        <w:left w:val="none" w:sz="0" w:space="0" w:color="auto"/>
        <w:bottom w:val="none" w:sz="0" w:space="0" w:color="auto"/>
        <w:right w:val="none" w:sz="0" w:space="0" w:color="auto"/>
      </w:divBdr>
      <w:divsChild>
        <w:div w:id="1851722992">
          <w:marLeft w:val="0"/>
          <w:marRight w:val="0"/>
          <w:marTop w:val="0"/>
          <w:marBottom w:val="0"/>
          <w:divBdr>
            <w:top w:val="none" w:sz="0" w:space="0" w:color="auto"/>
            <w:left w:val="none" w:sz="0" w:space="0" w:color="auto"/>
            <w:bottom w:val="none" w:sz="0" w:space="0" w:color="auto"/>
            <w:right w:val="none" w:sz="0" w:space="0" w:color="auto"/>
          </w:divBdr>
          <w:divsChild>
            <w:div w:id="960455333">
              <w:marLeft w:val="0"/>
              <w:marRight w:val="0"/>
              <w:marTop w:val="0"/>
              <w:marBottom w:val="0"/>
              <w:divBdr>
                <w:top w:val="none" w:sz="0" w:space="0" w:color="auto"/>
                <w:left w:val="none" w:sz="0" w:space="0" w:color="auto"/>
                <w:bottom w:val="none" w:sz="0" w:space="0" w:color="auto"/>
                <w:right w:val="none" w:sz="0" w:space="0" w:color="auto"/>
              </w:divBdr>
              <w:divsChild>
                <w:div w:id="2118017442">
                  <w:marLeft w:val="0"/>
                  <w:marRight w:val="0"/>
                  <w:marTop w:val="0"/>
                  <w:marBottom w:val="0"/>
                  <w:divBdr>
                    <w:top w:val="none" w:sz="0" w:space="0" w:color="auto"/>
                    <w:left w:val="none" w:sz="0" w:space="0" w:color="auto"/>
                    <w:bottom w:val="none" w:sz="0" w:space="0" w:color="auto"/>
                    <w:right w:val="none" w:sz="0" w:space="0" w:color="auto"/>
                  </w:divBdr>
                  <w:divsChild>
                    <w:div w:id="1905097259">
                      <w:marLeft w:val="0"/>
                      <w:marRight w:val="0"/>
                      <w:marTop w:val="0"/>
                      <w:marBottom w:val="0"/>
                      <w:divBdr>
                        <w:top w:val="none" w:sz="0" w:space="0" w:color="auto"/>
                        <w:left w:val="none" w:sz="0" w:space="0" w:color="auto"/>
                        <w:bottom w:val="none" w:sz="0" w:space="0" w:color="auto"/>
                        <w:right w:val="none" w:sz="0" w:space="0" w:color="auto"/>
                      </w:divBdr>
                      <w:divsChild>
                        <w:div w:id="1253783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dra4.nihs.go.jp/mhlw_data/home/paper/paper77-85-0a.html" TargetMode="Externa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dra4.nihs.go.jp/mhlw_data/home/paper/paper77-85-0f.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dra4.nihs.go.jp/mhlw_data/home/paper/paper77-85-0e.html" TargetMode="Externa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dra4.nihs.go.jp/mhlw_data/home/paper/paper77-85-0d.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912B09-EB26-4C1F-80A2-83CCBC469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E718BBDC.dotm</Template>
  <TotalTime>13</TotalTime>
  <Pages>20</Pages>
  <Words>6342</Words>
  <Characters>36156</Characters>
  <Application>Microsoft Office Word</Application>
  <DocSecurity>0</DocSecurity>
  <Lines>301</Lines>
  <Paragraphs>84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COVER PAGE</vt:lpstr>
      <vt:lpstr>COVER PAGE</vt:lpstr>
    </vt:vector>
  </TitlesOfParts>
  <Company>ECB JRC Ispra</Company>
  <LinksUpToDate>false</LinksUpToDate>
  <CharactersWithSpaces>42414</CharactersWithSpaces>
  <SharedDoc>false</SharedDoc>
  <HLinks>
    <vt:vector size="240" baseType="variant">
      <vt:variant>
        <vt:i4>5308454</vt:i4>
      </vt:variant>
      <vt:variant>
        <vt:i4>246</vt:i4>
      </vt:variant>
      <vt:variant>
        <vt:i4>0</vt:i4>
      </vt:variant>
      <vt:variant>
        <vt:i4>5</vt:i4>
      </vt:variant>
      <vt:variant>
        <vt:lpwstr>http://dra4.nihs.go.jp/mhlw_data/home/paper/paper77-85-0f.html</vt:lpwstr>
      </vt:variant>
      <vt:variant>
        <vt:lpwstr/>
      </vt:variant>
      <vt:variant>
        <vt:i4>5308453</vt:i4>
      </vt:variant>
      <vt:variant>
        <vt:i4>243</vt:i4>
      </vt:variant>
      <vt:variant>
        <vt:i4>0</vt:i4>
      </vt:variant>
      <vt:variant>
        <vt:i4>5</vt:i4>
      </vt:variant>
      <vt:variant>
        <vt:lpwstr>http://dra4.nihs.go.jp/mhlw_data/home/paper/paper77-85-0e.html</vt:lpwstr>
      </vt:variant>
      <vt:variant>
        <vt:lpwstr/>
      </vt:variant>
      <vt:variant>
        <vt:i4>5308452</vt:i4>
      </vt:variant>
      <vt:variant>
        <vt:i4>240</vt:i4>
      </vt:variant>
      <vt:variant>
        <vt:i4>0</vt:i4>
      </vt:variant>
      <vt:variant>
        <vt:i4>5</vt:i4>
      </vt:variant>
      <vt:variant>
        <vt:lpwstr>http://dra4.nihs.go.jp/mhlw_data/home/paper/paper77-85-0d.html</vt:lpwstr>
      </vt:variant>
      <vt:variant>
        <vt:lpwstr/>
      </vt:variant>
      <vt:variant>
        <vt:i4>5308449</vt:i4>
      </vt:variant>
      <vt:variant>
        <vt:i4>237</vt:i4>
      </vt:variant>
      <vt:variant>
        <vt:i4>0</vt:i4>
      </vt:variant>
      <vt:variant>
        <vt:i4>5</vt:i4>
      </vt:variant>
      <vt:variant>
        <vt:lpwstr>http://dra4.nihs.go.jp/mhlw_data/home/paper/paper77-85-0a.html</vt:lpwstr>
      </vt:variant>
      <vt:variant>
        <vt:lpwstr/>
      </vt:variant>
      <vt:variant>
        <vt:i4>1376316</vt:i4>
      </vt:variant>
      <vt:variant>
        <vt:i4>215</vt:i4>
      </vt:variant>
      <vt:variant>
        <vt:i4>0</vt:i4>
      </vt:variant>
      <vt:variant>
        <vt:i4>5</vt:i4>
      </vt:variant>
      <vt:variant>
        <vt:lpwstr/>
      </vt:variant>
      <vt:variant>
        <vt:lpwstr>_Toc297298011</vt:lpwstr>
      </vt:variant>
      <vt:variant>
        <vt:i4>1376316</vt:i4>
      </vt:variant>
      <vt:variant>
        <vt:i4>209</vt:i4>
      </vt:variant>
      <vt:variant>
        <vt:i4>0</vt:i4>
      </vt:variant>
      <vt:variant>
        <vt:i4>5</vt:i4>
      </vt:variant>
      <vt:variant>
        <vt:lpwstr/>
      </vt:variant>
      <vt:variant>
        <vt:lpwstr>_Toc297298010</vt:lpwstr>
      </vt:variant>
      <vt:variant>
        <vt:i4>1310780</vt:i4>
      </vt:variant>
      <vt:variant>
        <vt:i4>203</vt:i4>
      </vt:variant>
      <vt:variant>
        <vt:i4>0</vt:i4>
      </vt:variant>
      <vt:variant>
        <vt:i4>5</vt:i4>
      </vt:variant>
      <vt:variant>
        <vt:lpwstr/>
      </vt:variant>
      <vt:variant>
        <vt:lpwstr>_Toc297298009</vt:lpwstr>
      </vt:variant>
      <vt:variant>
        <vt:i4>1310780</vt:i4>
      </vt:variant>
      <vt:variant>
        <vt:i4>197</vt:i4>
      </vt:variant>
      <vt:variant>
        <vt:i4>0</vt:i4>
      </vt:variant>
      <vt:variant>
        <vt:i4>5</vt:i4>
      </vt:variant>
      <vt:variant>
        <vt:lpwstr/>
      </vt:variant>
      <vt:variant>
        <vt:lpwstr>_Toc297298008</vt:lpwstr>
      </vt:variant>
      <vt:variant>
        <vt:i4>1310780</vt:i4>
      </vt:variant>
      <vt:variant>
        <vt:i4>191</vt:i4>
      </vt:variant>
      <vt:variant>
        <vt:i4>0</vt:i4>
      </vt:variant>
      <vt:variant>
        <vt:i4>5</vt:i4>
      </vt:variant>
      <vt:variant>
        <vt:lpwstr/>
      </vt:variant>
      <vt:variant>
        <vt:lpwstr>_Toc297298007</vt:lpwstr>
      </vt:variant>
      <vt:variant>
        <vt:i4>1572923</vt:i4>
      </vt:variant>
      <vt:variant>
        <vt:i4>182</vt:i4>
      </vt:variant>
      <vt:variant>
        <vt:i4>0</vt:i4>
      </vt:variant>
      <vt:variant>
        <vt:i4>5</vt:i4>
      </vt:variant>
      <vt:variant>
        <vt:lpwstr/>
      </vt:variant>
      <vt:variant>
        <vt:lpwstr>_Toc297297733</vt:lpwstr>
      </vt:variant>
      <vt:variant>
        <vt:i4>1572923</vt:i4>
      </vt:variant>
      <vt:variant>
        <vt:i4>176</vt:i4>
      </vt:variant>
      <vt:variant>
        <vt:i4>0</vt:i4>
      </vt:variant>
      <vt:variant>
        <vt:i4>5</vt:i4>
      </vt:variant>
      <vt:variant>
        <vt:lpwstr/>
      </vt:variant>
      <vt:variant>
        <vt:lpwstr>_Toc297297732</vt:lpwstr>
      </vt:variant>
      <vt:variant>
        <vt:i4>1572923</vt:i4>
      </vt:variant>
      <vt:variant>
        <vt:i4>170</vt:i4>
      </vt:variant>
      <vt:variant>
        <vt:i4>0</vt:i4>
      </vt:variant>
      <vt:variant>
        <vt:i4>5</vt:i4>
      </vt:variant>
      <vt:variant>
        <vt:lpwstr/>
      </vt:variant>
      <vt:variant>
        <vt:lpwstr>_Toc297297731</vt:lpwstr>
      </vt:variant>
      <vt:variant>
        <vt:i4>1572923</vt:i4>
      </vt:variant>
      <vt:variant>
        <vt:i4>164</vt:i4>
      </vt:variant>
      <vt:variant>
        <vt:i4>0</vt:i4>
      </vt:variant>
      <vt:variant>
        <vt:i4>5</vt:i4>
      </vt:variant>
      <vt:variant>
        <vt:lpwstr/>
      </vt:variant>
      <vt:variant>
        <vt:lpwstr>_Toc297297730</vt:lpwstr>
      </vt:variant>
      <vt:variant>
        <vt:i4>1638459</vt:i4>
      </vt:variant>
      <vt:variant>
        <vt:i4>158</vt:i4>
      </vt:variant>
      <vt:variant>
        <vt:i4>0</vt:i4>
      </vt:variant>
      <vt:variant>
        <vt:i4>5</vt:i4>
      </vt:variant>
      <vt:variant>
        <vt:lpwstr/>
      </vt:variant>
      <vt:variant>
        <vt:lpwstr>_Toc297297729</vt:lpwstr>
      </vt:variant>
      <vt:variant>
        <vt:i4>1638459</vt:i4>
      </vt:variant>
      <vt:variant>
        <vt:i4>152</vt:i4>
      </vt:variant>
      <vt:variant>
        <vt:i4>0</vt:i4>
      </vt:variant>
      <vt:variant>
        <vt:i4>5</vt:i4>
      </vt:variant>
      <vt:variant>
        <vt:lpwstr/>
      </vt:variant>
      <vt:variant>
        <vt:lpwstr>_Toc297297728</vt:lpwstr>
      </vt:variant>
      <vt:variant>
        <vt:i4>1638459</vt:i4>
      </vt:variant>
      <vt:variant>
        <vt:i4>146</vt:i4>
      </vt:variant>
      <vt:variant>
        <vt:i4>0</vt:i4>
      </vt:variant>
      <vt:variant>
        <vt:i4>5</vt:i4>
      </vt:variant>
      <vt:variant>
        <vt:lpwstr/>
      </vt:variant>
      <vt:variant>
        <vt:lpwstr>_Toc297297727</vt:lpwstr>
      </vt:variant>
      <vt:variant>
        <vt:i4>1638459</vt:i4>
      </vt:variant>
      <vt:variant>
        <vt:i4>140</vt:i4>
      </vt:variant>
      <vt:variant>
        <vt:i4>0</vt:i4>
      </vt:variant>
      <vt:variant>
        <vt:i4>5</vt:i4>
      </vt:variant>
      <vt:variant>
        <vt:lpwstr/>
      </vt:variant>
      <vt:variant>
        <vt:lpwstr>_Toc297297726</vt:lpwstr>
      </vt:variant>
      <vt:variant>
        <vt:i4>1638459</vt:i4>
      </vt:variant>
      <vt:variant>
        <vt:i4>134</vt:i4>
      </vt:variant>
      <vt:variant>
        <vt:i4>0</vt:i4>
      </vt:variant>
      <vt:variant>
        <vt:i4>5</vt:i4>
      </vt:variant>
      <vt:variant>
        <vt:lpwstr/>
      </vt:variant>
      <vt:variant>
        <vt:lpwstr>_Toc297297725</vt:lpwstr>
      </vt:variant>
      <vt:variant>
        <vt:i4>1638459</vt:i4>
      </vt:variant>
      <vt:variant>
        <vt:i4>128</vt:i4>
      </vt:variant>
      <vt:variant>
        <vt:i4>0</vt:i4>
      </vt:variant>
      <vt:variant>
        <vt:i4>5</vt:i4>
      </vt:variant>
      <vt:variant>
        <vt:lpwstr/>
      </vt:variant>
      <vt:variant>
        <vt:lpwstr>_Toc297297724</vt:lpwstr>
      </vt:variant>
      <vt:variant>
        <vt:i4>1638459</vt:i4>
      </vt:variant>
      <vt:variant>
        <vt:i4>122</vt:i4>
      </vt:variant>
      <vt:variant>
        <vt:i4>0</vt:i4>
      </vt:variant>
      <vt:variant>
        <vt:i4>5</vt:i4>
      </vt:variant>
      <vt:variant>
        <vt:lpwstr/>
      </vt:variant>
      <vt:variant>
        <vt:lpwstr>_Toc297297723</vt:lpwstr>
      </vt:variant>
      <vt:variant>
        <vt:i4>1638459</vt:i4>
      </vt:variant>
      <vt:variant>
        <vt:i4>116</vt:i4>
      </vt:variant>
      <vt:variant>
        <vt:i4>0</vt:i4>
      </vt:variant>
      <vt:variant>
        <vt:i4>5</vt:i4>
      </vt:variant>
      <vt:variant>
        <vt:lpwstr/>
      </vt:variant>
      <vt:variant>
        <vt:lpwstr>_Toc297297722</vt:lpwstr>
      </vt:variant>
      <vt:variant>
        <vt:i4>1638459</vt:i4>
      </vt:variant>
      <vt:variant>
        <vt:i4>110</vt:i4>
      </vt:variant>
      <vt:variant>
        <vt:i4>0</vt:i4>
      </vt:variant>
      <vt:variant>
        <vt:i4>5</vt:i4>
      </vt:variant>
      <vt:variant>
        <vt:lpwstr/>
      </vt:variant>
      <vt:variant>
        <vt:lpwstr>_Toc297297721</vt:lpwstr>
      </vt:variant>
      <vt:variant>
        <vt:i4>1638459</vt:i4>
      </vt:variant>
      <vt:variant>
        <vt:i4>104</vt:i4>
      </vt:variant>
      <vt:variant>
        <vt:i4>0</vt:i4>
      </vt:variant>
      <vt:variant>
        <vt:i4>5</vt:i4>
      </vt:variant>
      <vt:variant>
        <vt:lpwstr/>
      </vt:variant>
      <vt:variant>
        <vt:lpwstr>_Toc297297720</vt:lpwstr>
      </vt:variant>
      <vt:variant>
        <vt:i4>1703995</vt:i4>
      </vt:variant>
      <vt:variant>
        <vt:i4>98</vt:i4>
      </vt:variant>
      <vt:variant>
        <vt:i4>0</vt:i4>
      </vt:variant>
      <vt:variant>
        <vt:i4>5</vt:i4>
      </vt:variant>
      <vt:variant>
        <vt:lpwstr/>
      </vt:variant>
      <vt:variant>
        <vt:lpwstr>_Toc297297719</vt:lpwstr>
      </vt:variant>
      <vt:variant>
        <vt:i4>1703995</vt:i4>
      </vt:variant>
      <vt:variant>
        <vt:i4>92</vt:i4>
      </vt:variant>
      <vt:variant>
        <vt:i4>0</vt:i4>
      </vt:variant>
      <vt:variant>
        <vt:i4>5</vt:i4>
      </vt:variant>
      <vt:variant>
        <vt:lpwstr/>
      </vt:variant>
      <vt:variant>
        <vt:lpwstr>_Toc297297718</vt:lpwstr>
      </vt:variant>
      <vt:variant>
        <vt:i4>1703995</vt:i4>
      </vt:variant>
      <vt:variant>
        <vt:i4>86</vt:i4>
      </vt:variant>
      <vt:variant>
        <vt:i4>0</vt:i4>
      </vt:variant>
      <vt:variant>
        <vt:i4>5</vt:i4>
      </vt:variant>
      <vt:variant>
        <vt:lpwstr/>
      </vt:variant>
      <vt:variant>
        <vt:lpwstr>_Toc297297717</vt:lpwstr>
      </vt:variant>
      <vt:variant>
        <vt:i4>1703995</vt:i4>
      </vt:variant>
      <vt:variant>
        <vt:i4>80</vt:i4>
      </vt:variant>
      <vt:variant>
        <vt:i4>0</vt:i4>
      </vt:variant>
      <vt:variant>
        <vt:i4>5</vt:i4>
      </vt:variant>
      <vt:variant>
        <vt:lpwstr/>
      </vt:variant>
      <vt:variant>
        <vt:lpwstr>_Toc297297716</vt:lpwstr>
      </vt:variant>
      <vt:variant>
        <vt:i4>1703995</vt:i4>
      </vt:variant>
      <vt:variant>
        <vt:i4>74</vt:i4>
      </vt:variant>
      <vt:variant>
        <vt:i4>0</vt:i4>
      </vt:variant>
      <vt:variant>
        <vt:i4>5</vt:i4>
      </vt:variant>
      <vt:variant>
        <vt:lpwstr/>
      </vt:variant>
      <vt:variant>
        <vt:lpwstr>_Toc297297715</vt:lpwstr>
      </vt:variant>
      <vt:variant>
        <vt:i4>1703995</vt:i4>
      </vt:variant>
      <vt:variant>
        <vt:i4>68</vt:i4>
      </vt:variant>
      <vt:variant>
        <vt:i4>0</vt:i4>
      </vt:variant>
      <vt:variant>
        <vt:i4>5</vt:i4>
      </vt:variant>
      <vt:variant>
        <vt:lpwstr/>
      </vt:variant>
      <vt:variant>
        <vt:lpwstr>_Toc297297714</vt:lpwstr>
      </vt:variant>
      <vt:variant>
        <vt:i4>1703995</vt:i4>
      </vt:variant>
      <vt:variant>
        <vt:i4>62</vt:i4>
      </vt:variant>
      <vt:variant>
        <vt:i4>0</vt:i4>
      </vt:variant>
      <vt:variant>
        <vt:i4>5</vt:i4>
      </vt:variant>
      <vt:variant>
        <vt:lpwstr/>
      </vt:variant>
      <vt:variant>
        <vt:lpwstr>_Toc297297713</vt:lpwstr>
      </vt:variant>
      <vt:variant>
        <vt:i4>1703995</vt:i4>
      </vt:variant>
      <vt:variant>
        <vt:i4>56</vt:i4>
      </vt:variant>
      <vt:variant>
        <vt:i4>0</vt:i4>
      </vt:variant>
      <vt:variant>
        <vt:i4>5</vt:i4>
      </vt:variant>
      <vt:variant>
        <vt:lpwstr/>
      </vt:variant>
      <vt:variant>
        <vt:lpwstr>_Toc297297712</vt:lpwstr>
      </vt:variant>
      <vt:variant>
        <vt:i4>1703995</vt:i4>
      </vt:variant>
      <vt:variant>
        <vt:i4>50</vt:i4>
      </vt:variant>
      <vt:variant>
        <vt:i4>0</vt:i4>
      </vt:variant>
      <vt:variant>
        <vt:i4>5</vt:i4>
      </vt:variant>
      <vt:variant>
        <vt:lpwstr/>
      </vt:variant>
      <vt:variant>
        <vt:lpwstr>_Toc297297711</vt:lpwstr>
      </vt:variant>
      <vt:variant>
        <vt:i4>1703995</vt:i4>
      </vt:variant>
      <vt:variant>
        <vt:i4>44</vt:i4>
      </vt:variant>
      <vt:variant>
        <vt:i4>0</vt:i4>
      </vt:variant>
      <vt:variant>
        <vt:i4>5</vt:i4>
      </vt:variant>
      <vt:variant>
        <vt:lpwstr/>
      </vt:variant>
      <vt:variant>
        <vt:lpwstr>_Toc297297710</vt:lpwstr>
      </vt:variant>
      <vt:variant>
        <vt:i4>1769531</vt:i4>
      </vt:variant>
      <vt:variant>
        <vt:i4>38</vt:i4>
      </vt:variant>
      <vt:variant>
        <vt:i4>0</vt:i4>
      </vt:variant>
      <vt:variant>
        <vt:i4>5</vt:i4>
      </vt:variant>
      <vt:variant>
        <vt:lpwstr/>
      </vt:variant>
      <vt:variant>
        <vt:lpwstr>_Toc297297709</vt:lpwstr>
      </vt:variant>
      <vt:variant>
        <vt:i4>1769531</vt:i4>
      </vt:variant>
      <vt:variant>
        <vt:i4>32</vt:i4>
      </vt:variant>
      <vt:variant>
        <vt:i4>0</vt:i4>
      </vt:variant>
      <vt:variant>
        <vt:i4>5</vt:i4>
      </vt:variant>
      <vt:variant>
        <vt:lpwstr/>
      </vt:variant>
      <vt:variant>
        <vt:lpwstr>_Toc297297708</vt:lpwstr>
      </vt:variant>
      <vt:variant>
        <vt:i4>1769531</vt:i4>
      </vt:variant>
      <vt:variant>
        <vt:i4>26</vt:i4>
      </vt:variant>
      <vt:variant>
        <vt:i4>0</vt:i4>
      </vt:variant>
      <vt:variant>
        <vt:i4>5</vt:i4>
      </vt:variant>
      <vt:variant>
        <vt:lpwstr/>
      </vt:variant>
      <vt:variant>
        <vt:lpwstr>_Toc297297707</vt:lpwstr>
      </vt:variant>
      <vt:variant>
        <vt:i4>1769531</vt:i4>
      </vt:variant>
      <vt:variant>
        <vt:i4>20</vt:i4>
      </vt:variant>
      <vt:variant>
        <vt:i4>0</vt:i4>
      </vt:variant>
      <vt:variant>
        <vt:i4>5</vt:i4>
      </vt:variant>
      <vt:variant>
        <vt:lpwstr/>
      </vt:variant>
      <vt:variant>
        <vt:lpwstr>_Toc297297706</vt:lpwstr>
      </vt:variant>
      <vt:variant>
        <vt:i4>1769531</vt:i4>
      </vt:variant>
      <vt:variant>
        <vt:i4>14</vt:i4>
      </vt:variant>
      <vt:variant>
        <vt:i4>0</vt:i4>
      </vt:variant>
      <vt:variant>
        <vt:i4>5</vt:i4>
      </vt:variant>
      <vt:variant>
        <vt:lpwstr/>
      </vt:variant>
      <vt:variant>
        <vt:lpwstr>_Toc297297705</vt:lpwstr>
      </vt:variant>
      <vt:variant>
        <vt:i4>1769531</vt:i4>
      </vt:variant>
      <vt:variant>
        <vt:i4>8</vt:i4>
      </vt:variant>
      <vt:variant>
        <vt:i4>0</vt:i4>
      </vt:variant>
      <vt:variant>
        <vt:i4>5</vt:i4>
      </vt:variant>
      <vt:variant>
        <vt:lpwstr/>
      </vt:variant>
      <vt:variant>
        <vt:lpwstr>_Toc297297704</vt:lpwstr>
      </vt:variant>
      <vt:variant>
        <vt:i4>1769531</vt:i4>
      </vt:variant>
      <vt:variant>
        <vt:i4>2</vt:i4>
      </vt:variant>
      <vt:variant>
        <vt:i4>0</vt:i4>
      </vt:variant>
      <vt:variant>
        <vt:i4>5</vt:i4>
      </vt:variant>
      <vt:variant>
        <vt:lpwstr/>
      </vt:variant>
      <vt:variant>
        <vt:lpwstr>_Toc297297703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COVER PAGE</dc:title>
  <dc:subject/>
  <dc:creator>musset</dc:creator>
  <cp:keywords/>
  <cp:lastModifiedBy>FRISON BEAU Valerie</cp:lastModifiedBy>
  <cp:revision>6</cp:revision>
  <cp:lastPrinted>2011-02-17T08:32:00Z</cp:lastPrinted>
  <dcterms:created xsi:type="dcterms:W3CDTF">2013-04-05T14:27:00Z</dcterms:created>
  <dcterms:modified xsi:type="dcterms:W3CDTF">2013-05-28T07:01:00Z</dcterms:modified>
</cp:coreProperties>
</file>