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A39" w:rsidRDefault="00204A39" w:rsidP="00F37C80">
      <w:pPr>
        <w:pStyle w:val="CoverTitle"/>
      </w:pPr>
      <w:r>
        <w:t>SIDS Initial Assessment Report</w:t>
      </w:r>
    </w:p>
    <w:p w:rsidR="00204A39" w:rsidRDefault="00204A39" w:rsidP="00F37C80">
      <w:pPr>
        <w:pStyle w:val="CoverTitle"/>
        <w:tabs>
          <w:tab w:val="left" w:pos="615"/>
          <w:tab w:val="center" w:pos="4819"/>
        </w:tabs>
      </w:pPr>
      <w:r>
        <w:t>For</w:t>
      </w:r>
    </w:p>
    <w:p w:rsidR="000A2191" w:rsidRPr="000A2191" w:rsidRDefault="00204A39" w:rsidP="00F37C80">
      <w:pPr>
        <w:pStyle w:val="CoverTitle"/>
      </w:pPr>
      <w:r>
        <w:t xml:space="preserve">SIAM </w:t>
      </w:r>
      <w:r w:rsidR="00B66568">
        <w:t>31</w:t>
      </w:r>
    </w:p>
    <w:p w:rsidR="00204A39" w:rsidRDefault="00774481" w:rsidP="00F37C80">
      <w:pPr>
        <w:pStyle w:val="BodyText"/>
        <w:jc w:val="center"/>
      </w:pPr>
      <w:r>
        <w:t>Oxford, United Kingdom</w:t>
      </w:r>
      <w:r w:rsidR="00C52647">
        <w:t>,</w:t>
      </w:r>
      <w:r w:rsidR="00C52647" w:rsidRPr="00C52647">
        <w:t xml:space="preserve"> </w:t>
      </w:r>
      <w:r w:rsidR="00C52647">
        <w:t>October 19-22, 2010</w:t>
      </w:r>
    </w:p>
    <w:p w:rsidR="00204A39" w:rsidRDefault="00204A39" w:rsidP="00F37C80">
      <w:pPr>
        <w:pStyle w:val="BodyText"/>
      </w:pPr>
    </w:p>
    <w:tbl>
      <w:tblPr>
        <w:tblW w:w="4850" w:type="pct"/>
        <w:tblInd w:w="170" w:type="dxa"/>
        <w:tblLook w:val="0000" w:firstRow="0" w:lastRow="0" w:firstColumn="0" w:lastColumn="0" w:noHBand="0" w:noVBand="0"/>
      </w:tblPr>
      <w:tblGrid>
        <w:gridCol w:w="3305"/>
        <w:gridCol w:w="6254"/>
      </w:tblGrid>
      <w:tr w:rsidR="00204A39" w:rsidTr="000A3308">
        <w:tc>
          <w:tcPr>
            <w:tcW w:w="3348" w:type="dxa"/>
          </w:tcPr>
          <w:p w:rsidR="00204A39" w:rsidRDefault="00204A39" w:rsidP="00F37C80">
            <w:pPr>
              <w:pStyle w:val="BodyText"/>
              <w:tabs>
                <w:tab w:val="left" w:pos="360"/>
              </w:tabs>
              <w:rPr>
                <w:b/>
                <w:bCs/>
              </w:rPr>
            </w:pPr>
            <w:r>
              <w:rPr>
                <w:b/>
                <w:bCs/>
              </w:rPr>
              <w:t>1.</w:t>
            </w:r>
            <w:r>
              <w:rPr>
                <w:b/>
                <w:bCs/>
              </w:rPr>
              <w:tab/>
              <w:t>Category Name:</w:t>
            </w:r>
          </w:p>
        </w:tc>
        <w:tc>
          <w:tcPr>
            <w:tcW w:w="6507" w:type="dxa"/>
          </w:tcPr>
          <w:p w:rsidR="00204A39" w:rsidRDefault="00EB15C3" w:rsidP="00F37C80">
            <w:pPr>
              <w:pStyle w:val="BodyText"/>
              <w:rPr>
                <w:lang w:val="en-US"/>
              </w:rPr>
            </w:pPr>
            <w:r>
              <w:t xml:space="preserve">Short Chain </w:t>
            </w:r>
            <w:r w:rsidR="005D5FE3">
              <w:t>Nitroparaffins</w:t>
            </w:r>
            <w:r w:rsidR="00204A39">
              <w:t xml:space="preserve"> Category</w:t>
            </w:r>
          </w:p>
        </w:tc>
      </w:tr>
      <w:tr w:rsidR="00204A39" w:rsidTr="000A3308">
        <w:tc>
          <w:tcPr>
            <w:tcW w:w="3348" w:type="dxa"/>
          </w:tcPr>
          <w:p w:rsidR="00204A39" w:rsidRPr="00B42C1F" w:rsidRDefault="0010052A" w:rsidP="0010052A">
            <w:pPr>
              <w:pStyle w:val="BodyText"/>
              <w:tabs>
                <w:tab w:val="left" w:pos="360"/>
              </w:tabs>
              <w:jc w:val="left"/>
              <w:rPr>
                <w:b/>
                <w:bCs/>
              </w:rPr>
            </w:pPr>
            <w:r>
              <w:rPr>
                <w:b/>
                <w:bCs/>
              </w:rPr>
              <w:t>2.</w:t>
            </w:r>
            <w:r>
              <w:rPr>
                <w:b/>
                <w:bCs/>
              </w:rPr>
              <w:tab/>
              <w:t xml:space="preserve">CAS Number </w:t>
            </w:r>
            <w:r w:rsidR="00204A39" w:rsidRPr="00B42C1F">
              <w:rPr>
                <w:b/>
                <w:bCs/>
              </w:rPr>
              <w:t>and Chemical Name:</w:t>
            </w:r>
          </w:p>
        </w:tc>
        <w:tc>
          <w:tcPr>
            <w:tcW w:w="6507" w:type="dxa"/>
          </w:tcPr>
          <w:p w:rsidR="00204A39" w:rsidRPr="00B42C1F" w:rsidRDefault="00B42C1F" w:rsidP="00F37C80">
            <w:pPr>
              <w:ind w:left="1812" w:hanging="1800"/>
              <w:jc w:val="both"/>
              <w:rPr>
                <w:rFonts w:ascii="Symbol" w:hAnsi="Symbol"/>
              </w:rPr>
            </w:pPr>
            <w:r w:rsidRPr="00B42C1F">
              <w:t>75-52-5</w:t>
            </w:r>
            <w:r w:rsidR="00204A39" w:rsidRPr="00B42C1F">
              <w:t xml:space="preserve">          </w:t>
            </w:r>
            <w:r w:rsidRPr="00B42C1F">
              <w:t>Nitromethane</w:t>
            </w:r>
            <w:r w:rsidR="00204A39" w:rsidRPr="00B42C1F">
              <w:t xml:space="preserve">  </w:t>
            </w:r>
          </w:p>
          <w:p w:rsidR="00204A39" w:rsidRPr="00B42C1F" w:rsidRDefault="00B42C1F" w:rsidP="00F37C80">
            <w:pPr>
              <w:ind w:left="1812" w:hanging="1800"/>
              <w:jc w:val="both"/>
              <w:rPr>
                <w:rFonts w:ascii="Symbol" w:hAnsi="Symbol"/>
              </w:rPr>
            </w:pPr>
            <w:r w:rsidRPr="00B42C1F">
              <w:t>79-24-3</w:t>
            </w:r>
            <w:r w:rsidR="00204A39" w:rsidRPr="00B42C1F">
              <w:t xml:space="preserve">          </w:t>
            </w:r>
            <w:r w:rsidRPr="00B42C1F">
              <w:t>Nitroethane</w:t>
            </w:r>
            <w:r w:rsidR="00204A39" w:rsidRPr="00B42C1F">
              <w:t xml:space="preserve">  </w:t>
            </w:r>
          </w:p>
          <w:p w:rsidR="00204A39" w:rsidRDefault="00B42C1F" w:rsidP="00F37C80">
            <w:pPr>
              <w:pStyle w:val="BodyText"/>
            </w:pPr>
            <w:r w:rsidRPr="00B42C1F">
              <w:t>108-03-2</w:t>
            </w:r>
            <w:r w:rsidR="00204A39" w:rsidRPr="00B42C1F">
              <w:t xml:space="preserve">        </w:t>
            </w:r>
            <w:r w:rsidRPr="00B42C1F">
              <w:t>1-Nitropropane</w:t>
            </w:r>
          </w:p>
        </w:tc>
      </w:tr>
      <w:tr w:rsidR="00204A39" w:rsidTr="000A3308">
        <w:tc>
          <w:tcPr>
            <w:tcW w:w="3348" w:type="dxa"/>
          </w:tcPr>
          <w:p w:rsidR="00204A39" w:rsidRDefault="00204A39" w:rsidP="00F37C80">
            <w:pPr>
              <w:pStyle w:val="BodyText"/>
              <w:tabs>
                <w:tab w:val="left" w:pos="360"/>
              </w:tabs>
              <w:rPr>
                <w:b/>
                <w:bCs/>
              </w:rPr>
            </w:pPr>
            <w:r>
              <w:rPr>
                <w:b/>
                <w:bCs/>
              </w:rPr>
              <w:t>3.</w:t>
            </w:r>
            <w:r>
              <w:rPr>
                <w:b/>
                <w:bCs/>
              </w:rPr>
              <w:tab/>
              <w:t>Sponsor Country:</w:t>
            </w:r>
          </w:p>
        </w:tc>
        <w:tc>
          <w:tcPr>
            <w:tcW w:w="6507" w:type="dxa"/>
          </w:tcPr>
          <w:p w:rsidR="00204A39" w:rsidRDefault="00204A39" w:rsidP="00F37C80">
            <w:pPr>
              <w:pStyle w:val="BodyText"/>
            </w:pPr>
            <w:r>
              <w:t>United States</w:t>
            </w:r>
          </w:p>
          <w:p w:rsidR="00204A39" w:rsidRDefault="00204A39" w:rsidP="00F37C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t>Oscar Hernandez</w:t>
            </w:r>
          </w:p>
          <w:p w:rsidR="00204A39" w:rsidRDefault="00204A39" w:rsidP="00F37C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t>Director, Risk Assessment Division</w:t>
            </w:r>
          </w:p>
          <w:p w:rsidR="00204A39" w:rsidRDefault="00204A39" w:rsidP="00F37C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t>(7403M)</w:t>
            </w:r>
          </w:p>
          <w:p w:rsidR="00204A39" w:rsidRDefault="00204A39" w:rsidP="00F37C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t>U.S. Environmental Protection Agency</w:t>
            </w:r>
          </w:p>
          <w:p w:rsidR="00204A39" w:rsidRDefault="00204A39" w:rsidP="00F37C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t>1200 Pennsylvania Ave, N.W.</w:t>
            </w:r>
          </w:p>
          <w:p w:rsidR="00204A39" w:rsidRDefault="00204A39" w:rsidP="00F37C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t>Washington, DC 20460</w:t>
            </w:r>
          </w:p>
          <w:p w:rsidR="00204A39" w:rsidRDefault="00204A39" w:rsidP="00F37C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t>Phone: 202-564-7641</w:t>
            </w:r>
          </w:p>
          <w:p w:rsidR="00204A39" w:rsidRDefault="00204A39" w:rsidP="00F37C80">
            <w:pPr>
              <w:pStyle w:val="BodyText"/>
              <w:rPr>
                <w:lang w:val="en-US"/>
              </w:rPr>
            </w:pPr>
          </w:p>
        </w:tc>
      </w:tr>
      <w:tr w:rsidR="00204A39" w:rsidTr="000A3308">
        <w:tc>
          <w:tcPr>
            <w:tcW w:w="3348" w:type="dxa"/>
          </w:tcPr>
          <w:p w:rsidR="00204A39" w:rsidRDefault="00204A39" w:rsidP="00F37C80">
            <w:pPr>
              <w:pStyle w:val="BodyText"/>
              <w:tabs>
                <w:tab w:val="left" w:pos="360"/>
              </w:tabs>
              <w:ind w:left="360" w:hanging="360"/>
              <w:rPr>
                <w:b/>
                <w:bCs/>
              </w:rPr>
            </w:pPr>
            <w:r>
              <w:rPr>
                <w:b/>
                <w:bCs/>
              </w:rPr>
              <w:t>4.</w:t>
            </w:r>
            <w:r>
              <w:rPr>
                <w:b/>
                <w:bCs/>
              </w:rPr>
              <w:tab/>
              <w:t>Shared Partnership with:</w:t>
            </w:r>
          </w:p>
        </w:tc>
        <w:tc>
          <w:tcPr>
            <w:tcW w:w="6507" w:type="dxa"/>
          </w:tcPr>
          <w:p w:rsidR="00204A39" w:rsidRDefault="00204A39" w:rsidP="00F37C80">
            <w:pPr>
              <w:pStyle w:val="BodyText"/>
            </w:pPr>
            <w:r>
              <w:t>ICCA</w:t>
            </w:r>
          </w:p>
          <w:p w:rsidR="00204A39" w:rsidRDefault="00204A39" w:rsidP="00F37C80">
            <w:pPr>
              <w:pStyle w:val="BodyText"/>
              <w:spacing w:after="0"/>
            </w:pPr>
          </w:p>
        </w:tc>
      </w:tr>
      <w:tr w:rsidR="00204A39" w:rsidTr="000A3308">
        <w:tc>
          <w:tcPr>
            <w:tcW w:w="3348" w:type="dxa"/>
          </w:tcPr>
          <w:p w:rsidR="00204A39" w:rsidRDefault="00204A39" w:rsidP="00F37C80">
            <w:pPr>
              <w:pStyle w:val="BodyText"/>
              <w:tabs>
                <w:tab w:val="left" w:pos="360"/>
              </w:tabs>
              <w:ind w:left="360" w:hanging="360"/>
              <w:rPr>
                <w:b/>
                <w:bCs/>
              </w:rPr>
            </w:pPr>
            <w:r>
              <w:rPr>
                <w:b/>
                <w:bCs/>
              </w:rPr>
              <w:t>5.</w:t>
            </w:r>
            <w:r>
              <w:rPr>
                <w:b/>
                <w:bCs/>
              </w:rPr>
              <w:tab/>
              <w:t>Roles/Responsibilities of the Partners:</w:t>
            </w:r>
          </w:p>
        </w:tc>
        <w:tc>
          <w:tcPr>
            <w:tcW w:w="6507" w:type="dxa"/>
          </w:tcPr>
          <w:p w:rsidR="00204A39" w:rsidRDefault="00204A39" w:rsidP="00F37C80">
            <w:pPr>
              <w:pStyle w:val="BodyText"/>
            </w:pPr>
          </w:p>
        </w:tc>
      </w:tr>
      <w:tr w:rsidR="00204A39" w:rsidTr="000A3308">
        <w:tc>
          <w:tcPr>
            <w:tcW w:w="3348" w:type="dxa"/>
          </w:tcPr>
          <w:p w:rsidR="00204A39" w:rsidRDefault="00204A39" w:rsidP="00F37C80">
            <w:pPr>
              <w:pStyle w:val="ListBullet"/>
              <w:spacing w:after="180"/>
            </w:pPr>
            <w:r>
              <w:t>Name of industry sponsor /consortium</w:t>
            </w:r>
          </w:p>
        </w:tc>
        <w:tc>
          <w:tcPr>
            <w:tcW w:w="6507" w:type="dxa"/>
          </w:tcPr>
          <w:p w:rsidR="00204A39" w:rsidRDefault="005D5FE3" w:rsidP="00F37C80">
            <w:pPr>
              <w:pStyle w:val="BodyText"/>
            </w:pPr>
            <w:r>
              <w:t>The Dow Chemical Company</w:t>
            </w:r>
          </w:p>
          <w:p w:rsidR="00F37C80" w:rsidRDefault="00F37C80" w:rsidP="00F37C80">
            <w:pPr>
              <w:pStyle w:val="BodyText"/>
            </w:pPr>
            <w:r>
              <w:t xml:space="preserve">Angus </w:t>
            </w:r>
            <w:r w:rsidR="005D5FE3">
              <w:t xml:space="preserve">Chemical                                      </w:t>
            </w:r>
          </w:p>
          <w:p w:rsidR="005D5FE3" w:rsidRPr="005D5FE3" w:rsidRDefault="00CF042B" w:rsidP="00F37C80">
            <w:pPr>
              <w:pStyle w:val="BodyText"/>
            </w:pPr>
            <w:r>
              <w:t>Buffalo Grove, IL</w:t>
            </w:r>
          </w:p>
          <w:p w:rsidR="00204A39" w:rsidRDefault="00204A39" w:rsidP="00F37C80">
            <w:pPr>
              <w:pStyle w:val="BodyText"/>
              <w:ind w:left="357" w:hanging="357"/>
            </w:pPr>
          </w:p>
        </w:tc>
      </w:tr>
      <w:tr w:rsidR="00204A39" w:rsidTr="000A3308">
        <w:tc>
          <w:tcPr>
            <w:tcW w:w="3348" w:type="dxa"/>
          </w:tcPr>
          <w:p w:rsidR="00204A39" w:rsidRDefault="00204A39" w:rsidP="00F37C80">
            <w:pPr>
              <w:pStyle w:val="ListBullet"/>
              <w:spacing w:after="180"/>
            </w:pPr>
            <w:r>
              <w:t>Process used</w:t>
            </w:r>
          </w:p>
        </w:tc>
        <w:tc>
          <w:tcPr>
            <w:tcW w:w="6507" w:type="dxa"/>
          </w:tcPr>
          <w:p w:rsidR="00204A39" w:rsidRDefault="00204A39" w:rsidP="00F37C80">
            <w:pPr>
              <w:pStyle w:val="BodyText"/>
            </w:pPr>
            <w:r>
              <w:rPr>
                <w:lang w:val="en-US"/>
              </w:rPr>
              <w:t xml:space="preserve">The </w:t>
            </w:r>
            <w:r w:rsidR="005D5FE3">
              <w:t>Dow Chemical Company</w:t>
            </w:r>
            <w:r>
              <w:t xml:space="preserve"> produced the documents; EPA reviewed the documents and provided additional </w:t>
            </w:r>
            <w:r w:rsidR="005D5FE3">
              <w:t xml:space="preserve">comments and </w:t>
            </w:r>
            <w:r>
              <w:t>information where there were data gaps.</w:t>
            </w:r>
          </w:p>
        </w:tc>
      </w:tr>
      <w:tr w:rsidR="00204A39" w:rsidTr="000A3308">
        <w:tc>
          <w:tcPr>
            <w:tcW w:w="3348" w:type="dxa"/>
          </w:tcPr>
          <w:p w:rsidR="00204A39" w:rsidRDefault="00204A39" w:rsidP="00F37C80">
            <w:pPr>
              <w:pStyle w:val="BodyText"/>
              <w:tabs>
                <w:tab w:val="left" w:pos="360"/>
              </w:tabs>
              <w:rPr>
                <w:b/>
                <w:bCs/>
              </w:rPr>
            </w:pPr>
            <w:r>
              <w:rPr>
                <w:b/>
                <w:bCs/>
              </w:rPr>
              <w:t>6.</w:t>
            </w:r>
            <w:r>
              <w:rPr>
                <w:b/>
                <w:bCs/>
              </w:rPr>
              <w:tab/>
              <w:t>Sponsorship History</w:t>
            </w:r>
          </w:p>
        </w:tc>
        <w:tc>
          <w:tcPr>
            <w:tcW w:w="6507" w:type="dxa"/>
          </w:tcPr>
          <w:p w:rsidR="00204A39" w:rsidRDefault="00204A39" w:rsidP="00F37C80">
            <w:pPr>
              <w:pStyle w:val="BodyText"/>
            </w:pPr>
          </w:p>
        </w:tc>
      </w:tr>
      <w:tr w:rsidR="00204A39" w:rsidTr="000A3308">
        <w:tc>
          <w:tcPr>
            <w:tcW w:w="3348" w:type="dxa"/>
          </w:tcPr>
          <w:p w:rsidR="00204A39" w:rsidRDefault="00204A39" w:rsidP="00F37C80">
            <w:pPr>
              <w:pStyle w:val="ListBullet"/>
              <w:spacing w:after="180"/>
            </w:pPr>
            <w:r>
              <w:t>How was the chemical or category brought into the SIDS Program?</w:t>
            </w:r>
          </w:p>
        </w:tc>
        <w:tc>
          <w:tcPr>
            <w:tcW w:w="6507" w:type="dxa"/>
          </w:tcPr>
          <w:p w:rsidR="00204A39" w:rsidRDefault="00204A39" w:rsidP="00F37C80">
            <w:pPr>
              <w:jc w:val="both"/>
              <w:rPr>
                <w:lang w:val="en-GB"/>
              </w:rPr>
            </w:pPr>
            <w:r>
              <w:t xml:space="preserve">Documents were prepared and reviewed by </w:t>
            </w:r>
            <w:r w:rsidR="005D5FE3">
              <w:t>I</w:t>
            </w:r>
            <w:r>
              <w:t>ndustry prior to submission to sponsor country.  Sponsor country conducted reviews of submitted data and offered comments to industry.  Industry prepared and resubmitted documents for consideration at SIAM</w:t>
            </w:r>
            <w:r w:rsidR="00B66568">
              <w:t xml:space="preserve"> 31.</w:t>
            </w:r>
            <w:r>
              <w:t xml:space="preserve">  </w:t>
            </w:r>
          </w:p>
          <w:p w:rsidR="00C54782" w:rsidRDefault="00C54782" w:rsidP="00F37C80">
            <w:pPr>
              <w:jc w:val="both"/>
            </w:pPr>
            <w:r>
              <w:t>no testing</w:t>
            </w:r>
            <w:r>
              <w:tab/>
            </w:r>
            <w:r w:rsidRPr="00B66568">
              <w:t>( X )</w:t>
            </w:r>
          </w:p>
          <w:p w:rsidR="00204A39" w:rsidRDefault="00204A39" w:rsidP="00F37C80">
            <w:pPr>
              <w:pStyle w:val="BodyText"/>
            </w:pPr>
            <w:r>
              <w:t>testing</w:t>
            </w:r>
            <w:r>
              <w:tab/>
            </w:r>
            <w:r>
              <w:tab/>
              <w:t>(   )</w:t>
            </w:r>
          </w:p>
        </w:tc>
      </w:tr>
      <w:tr w:rsidR="00204A39" w:rsidTr="000A3308">
        <w:tc>
          <w:tcPr>
            <w:tcW w:w="3348" w:type="dxa"/>
          </w:tcPr>
          <w:p w:rsidR="00204A39" w:rsidRDefault="00204A39" w:rsidP="00F37C80">
            <w:pPr>
              <w:pStyle w:val="BodyText"/>
              <w:tabs>
                <w:tab w:val="left" w:pos="360"/>
              </w:tabs>
              <w:ind w:left="360" w:hanging="360"/>
              <w:rPr>
                <w:b/>
                <w:bCs/>
              </w:rPr>
            </w:pPr>
            <w:r>
              <w:rPr>
                <w:b/>
                <w:bCs/>
              </w:rPr>
              <w:lastRenderedPageBreak/>
              <w:t>7.</w:t>
            </w:r>
            <w:r>
              <w:rPr>
                <w:b/>
                <w:bCs/>
              </w:rPr>
              <w:tab/>
              <w:t>Review Process Prior to the SIAM:</w:t>
            </w:r>
          </w:p>
        </w:tc>
        <w:tc>
          <w:tcPr>
            <w:tcW w:w="6507" w:type="dxa"/>
          </w:tcPr>
          <w:p w:rsidR="00204A39" w:rsidRDefault="00204A39" w:rsidP="00F37C80">
            <w:pPr>
              <w:pStyle w:val="BodyText"/>
            </w:pPr>
            <w:r>
              <w:t xml:space="preserve">The U.S. EPA reviewed, commented and edited this case.  </w:t>
            </w:r>
          </w:p>
        </w:tc>
      </w:tr>
      <w:tr w:rsidR="00204A39" w:rsidTr="000A3308">
        <w:tc>
          <w:tcPr>
            <w:tcW w:w="3348" w:type="dxa"/>
          </w:tcPr>
          <w:p w:rsidR="00204A39" w:rsidRDefault="00204A39" w:rsidP="00F37C80">
            <w:pPr>
              <w:pStyle w:val="BodyText"/>
              <w:tabs>
                <w:tab w:val="left" w:pos="360"/>
              </w:tabs>
              <w:ind w:left="360" w:hanging="360"/>
              <w:rPr>
                <w:b/>
                <w:bCs/>
              </w:rPr>
            </w:pPr>
            <w:r>
              <w:rPr>
                <w:b/>
                <w:bCs/>
              </w:rPr>
              <w:t>8.</w:t>
            </w:r>
            <w:r>
              <w:rPr>
                <w:b/>
                <w:bCs/>
              </w:rPr>
              <w:tab/>
              <w:t>Quality check process:</w:t>
            </w:r>
          </w:p>
        </w:tc>
        <w:tc>
          <w:tcPr>
            <w:tcW w:w="6507" w:type="dxa"/>
          </w:tcPr>
          <w:p w:rsidR="00204A39" w:rsidRDefault="00204A39" w:rsidP="00F37C80">
            <w:pPr>
              <w:pStyle w:val="BodyText"/>
            </w:pPr>
            <w:r>
              <w:t xml:space="preserve">Literature searches were conducted by the sponsor country to determine if all relevant data have been included in this submission.  </w:t>
            </w:r>
          </w:p>
        </w:tc>
      </w:tr>
      <w:tr w:rsidR="00204A39" w:rsidTr="000A3308">
        <w:trPr>
          <w:trHeight w:val="292"/>
        </w:trPr>
        <w:tc>
          <w:tcPr>
            <w:tcW w:w="3348" w:type="dxa"/>
          </w:tcPr>
          <w:p w:rsidR="00204A39" w:rsidRDefault="00204A39" w:rsidP="00F37C80">
            <w:pPr>
              <w:pStyle w:val="BodyText"/>
              <w:tabs>
                <w:tab w:val="left" w:pos="360"/>
              </w:tabs>
              <w:rPr>
                <w:b/>
                <w:bCs/>
              </w:rPr>
            </w:pPr>
            <w:r>
              <w:rPr>
                <w:b/>
                <w:bCs/>
              </w:rPr>
              <w:t>9.</w:t>
            </w:r>
            <w:r>
              <w:rPr>
                <w:b/>
                <w:bCs/>
              </w:rPr>
              <w:tab/>
              <w:t>Date of Submission:</w:t>
            </w:r>
          </w:p>
        </w:tc>
        <w:tc>
          <w:tcPr>
            <w:tcW w:w="6507" w:type="dxa"/>
          </w:tcPr>
          <w:p w:rsidR="00204A39" w:rsidRDefault="00CB3855" w:rsidP="00F37C80">
            <w:pPr>
              <w:pStyle w:val="BodyText"/>
            </w:pPr>
            <w:r>
              <w:t xml:space="preserve"> November 28, 2006</w:t>
            </w:r>
          </w:p>
        </w:tc>
      </w:tr>
      <w:tr w:rsidR="00CB3855" w:rsidTr="000A3308">
        <w:trPr>
          <w:trHeight w:val="292"/>
        </w:trPr>
        <w:tc>
          <w:tcPr>
            <w:tcW w:w="3348" w:type="dxa"/>
          </w:tcPr>
          <w:p w:rsidR="00CB3855" w:rsidRDefault="00CB3855" w:rsidP="00F37C80">
            <w:pPr>
              <w:pStyle w:val="BodyText"/>
              <w:tabs>
                <w:tab w:val="left" w:pos="360"/>
              </w:tabs>
              <w:rPr>
                <w:b/>
                <w:bCs/>
              </w:rPr>
            </w:pPr>
            <w:r>
              <w:rPr>
                <w:b/>
                <w:bCs/>
              </w:rPr>
              <w:t>10.  Date of last Update:</w:t>
            </w:r>
          </w:p>
        </w:tc>
        <w:tc>
          <w:tcPr>
            <w:tcW w:w="6507" w:type="dxa"/>
          </w:tcPr>
          <w:p w:rsidR="00CB3855" w:rsidRPr="00B66568" w:rsidDel="00B66568" w:rsidRDefault="00CB3855" w:rsidP="00F37C80">
            <w:pPr>
              <w:pStyle w:val="BodyText"/>
            </w:pPr>
            <w:r>
              <w:t>June 17, 2010</w:t>
            </w:r>
          </w:p>
        </w:tc>
      </w:tr>
      <w:tr w:rsidR="00204A39" w:rsidTr="000A3308">
        <w:tc>
          <w:tcPr>
            <w:tcW w:w="3348" w:type="dxa"/>
          </w:tcPr>
          <w:p w:rsidR="00204A39" w:rsidRDefault="00204A39" w:rsidP="00F37C80">
            <w:pPr>
              <w:pStyle w:val="BodyText"/>
              <w:tabs>
                <w:tab w:val="left" w:pos="360"/>
              </w:tabs>
              <w:rPr>
                <w:b/>
                <w:bCs/>
              </w:rPr>
            </w:pPr>
            <w:r>
              <w:rPr>
                <w:b/>
                <w:bCs/>
              </w:rPr>
              <w:t>10.</w:t>
            </w:r>
            <w:r>
              <w:rPr>
                <w:b/>
                <w:bCs/>
              </w:rPr>
              <w:tab/>
              <w:t>Comments:</w:t>
            </w:r>
          </w:p>
        </w:tc>
        <w:tc>
          <w:tcPr>
            <w:tcW w:w="6507" w:type="dxa"/>
          </w:tcPr>
          <w:p w:rsidR="00774481" w:rsidRPr="00774481" w:rsidRDefault="00774481" w:rsidP="00774481">
            <w:pPr>
              <w:overflowPunct w:val="0"/>
              <w:autoSpaceDE w:val="0"/>
              <w:autoSpaceDN w:val="0"/>
              <w:adjustRightInd w:val="0"/>
              <w:textAlignment w:val="baseline"/>
            </w:pPr>
            <w:bookmarkStart w:id="0" w:name="OLE_LINK1"/>
            <w:bookmarkStart w:id="1" w:name="OLE_LINK2"/>
            <w:r w:rsidRPr="00774481">
              <w:t>The summaries and evaluations contained in this assessment report may be based on unpublished proprietary data submitted for the purpose of the OECD assessment. In many cases, national/regional regulatory authorities will not accept a regulatory submission based on the summaries and evaluation of unpublished proprietary data contained in this [these] assessment report[s] unless they have received the data on which the summaries and evaluation are based, either from:</w:t>
            </w:r>
          </w:p>
          <w:p w:rsidR="00774481" w:rsidRPr="00774481" w:rsidRDefault="00774481" w:rsidP="00774481">
            <w:pPr>
              <w:numPr>
                <w:ilvl w:val="0"/>
                <w:numId w:val="21"/>
              </w:numPr>
              <w:overflowPunct w:val="0"/>
              <w:autoSpaceDE w:val="0"/>
              <w:autoSpaceDN w:val="0"/>
              <w:adjustRightInd w:val="0"/>
              <w:textAlignment w:val="baseline"/>
              <w:rPr>
                <w:rFonts w:eastAsia="Calibri"/>
              </w:rPr>
            </w:pPr>
            <w:r w:rsidRPr="00774481">
              <w:rPr>
                <w:rFonts w:eastAsia="Calibri"/>
              </w:rPr>
              <w:t>the owner of the data; or</w:t>
            </w:r>
          </w:p>
          <w:p w:rsidR="00774481" w:rsidRPr="00774481" w:rsidRDefault="00774481" w:rsidP="00774481">
            <w:pPr>
              <w:numPr>
                <w:ilvl w:val="0"/>
                <w:numId w:val="21"/>
              </w:numPr>
              <w:overflowPunct w:val="0"/>
              <w:autoSpaceDE w:val="0"/>
              <w:autoSpaceDN w:val="0"/>
              <w:adjustRightInd w:val="0"/>
              <w:textAlignment w:val="baseline"/>
              <w:rPr>
                <w:rFonts w:eastAsia="Calibri"/>
              </w:rPr>
            </w:pPr>
            <w:r w:rsidRPr="00774481">
              <w:rPr>
                <w:rFonts w:eastAsia="Calibri"/>
              </w:rPr>
              <w:t>a second party that has obtained permission from the owner of the data for this purpose; or alternatively</w:t>
            </w:r>
          </w:p>
          <w:p w:rsidR="00774481" w:rsidRPr="00774481" w:rsidRDefault="00774481" w:rsidP="00774481">
            <w:pPr>
              <w:numPr>
                <w:ilvl w:val="0"/>
                <w:numId w:val="21"/>
              </w:numPr>
              <w:overflowPunct w:val="0"/>
              <w:autoSpaceDE w:val="0"/>
              <w:autoSpaceDN w:val="0"/>
              <w:adjustRightInd w:val="0"/>
              <w:textAlignment w:val="baseline"/>
              <w:rPr>
                <w:rFonts w:eastAsia="Calibri"/>
              </w:rPr>
            </w:pPr>
            <w:r w:rsidRPr="00774481">
              <w:rPr>
                <w:rFonts w:eastAsia="Calibri"/>
              </w:rPr>
              <w:t>the applicant has received permission from the data owner that the summary and evaluation contained in this [these] assessment report[s] may be used in lieu of the data; or</w:t>
            </w:r>
          </w:p>
          <w:p w:rsidR="00774481" w:rsidRPr="00774481" w:rsidRDefault="00774481" w:rsidP="00774481">
            <w:pPr>
              <w:numPr>
                <w:ilvl w:val="0"/>
                <w:numId w:val="21"/>
              </w:numPr>
              <w:overflowPunct w:val="0"/>
              <w:autoSpaceDE w:val="0"/>
              <w:autoSpaceDN w:val="0"/>
              <w:adjustRightInd w:val="0"/>
              <w:textAlignment w:val="baseline"/>
              <w:rPr>
                <w:rFonts w:eastAsia="Calibri"/>
              </w:rPr>
            </w:pPr>
            <w:proofErr w:type="gramStart"/>
            <w:r w:rsidRPr="00774481">
              <w:rPr>
                <w:rFonts w:eastAsia="Calibri"/>
              </w:rPr>
              <w:t>following</w:t>
            </w:r>
            <w:proofErr w:type="gramEnd"/>
            <w:r w:rsidRPr="00774481">
              <w:rPr>
                <w:rFonts w:eastAsia="Calibri"/>
              </w:rPr>
              <w:t xml:space="preserve"> expiry of any period of exclusive use, mandatory compensation, where required, has been offered unless the period of protection for the proprietary data concerned has expired.</w:t>
            </w:r>
          </w:p>
          <w:p w:rsidR="00774481" w:rsidRPr="00774481" w:rsidRDefault="00774481" w:rsidP="00774481">
            <w:pPr>
              <w:overflowPunct w:val="0"/>
              <w:autoSpaceDE w:val="0"/>
              <w:autoSpaceDN w:val="0"/>
              <w:adjustRightInd w:val="0"/>
              <w:textAlignment w:val="baseline"/>
              <w:rPr>
                <w:lang w:val="en-AU"/>
              </w:rPr>
            </w:pPr>
            <w:r w:rsidRPr="00774481">
              <w:rPr>
                <w:lang w:val="en-AU"/>
              </w:rPr>
              <w:t>Applicants who wish to use data in this assessment report should ensure that the use is consistent with the legal requirements in the country/region in which it is proposed to use the data.</w:t>
            </w:r>
          </w:p>
          <w:bookmarkEnd w:id="0"/>
          <w:bookmarkEnd w:id="1"/>
          <w:p w:rsidR="0045701B" w:rsidRDefault="0045701B" w:rsidP="00F37C80">
            <w:pPr>
              <w:ind w:left="12"/>
              <w:jc w:val="both"/>
            </w:pPr>
          </w:p>
        </w:tc>
      </w:tr>
    </w:tbl>
    <w:p w:rsidR="00204A39" w:rsidRDefault="00204A39" w:rsidP="00F37C80">
      <w:pPr>
        <w:pStyle w:val="BodyText"/>
      </w:pPr>
    </w:p>
    <w:p w:rsidR="00F37C80" w:rsidRDefault="00F37C80" w:rsidP="00F37C80">
      <w:pPr>
        <w:pStyle w:val="BodyText"/>
        <w:sectPr w:rsidR="00F37C80" w:rsidSect="00B260D6">
          <w:headerReference w:type="even" r:id="rId9"/>
          <w:headerReference w:type="default" r:id="rId10"/>
          <w:footerReference w:type="even" r:id="rId11"/>
          <w:footerReference w:type="default" r:id="rId12"/>
          <w:type w:val="oddPage"/>
          <w:pgSz w:w="11907" w:h="16840" w:code="9"/>
          <w:pgMar w:top="1418" w:right="1134" w:bottom="1134" w:left="1134" w:header="737" w:footer="737" w:gutter="0"/>
          <w:cols w:space="720"/>
          <w:docGrid w:linePitch="360"/>
        </w:sectPr>
      </w:pPr>
    </w:p>
    <w:p w:rsidR="0010052A" w:rsidRPr="0010052A" w:rsidRDefault="0010052A" w:rsidP="0010052A">
      <w:pPr>
        <w:tabs>
          <w:tab w:val="left" w:pos="850"/>
          <w:tab w:val="left" w:pos="1191"/>
          <w:tab w:val="left" w:pos="1531"/>
        </w:tabs>
        <w:jc w:val="center"/>
        <w:rPr>
          <w:rFonts w:ascii="Times" w:hAnsi="Times"/>
          <w:b/>
          <w:sz w:val="22"/>
          <w:szCs w:val="22"/>
          <w:u w:val="single"/>
          <w:lang w:val="en-GB" w:eastAsia="zh-CN"/>
        </w:rPr>
      </w:pPr>
      <w:r w:rsidRPr="0010052A">
        <w:rPr>
          <w:rFonts w:ascii="Times" w:hAnsi="Times"/>
          <w:b/>
          <w:sz w:val="22"/>
          <w:szCs w:val="22"/>
          <w:u w:val="single"/>
          <w:lang w:val="en-GB" w:eastAsia="zh-CN"/>
        </w:rPr>
        <w:lastRenderedPageBreak/>
        <w:t>SIDS INITIAL ASSESSMENT PROFILE</w:t>
      </w:r>
    </w:p>
    <w:p w:rsidR="0010052A" w:rsidRPr="0010052A" w:rsidRDefault="0010052A" w:rsidP="0010052A">
      <w:pPr>
        <w:widowControl w:val="0"/>
        <w:rPr>
          <w:sz w:val="20"/>
          <w:szCs w:val="20"/>
          <w:lang w:val="en-GB" w:eastAsia="de-DE"/>
        </w:rPr>
      </w:pPr>
    </w:p>
    <w:tbl>
      <w:tblPr>
        <w:tblW w:w="4850" w:type="pct"/>
        <w:tblInd w:w="170" w:type="dxa"/>
        <w:tblLayout w:type="fixed"/>
        <w:tblCellMar>
          <w:left w:w="70" w:type="dxa"/>
          <w:right w:w="70" w:type="dxa"/>
        </w:tblCellMar>
        <w:tblLook w:val="0000" w:firstRow="0" w:lastRow="0" w:firstColumn="0" w:lastColumn="0" w:noHBand="0" w:noVBand="0"/>
      </w:tblPr>
      <w:tblGrid>
        <w:gridCol w:w="2511"/>
        <w:gridCol w:w="6975"/>
      </w:tblGrid>
      <w:tr w:rsidR="0010052A" w:rsidRPr="0010052A" w:rsidTr="00146C4E">
        <w:trPr>
          <w:trHeight w:hRule="exact" w:val="621"/>
        </w:trPr>
        <w:tc>
          <w:tcPr>
            <w:tcW w:w="2765" w:type="dxa"/>
            <w:tcBorders>
              <w:top w:val="double" w:sz="6" w:space="0" w:color="auto"/>
              <w:left w:val="double" w:sz="6" w:space="0" w:color="auto"/>
              <w:bottom w:val="single" w:sz="12" w:space="0" w:color="auto"/>
              <w:right w:val="double" w:sz="6" w:space="0" w:color="auto"/>
            </w:tcBorders>
            <w:shd w:val="clear" w:color="auto" w:fill="F2F2F2" w:themeFill="background1" w:themeFillShade="F2"/>
          </w:tcPr>
          <w:p w:rsidR="0010052A" w:rsidRPr="0010052A" w:rsidRDefault="0010052A" w:rsidP="0010052A">
            <w:pPr>
              <w:spacing w:before="240"/>
              <w:jc w:val="center"/>
              <w:rPr>
                <w:b/>
                <w:sz w:val="22"/>
                <w:szCs w:val="22"/>
                <w:lang w:val="en-GB" w:eastAsia="de-DE"/>
              </w:rPr>
            </w:pPr>
            <w:r w:rsidRPr="0010052A">
              <w:rPr>
                <w:b/>
                <w:sz w:val="22"/>
                <w:szCs w:val="22"/>
                <w:lang w:val="en-GB" w:eastAsia="de-DE"/>
              </w:rPr>
              <w:t>Category</w:t>
            </w:r>
          </w:p>
        </w:tc>
        <w:tc>
          <w:tcPr>
            <w:tcW w:w="7713" w:type="dxa"/>
            <w:tcBorders>
              <w:top w:val="double" w:sz="6" w:space="0" w:color="auto"/>
              <w:left w:val="double" w:sz="6" w:space="0" w:color="auto"/>
              <w:bottom w:val="single" w:sz="12" w:space="0" w:color="auto"/>
              <w:right w:val="double" w:sz="6" w:space="0" w:color="auto"/>
            </w:tcBorders>
            <w:vAlign w:val="center"/>
          </w:tcPr>
          <w:p w:rsidR="0010052A" w:rsidRPr="0010052A" w:rsidRDefault="0010052A" w:rsidP="0010052A">
            <w:pPr>
              <w:widowControl w:val="0"/>
              <w:jc w:val="center"/>
              <w:rPr>
                <w:b/>
                <w:sz w:val="22"/>
                <w:szCs w:val="22"/>
                <w:lang w:val="en-GB" w:eastAsia="de-DE"/>
              </w:rPr>
            </w:pPr>
            <w:r w:rsidRPr="0010052A">
              <w:rPr>
                <w:b/>
                <w:sz w:val="22"/>
                <w:szCs w:val="22"/>
                <w:lang w:val="en-GB" w:eastAsia="de-DE"/>
              </w:rPr>
              <w:t>Short Chain Nitroparaffins</w:t>
            </w:r>
          </w:p>
        </w:tc>
      </w:tr>
      <w:tr w:rsidR="0010052A" w:rsidRPr="0010052A" w:rsidTr="00146C4E">
        <w:trPr>
          <w:trHeight w:hRule="exact" w:val="1169"/>
        </w:trPr>
        <w:tc>
          <w:tcPr>
            <w:tcW w:w="2765" w:type="dxa"/>
            <w:tcBorders>
              <w:top w:val="double" w:sz="6" w:space="0" w:color="auto"/>
              <w:left w:val="double" w:sz="6" w:space="0" w:color="auto"/>
              <w:bottom w:val="single" w:sz="12" w:space="0" w:color="auto"/>
              <w:right w:val="double" w:sz="6" w:space="0" w:color="auto"/>
            </w:tcBorders>
            <w:shd w:val="clear" w:color="auto" w:fill="F2F2F2" w:themeFill="background1" w:themeFillShade="F2"/>
          </w:tcPr>
          <w:p w:rsidR="0010052A" w:rsidRPr="0010052A" w:rsidRDefault="0010052A" w:rsidP="0010052A">
            <w:pPr>
              <w:spacing w:before="240"/>
              <w:jc w:val="center"/>
              <w:rPr>
                <w:sz w:val="22"/>
                <w:szCs w:val="22"/>
                <w:lang w:val="en-GB" w:eastAsia="de-DE"/>
              </w:rPr>
            </w:pPr>
            <w:r w:rsidRPr="0010052A">
              <w:rPr>
                <w:b/>
                <w:sz w:val="22"/>
                <w:szCs w:val="22"/>
                <w:lang w:val="en-GB" w:eastAsia="de-DE"/>
              </w:rPr>
              <w:t>CAS No’s.</w:t>
            </w:r>
          </w:p>
        </w:tc>
        <w:tc>
          <w:tcPr>
            <w:tcW w:w="7713" w:type="dxa"/>
            <w:tcBorders>
              <w:top w:val="double" w:sz="6" w:space="0" w:color="auto"/>
              <w:left w:val="double" w:sz="6" w:space="0" w:color="auto"/>
              <w:bottom w:val="single" w:sz="12" w:space="0" w:color="auto"/>
              <w:right w:val="double" w:sz="6" w:space="0" w:color="auto"/>
            </w:tcBorders>
          </w:tcPr>
          <w:p w:rsidR="0010052A" w:rsidRPr="0010052A" w:rsidRDefault="0010052A" w:rsidP="0010052A">
            <w:pPr>
              <w:widowControl w:val="0"/>
              <w:rPr>
                <w:sz w:val="22"/>
                <w:szCs w:val="22"/>
                <w:lang w:val="en-GB" w:eastAsia="de-DE"/>
              </w:rPr>
            </w:pPr>
          </w:p>
          <w:p w:rsidR="0010052A" w:rsidRPr="0010052A" w:rsidRDefault="0010052A" w:rsidP="0010052A">
            <w:pPr>
              <w:widowControl w:val="0"/>
              <w:jc w:val="center"/>
              <w:rPr>
                <w:sz w:val="22"/>
                <w:szCs w:val="22"/>
                <w:lang w:val="en-GB" w:eastAsia="de-DE"/>
              </w:rPr>
            </w:pPr>
            <w:r w:rsidRPr="0010052A">
              <w:rPr>
                <w:sz w:val="22"/>
                <w:szCs w:val="22"/>
                <w:lang w:val="en-GB" w:eastAsia="de-DE"/>
              </w:rPr>
              <w:t>75-52-5</w:t>
            </w:r>
          </w:p>
          <w:p w:rsidR="0010052A" w:rsidRPr="0010052A" w:rsidRDefault="0010052A" w:rsidP="0010052A">
            <w:pPr>
              <w:widowControl w:val="0"/>
              <w:jc w:val="center"/>
              <w:rPr>
                <w:sz w:val="22"/>
                <w:szCs w:val="22"/>
                <w:lang w:val="en-GB" w:eastAsia="de-DE"/>
              </w:rPr>
            </w:pPr>
            <w:r w:rsidRPr="0010052A">
              <w:rPr>
                <w:sz w:val="22"/>
                <w:szCs w:val="22"/>
                <w:lang w:val="en-GB" w:eastAsia="de-DE"/>
              </w:rPr>
              <w:t>79-24-3</w:t>
            </w:r>
          </w:p>
          <w:p w:rsidR="0010052A" w:rsidRPr="0010052A" w:rsidRDefault="0010052A" w:rsidP="0010052A">
            <w:pPr>
              <w:widowControl w:val="0"/>
              <w:jc w:val="center"/>
              <w:rPr>
                <w:sz w:val="22"/>
                <w:szCs w:val="22"/>
                <w:lang w:val="en-GB" w:eastAsia="de-DE"/>
              </w:rPr>
            </w:pPr>
            <w:r w:rsidRPr="0010052A">
              <w:rPr>
                <w:sz w:val="22"/>
                <w:szCs w:val="22"/>
                <w:lang w:val="en-GB" w:eastAsia="de-DE"/>
              </w:rPr>
              <w:t>108-03-2</w:t>
            </w:r>
          </w:p>
        </w:tc>
      </w:tr>
      <w:tr w:rsidR="0010052A" w:rsidRPr="0010052A" w:rsidTr="00146C4E">
        <w:trPr>
          <w:trHeight w:hRule="exact" w:val="1253"/>
        </w:trPr>
        <w:tc>
          <w:tcPr>
            <w:tcW w:w="2765" w:type="dxa"/>
            <w:tcBorders>
              <w:top w:val="single" w:sz="12" w:space="0" w:color="auto"/>
              <w:left w:val="double" w:sz="6" w:space="0" w:color="auto"/>
              <w:bottom w:val="single" w:sz="12" w:space="0" w:color="auto"/>
              <w:right w:val="double" w:sz="6" w:space="0" w:color="auto"/>
            </w:tcBorders>
            <w:shd w:val="clear" w:color="auto" w:fill="F2F2F2" w:themeFill="background1" w:themeFillShade="F2"/>
          </w:tcPr>
          <w:p w:rsidR="0010052A" w:rsidRPr="0010052A" w:rsidRDefault="0010052A" w:rsidP="0010052A">
            <w:pPr>
              <w:spacing w:before="240"/>
              <w:jc w:val="center"/>
              <w:rPr>
                <w:sz w:val="22"/>
                <w:szCs w:val="22"/>
                <w:lang w:val="en-GB" w:eastAsia="de-DE"/>
              </w:rPr>
            </w:pPr>
            <w:r w:rsidRPr="0010052A">
              <w:rPr>
                <w:b/>
                <w:sz w:val="22"/>
                <w:szCs w:val="22"/>
                <w:lang w:val="en-GB" w:eastAsia="de-DE"/>
              </w:rPr>
              <w:t>Chemical Name</w:t>
            </w:r>
          </w:p>
        </w:tc>
        <w:tc>
          <w:tcPr>
            <w:tcW w:w="7713" w:type="dxa"/>
            <w:tcBorders>
              <w:top w:val="single" w:sz="12" w:space="0" w:color="auto"/>
              <w:left w:val="double" w:sz="6" w:space="0" w:color="auto"/>
              <w:bottom w:val="single" w:sz="12" w:space="0" w:color="auto"/>
              <w:right w:val="double" w:sz="6" w:space="0" w:color="auto"/>
            </w:tcBorders>
          </w:tcPr>
          <w:p w:rsidR="0010052A" w:rsidRPr="0010052A" w:rsidRDefault="0010052A" w:rsidP="0010052A">
            <w:pPr>
              <w:jc w:val="both"/>
              <w:rPr>
                <w:sz w:val="22"/>
                <w:szCs w:val="22"/>
                <w:lang w:val="en-GB" w:eastAsia="de-DE"/>
              </w:rPr>
            </w:pPr>
          </w:p>
          <w:p w:rsidR="0010052A" w:rsidRPr="0010052A" w:rsidRDefault="0010052A" w:rsidP="0010052A">
            <w:pPr>
              <w:jc w:val="center"/>
              <w:rPr>
                <w:sz w:val="22"/>
                <w:szCs w:val="22"/>
                <w:lang w:val="en-GB" w:eastAsia="de-DE"/>
              </w:rPr>
            </w:pPr>
            <w:r w:rsidRPr="0010052A">
              <w:rPr>
                <w:sz w:val="22"/>
                <w:szCs w:val="22"/>
                <w:lang w:val="en-GB" w:eastAsia="de-DE"/>
              </w:rPr>
              <w:t>Nitromethane</w:t>
            </w:r>
          </w:p>
          <w:p w:rsidR="0010052A" w:rsidRPr="0010052A" w:rsidRDefault="0010052A" w:rsidP="0010052A">
            <w:pPr>
              <w:jc w:val="center"/>
              <w:rPr>
                <w:sz w:val="22"/>
                <w:szCs w:val="22"/>
                <w:lang w:val="en-GB" w:eastAsia="de-DE"/>
              </w:rPr>
            </w:pPr>
            <w:r w:rsidRPr="0010052A">
              <w:rPr>
                <w:sz w:val="22"/>
                <w:szCs w:val="22"/>
                <w:lang w:val="en-GB" w:eastAsia="de-DE"/>
              </w:rPr>
              <w:t>Nitroethane</w:t>
            </w:r>
          </w:p>
          <w:p w:rsidR="0010052A" w:rsidRPr="0010052A" w:rsidRDefault="0010052A" w:rsidP="0010052A">
            <w:pPr>
              <w:jc w:val="center"/>
              <w:rPr>
                <w:sz w:val="22"/>
                <w:szCs w:val="22"/>
                <w:lang w:val="en-GB" w:eastAsia="de-DE"/>
              </w:rPr>
            </w:pPr>
            <w:r w:rsidRPr="0010052A">
              <w:rPr>
                <w:sz w:val="22"/>
                <w:szCs w:val="22"/>
                <w:lang w:val="en-GB" w:eastAsia="de-DE"/>
              </w:rPr>
              <w:t>1-Nitropropane</w:t>
            </w:r>
          </w:p>
        </w:tc>
      </w:tr>
      <w:tr w:rsidR="0010052A" w:rsidRPr="0010052A" w:rsidTr="00146C4E">
        <w:trPr>
          <w:trHeight w:val="725"/>
        </w:trPr>
        <w:tc>
          <w:tcPr>
            <w:tcW w:w="2765" w:type="dxa"/>
            <w:tcBorders>
              <w:top w:val="single" w:sz="12" w:space="0" w:color="auto"/>
              <w:left w:val="double" w:sz="6" w:space="0" w:color="auto"/>
              <w:bottom w:val="single" w:sz="12" w:space="0" w:color="auto"/>
            </w:tcBorders>
            <w:shd w:val="clear" w:color="auto" w:fill="F2F2F2" w:themeFill="background1" w:themeFillShade="F2"/>
          </w:tcPr>
          <w:p w:rsidR="0010052A" w:rsidRPr="0010052A" w:rsidRDefault="0010052A" w:rsidP="0010052A">
            <w:pPr>
              <w:spacing w:before="240"/>
              <w:jc w:val="center"/>
              <w:rPr>
                <w:sz w:val="22"/>
                <w:szCs w:val="22"/>
                <w:lang w:val="en-GB" w:eastAsia="de-DE"/>
              </w:rPr>
            </w:pPr>
            <w:r w:rsidRPr="0010052A">
              <w:rPr>
                <w:b/>
                <w:sz w:val="22"/>
                <w:szCs w:val="22"/>
                <w:lang w:val="en-GB" w:eastAsia="de-DE"/>
              </w:rPr>
              <w:t>Structural Formulae</w:t>
            </w:r>
          </w:p>
        </w:tc>
        <w:tc>
          <w:tcPr>
            <w:tcW w:w="7713" w:type="dxa"/>
            <w:tcBorders>
              <w:top w:val="single" w:sz="12" w:space="0" w:color="auto"/>
              <w:left w:val="double" w:sz="4" w:space="0" w:color="auto"/>
              <w:bottom w:val="single" w:sz="12" w:space="0" w:color="auto"/>
              <w:right w:val="double" w:sz="6" w:space="0" w:color="auto"/>
            </w:tcBorders>
            <w:vAlign w:val="center"/>
          </w:tcPr>
          <w:p w:rsidR="0010052A" w:rsidRPr="0010052A" w:rsidRDefault="0010052A" w:rsidP="0010052A">
            <w:pPr>
              <w:rPr>
                <w:sz w:val="22"/>
                <w:szCs w:val="22"/>
                <w:lang w:val="en-GB"/>
              </w:rPr>
            </w:pPr>
            <w:r w:rsidRPr="0010052A">
              <w:rPr>
                <w:sz w:val="22"/>
                <w:szCs w:val="22"/>
                <w:lang w:val="en-GB"/>
              </w:rPr>
              <w:t xml:space="preserve">  </w:t>
            </w:r>
            <w:r>
              <w:rPr>
                <w:noProof/>
                <w:sz w:val="22"/>
                <w:szCs w:val="22"/>
                <w:lang w:val="en-GB" w:eastAsia="en-GB"/>
              </w:rPr>
              <w:drawing>
                <wp:inline distT="0" distB="0" distL="0" distR="0" wp14:anchorId="355F2700" wp14:editId="1E680538">
                  <wp:extent cx="1221740" cy="1221740"/>
                  <wp:effectExtent l="0" t="0" r="0" b="0"/>
                  <wp:docPr id="9" name="Picture 9" descr="nitrometh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trometha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1740" cy="1221740"/>
                          </a:xfrm>
                          <a:prstGeom prst="rect">
                            <a:avLst/>
                          </a:prstGeom>
                          <a:noFill/>
                          <a:ln>
                            <a:noFill/>
                          </a:ln>
                        </pic:spPr>
                      </pic:pic>
                    </a:graphicData>
                  </a:graphic>
                </wp:inline>
              </w:drawing>
            </w:r>
            <w:r>
              <w:rPr>
                <w:noProof/>
                <w:sz w:val="22"/>
                <w:szCs w:val="22"/>
                <w:lang w:val="en-GB" w:eastAsia="en-GB"/>
              </w:rPr>
              <w:drawing>
                <wp:inline distT="0" distB="0" distL="0" distR="0" wp14:anchorId="179CF423" wp14:editId="7B4E9E6E">
                  <wp:extent cx="1144905" cy="1191260"/>
                  <wp:effectExtent l="0" t="0" r="0" b="0"/>
                  <wp:docPr id="8" name="Picture 8" descr="nitroeth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itroetha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4905" cy="1191260"/>
                          </a:xfrm>
                          <a:prstGeom prst="rect">
                            <a:avLst/>
                          </a:prstGeom>
                          <a:noFill/>
                          <a:ln>
                            <a:noFill/>
                          </a:ln>
                        </pic:spPr>
                      </pic:pic>
                    </a:graphicData>
                  </a:graphic>
                </wp:inline>
              </w:drawing>
            </w:r>
            <w:r>
              <w:rPr>
                <w:noProof/>
                <w:sz w:val="22"/>
                <w:szCs w:val="22"/>
                <w:lang w:val="en-GB" w:eastAsia="en-GB"/>
              </w:rPr>
              <w:drawing>
                <wp:inline distT="0" distB="0" distL="0" distR="0" wp14:anchorId="1220D940" wp14:editId="113B2653">
                  <wp:extent cx="1090930" cy="1206500"/>
                  <wp:effectExtent l="0" t="0" r="0" b="0"/>
                  <wp:docPr id="7" name="Picture 7" descr="1-ni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nitr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0930" cy="1206500"/>
                          </a:xfrm>
                          <a:prstGeom prst="rect">
                            <a:avLst/>
                          </a:prstGeom>
                          <a:noFill/>
                          <a:ln>
                            <a:noFill/>
                          </a:ln>
                        </pic:spPr>
                      </pic:pic>
                    </a:graphicData>
                  </a:graphic>
                </wp:inline>
              </w:drawing>
            </w:r>
          </w:p>
          <w:p w:rsidR="0010052A" w:rsidRPr="0010052A" w:rsidRDefault="0010052A" w:rsidP="0010052A">
            <w:pPr>
              <w:rPr>
                <w:sz w:val="22"/>
                <w:szCs w:val="22"/>
                <w:lang w:val="en-GB"/>
              </w:rPr>
            </w:pPr>
            <w:r w:rsidRPr="0010052A">
              <w:rPr>
                <w:sz w:val="22"/>
                <w:szCs w:val="22"/>
                <w:lang w:val="en-GB"/>
              </w:rPr>
              <w:t xml:space="preserve">          Nitromethane                 Nitroethane             1-Nitropropane     </w:t>
            </w:r>
          </w:p>
        </w:tc>
      </w:tr>
      <w:tr w:rsidR="0010052A" w:rsidRPr="0010052A" w:rsidTr="000A3308">
        <w:trPr>
          <w:trHeight w:val="1213"/>
        </w:trPr>
        <w:tc>
          <w:tcPr>
            <w:tcW w:w="10478" w:type="dxa"/>
            <w:gridSpan w:val="2"/>
            <w:tcBorders>
              <w:top w:val="single" w:sz="12" w:space="0" w:color="auto"/>
              <w:left w:val="double" w:sz="6" w:space="0" w:color="auto"/>
              <w:bottom w:val="single" w:sz="12" w:space="0" w:color="auto"/>
              <w:right w:val="double" w:sz="6" w:space="0" w:color="auto"/>
            </w:tcBorders>
          </w:tcPr>
          <w:p w:rsidR="0010052A" w:rsidRPr="005A2126" w:rsidRDefault="0010052A" w:rsidP="0010052A">
            <w:pPr>
              <w:spacing w:before="240" w:after="240"/>
              <w:ind w:left="148" w:right="125"/>
              <w:jc w:val="center"/>
              <w:rPr>
                <w:b/>
                <w:sz w:val="22"/>
                <w:szCs w:val="22"/>
                <w:lang w:val="en-GB" w:eastAsia="de-DE"/>
              </w:rPr>
            </w:pPr>
            <w:r w:rsidRPr="005A2126">
              <w:rPr>
                <w:b/>
                <w:sz w:val="22"/>
                <w:szCs w:val="22"/>
                <w:lang w:val="en-GB" w:eastAsia="de-DE"/>
              </w:rPr>
              <w:t>SUMMARY CONCLUSIONS OF THE SIAR</w:t>
            </w:r>
          </w:p>
          <w:p w:rsidR="0010052A" w:rsidRPr="0010052A" w:rsidRDefault="009C4A54" w:rsidP="0010052A">
            <w:pPr>
              <w:widowControl w:val="0"/>
              <w:spacing w:after="120"/>
              <w:ind w:left="148" w:right="125"/>
              <w:jc w:val="both"/>
              <w:rPr>
                <w:b/>
                <w:sz w:val="20"/>
                <w:szCs w:val="20"/>
                <w:lang w:val="en-GB" w:eastAsia="de-DE"/>
              </w:rPr>
            </w:pPr>
            <w:r w:rsidRPr="0010052A">
              <w:rPr>
                <w:b/>
                <w:sz w:val="20"/>
                <w:szCs w:val="20"/>
                <w:lang w:val="en-GB" w:eastAsia="de-DE"/>
              </w:rPr>
              <w:t>Category Justification</w:t>
            </w:r>
          </w:p>
          <w:p w:rsidR="0010052A" w:rsidRPr="0010052A" w:rsidRDefault="0010052A" w:rsidP="0010052A">
            <w:pPr>
              <w:widowControl w:val="0"/>
              <w:spacing w:after="120"/>
              <w:ind w:left="148" w:right="125"/>
              <w:jc w:val="both"/>
              <w:rPr>
                <w:sz w:val="20"/>
                <w:szCs w:val="20"/>
                <w:lang w:val="en-GB" w:eastAsia="de-DE"/>
              </w:rPr>
            </w:pPr>
            <w:r w:rsidRPr="0010052A">
              <w:rPr>
                <w:sz w:val="20"/>
                <w:szCs w:val="20"/>
                <w:lang w:val="en-GB" w:eastAsia="de-DE"/>
              </w:rPr>
              <w:t xml:space="preserve">The short chain nitroparaffins category consists of three structurally related nitroalkanes; nitromethane, nitroethane and 1-nitropropane.  These chemicals are considered a category because of the similarities in structure, and in chemical and toxicological behaviour. The category members are expected to be absorbed, metabolized, and excreted in a similar fashion, resulting in the release of their respective aldehydes and nitrite. </w:t>
            </w:r>
          </w:p>
          <w:p w:rsidR="0010052A" w:rsidRPr="0010052A" w:rsidRDefault="009C4A54" w:rsidP="0010052A">
            <w:pPr>
              <w:widowControl w:val="0"/>
              <w:spacing w:after="120"/>
              <w:ind w:left="148" w:right="125"/>
              <w:jc w:val="both"/>
              <w:rPr>
                <w:b/>
                <w:sz w:val="20"/>
                <w:szCs w:val="20"/>
                <w:lang w:val="en-GB" w:eastAsia="de-DE"/>
              </w:rPr>
            </w:pPr>
            <w:r w:rsidRPr="0010052A">
              <w:rPr>
                <w:b/>
                <w:sz w:val="20"/>
                <w:szCs w:val="20"/>
                <w:lang w:val="en-GB" w:eastAsia="de-DE"/>
              </w:rPr>
              <w:t>Physical-Chemical Properties</w:t>
            </w:r>
          </w:p>
          <w:p w:rsidR="0010052A" w:rsidRPr="0010052A" w:rsidRDefault="0010052A" w:rsidP="0010052A">
            <w:pPr>
              <w:widowControl w:val="0"/>
              <w:spacing w:after="120"/>
              <w:ind w:left="148" w:right="125"/>
              <w:jc w:val="both"/>
              <w:rPr>
                <w:sz w:val="20"/>
                <w:szCs w:val="20"/>
                <w:lang w:val="en-GB" w:eastAsia="de-DE"/>
              </w:rPr>
            </w:pPr>
            <w:r w:rsidRPr="0010052A">
              <w:rPr>
                <w:sz w:val="20"/>
                <w:szCs w:val="20"/>
                <w:lang w:val="en-GB" w:eastAsia="de-DE"/>
              </w:rPr>
              <w:t xml:space="preserve">The category members are liquids at room temperature.  The melting points for nitromethane, nitroethane, and 1-nitropropane are -28.4, -89.5 and -104 </w:t>
            </w:r>
            <w:r w:rsidRPr="0010052A">
              <w:rPr>
                <w:sz w:val="20"/>
                <w:szCs w:val="20"/>
                <w:vertAlign w:val="superscript"/>
                <w:lang w:val="en-GB" w:eastAsia="de-DE"/>
              </w:rPr>
              <w:t>o</w:t>
            </w:r>
            <w:r w:rsidRPr="0010052A">
              <w:rPr>
                <w:sz w:val="20"/>
                <w:szCs w:val="20"/>
                <w:lang w:val="en-GB" w:eastAsia="de-DE"/>
              </w:rPr>
              <w:t xml:space="preserve">C, respectively:  the corresponding boiling points are 101.2, 114 and 131.1 </w:t>
            </w:r>
            <w:r w:rsidRPr="0010052A">
              <w:rPr>
                <w:sz w:val="20"/>
                <w:szCs w:val="20"/>
                <w:vertAlign w:val="superscript"/>
                <w:lang w:val="en-GB" w:eastAsia="de-DE"/>
              </w:rPr>
              <w:t>o</w:t>
            </w:r>
            <w:r w:rsidRPr="0010052A">
              <w:rPr>
                <w:sz w:val="20"/>
                <w:szCs w:val="20"/>
                <w:lang w:val="en-GB" w:eastAsia="de-DE"/>
              </w:rPr>
              <w:t>C.  The vapour pressures are 37.1, 27.7, and 13 hPa at 25</w:t>
            </w:r>
            <w:r w:rsidRPr="0010052A">
              <w:rPr>
                <w:sz w:val="20"/>
                <w:szCs w:val="20"/>
                <w:vertAlign w:val="superscript"/>
                <w:lang w:val="en-GB" w:eastAsia="de-DE"/>
              </w:rPr>
              <w:t>o</w:t>
            </w:r>
            <w:r w:rsidRPr="0010052A">
              <w:rPr>
                <w:sz w:val="20"/>
                <w:szCs w:val="20"/>
                <w:lang w:val="en-GB" w:eastAsia="de-DE"/>
              </w:rPr>
              <w:t>C for nitromethane, nitroethane, and 1-nitropropane, respectively.  The w</w:t>
            </w:r>
            <w:r w:rsidRPr="0010052A">
              <w:rPr>
                <w:snapToGrid w:val="0"/>
                <w:sz w:val="20"/>
                <w:szCs w:val="20"/>
                <w:lang w:val="en-GB" w:eastAsia="de-DE"/>
              </w:rPr>
              <w:t>ater solubility for nitromethane is 111,000 mg/L at 20 ˚C.  The water solubility for nitroethane is 45,000 mg/L at 20 ˚C.  The water solubility for 1-nitropropane is 15,000 mg/L at 25 ˚C.  Water solubility values are based on</w:t>
            </w:r>
            <w:r w:rsidRPr="0010052A">
              <w:rPr>
                <w:sz w:val="20"/>
                <w:szCs w:val="20"/>
                <w:lang w:val="en-GB" w:eastAsia="de-DE"/>
              </w:rPr>
              <w:t xml:space="preserve"> a density of 0.9934-1.1322 g/cm</w:t>
            </w:r>
            <w:r w:rsidRPr="0010052A">
              <w:rPr>
                <w:sz w:val="20"/>
                <w:szCs w:val="20"/>
                <w:vertAlign w:val="superscript"/>
                <w:lang w:val="en-GB" w:eastAsia="de-DE"/>
              </w:rPr>
              <w:t>3</w:t>
            </w:r>
            <w:r w:rsidRPr="0010052A">
              <w:rPr>
                <w:sz w:val="20"/>
                <w:szCs w:val="20"/>
                <w:lang w:val="en-GB" w:eastAsia="de-DE"/>
              </w:rPr>
              <w:t>. The measured log K</w:t>
            </w:r>
            <w:r w:rsidRPr="0010052A">
              <w:rPr>
                <w:sz w:val="20"/>
                <w:szCs w:val="20"/>
                <w:vertAlign w:val="subscript"/>
                <w:lang w:val="en-GB" w:eastAsia="de-DE"/>
              </w:rPr>
              <w:t>ow</w:t>
            </w:r>
            <w:r w:rsidRPr="0010052A">
              <w:rPr>
                <w:sz w:val="20"/>
                <w:szCs w:val="20"/>
                <w:lang w:val="en-GB" w:eastAsia="de-DE"/>
              </w:rPr>
              <w:t xml:space="preserve">s are -0.33, 0.18, and 0.79 for nitromethane, nitroethane, and 1-nitropropane, respectively. </w:t>
            </w:r>
          </w:p>
          <w:p w:rsidR="0010052A" w:rsidRPr="0010052A" w:rsidRDefault="0010052A" w:rsidP="0010052A">
            <w:pPr>
              <w:widowControl w:val="0"/>
              <w:spacing w:after="120"/>
              <w:ind w:left="148" w:right="125"/>
              <w:jc w:val="both"/>
              <w:rPr>
                <w:b/>
                <w:sz w:val="20"/>
                <w:szCs w:val="20"/>
                <w:lang w:val="en-GB" w:eastAsia="de-DE"/>
              </w:rPr>
            </w:pPr>
            <w:r w:rsidRPr="0010052A">
              <w:rPr>
                <w:b/>
                <w:sz w:val="20"/>
                <w:szCs w:val="20"/>
                <w:lang w:val="en-GB" w:eastAsia="de-DE"/>
              </w:rPr>
              <w:t>Human Health</w:t>
            </w:r>
          </w:p>
          <w:p w:rsidR="0010052A" w:rsidRPr="0010052A" w:rsidRDefault="0010052A" w:rsidP="0010052A">
            <w:pPr>
              <w:widowControl w:val="0"/>
              <w:ind w:left="148" w:right="125"/>
              <w:jc w:val="both"/>
              <w:rPr>
                <w:sz w:val="20"/>
                <w:szCs w:val="20"/>
                <w:lang w:val="en-GB" w:eastAsia="de-DE"/>
              </w:rPr>
            </w:pPr>
            <w:r w:rsidRPr="0010052A">
              <w:rPr>
                <w:sz w:val="20"/>
                <w:szCs w:val="20"/>
                <w:lang w:val="en-GB" w:eastAsia="de-DE"/>
              </w:rPr>
              <w:t xml:space="preserve">The skin absorption of </w:t>
            </w:r>
            <w:r w:rsidRPr="0010052A">
              <w:rPr>
                <w:sz w:val="20"/>
                <w:szCs w:val="20"/>
                <w:vertAlign w:val="superscript"/>
                <w:lang w:val="en-GB" w:eastAsia="de-DE"/>
              </w:rPr>
              <w:t>14</w:t>
            </w:r>
            <w:r w:rsidRPr="0010052A">
              <w:rPr>
                <w:sz w:val="20"/>
                <w:szCs w:val="20"/>
                <w:lang w:val="en-GB" w:eastAsia="de-DE"/>
              </w:rPr>
              <w:t xml:space="preserve">C –labelled category members has been studied in female rhesus monkeys and indicates that none of the chemicals are readily absorbed by the skin but are more likely to evaporate before significant amounts of absorption take place.  In rats administered a single oral dose of </w:t>
            </w:r>
            <w:r w:rsidRPr="0010052A">
              <w:rPr>
                <w:sz w:val="20"/>
                <w:szCs w:val="20"/>
                <w:vertAlign w:val="superscript"/>
                <w:lang w:val="en-GB" w:eastAsia="de-DE"/>
              </w:rPr>
              <w:t>14</w:t>
            </w:r>
            <w:r w:rsidRPr="0010052A">
              <w:rPr>
                <w:sz w:val="20"/>
                <w:szCs w:val="20"/>
                <w:lang w:val="en-GB" w:eastAsia="de-DE"/>
              </w:rPr>
              <w:t>C-nitromethane, -nitroethane or -nitropropane approximately 9% was retained in the body five days after dosing with excretion occurring via urine and faeces.  The absorption following a single oral dose was high at approximately 92-96%.  For nitromethane, nitroethane and 1-nitropropane, 19%, 5%, and 14% was excreted in the urine, respectively and 8.5%, 4% and 7% was excreted in the faeces, respectively.  The majority (approximately 64%, 82% and 73%, respectively) of the radioactivity was not accounted for, and was presumed to have been exhaled.  The short chain nitroparaffins are metabolized into nitrites and the respective aldehydes.  In rats inhaling 100 ppm 1-nitropropane for 7 hours, a steady state concentration of approximately 9 µg/ml of the parent compound was obtained after 4 hours of exposure.  The elimination T</w:t>
            </w:r>
            <w:r w:rsidRPr="0010052A">
              <w:rPr>
                <w:sz w:val="20"/>
                <w:szCs w:val="20"/>
                <w:vertAlign w:val="subscript"/>
                <w:lang w:val="en-GB" w:eastAsia="de-DE"/>
              </w:rPr>
              <w:t>1/2</w:t>
            </w:r>
            <w:r w:rsidRPr="0010052A">
              <w:rPr>
                <w:sz w:val="20"/>
                <w:szCs w:val="20"/>
                <w:lang w:val="en-GB" w:eastAsia="de-DE"/>
              </w:rPr>
              <w:t xml:space="preserve"> (half-life) was 98 minutes.</w:t>
            </w:r>
          </w:p>
          <w:p w:rsidR="0010052A" w:rsidRPr="0010052A" w:rsidRDefault="0010052A" w:rsidP="000A3308">
            <w:pPr>
              <w:widowControl w:val="0"/>
              <w:spacing w:before="240" w:after="120"/>
              <w:ind w:left="148" w:right="125"/>
              <w:jc w:val="both"/>
              <w:rPr>
                <w:sz w:val="20"/>
                <w:szCs w:val="20"/>
                <w:lang w:val="en-GB" w:eastAsia="de-DE"/>
              </w:rPr>
            </w:pPr>
            <w:r w:rsidRPr="0010052A">
              <w:rPr>
                <w:sz w:val="20"/>
                <w:szCs w:val="20"/>
                <w:lang w:val="en-GB" w:eastAsia="de-DE"/>
              </w:rPr>
              <w:t>Acute toxicity data are available for the inhalation, dermal and oral routes. The inhalation LC</w:t>
            </w:r>
            <w:r w:rsidRPr="0010052A">
              <w:rPr>
                <w:sz w:val="20"/>
                <w:szCs w:val="20"/>
                <w:vertAlign w:val="subscript"/>
                <w:lang w:val="en-GB" w:eastAsia="de-DE"/>
              </w:rPr>
              <w:t>50</w:t>
            </w:r>
            <w:r w:rsidRPr="0010052A">
              <w:rPr>
                <w:sz w:val="20"/>
                <w:szCs w:val="20"/>
                <w:lang w:val="en-GB" w:eastAsia="de-DE"/>
              </w:rPr>
              <w:t xml:space="preserve"> for nitromethane vapour in rats was &gt;12.75 mg/L for 1 hour (within a 48-hour post-exposure observation period).  Clinical signs from this study included mild sedation and eye irritation. The oral LD</w:t>
            </w:r>
            <w:r w:rsidRPr="0010052A">
              <w:rPr>
                <w:sz w:val="20"/>
                <w:szCs w:val="20"/>
                <w:vertAlign w:val="subscript"/>
                <w:lang w:val="en-GB" w:eastAsia="de-DE"/>
              </w:rPr>
              <w:t>50</w:t>
            </w:r>
            <w:r w:rsidRPr="0010052A">
              <w:rPr>
                <w:sz w:val="20"/>
                <w:szCs w:val="20"/>
                <w:lang w:val="en-GB" w:eastAsia="de-DE"/>
              </w:rPr>
              <w:t>s for nitromethane, nitroethane and 1-nitropropane in rats were 1478 mg/kg-bw, 1256 mg/kg-bw and</w:t>
            </w:r>
            <w:r w:rsidRPr="0010052A" w:rsidDel="007C256E">
              <w:rPr>
                <w:sz w:val="20"/>
                <w:szCs w:val="20"/>
                <w:lang w:val="en-GB" w:eastAsia="de-DE"/>
              </w:rPr>
              <w:t xml:space="preserve"> </w:t>
            </w:r>
            <w:r w:rsidRPr="0010052A">
              <w:rPr>
                <w:sz w:val="20"/>
                <w:szCs w:val="20"/>
                <w:lang w:val="en-GB" w:eastAsia="de-DE"/>
              </w:rPr>
              <w:t>506 mg/kg-bw, respectively.  Clinical signs of oral toxicity included ataxia and convulsions.  At necropsy, severe intestinal haemorrhaging was seen.  The 24-hr dermal LD</w:t>
            </w:r>
            <w:r w:rsidRPr="0010052A">
              <w:rPr>
                <w:sz w:val="20"/>
                <w:szCs w:val="20"/>
                <w:vertAlign w:val="subscript"/>
                <w:lang w:val="en-GB" w:eastAsia="de-DE"/>
              </w:rPr>
              <w:t>50</w:t>
            </w:r>
            <w:r w:rsidRPr="0010052A">
              <w:rPr>
                <w:sz w:val="20"/>
                <w:szCs w:val="20"/>
                <w:lang w:val="en-GB" w:eastAsia="de-DE"/>
              </w:rPr>
              <w:t xml:space="preserve">s of all three category members were greater than 2000 mg/kg-bw in rabbits under occlusion.  No clinical signs of toxicity were observed.  The category members are not irritating to slightly irritating (nitroethane) to the skin. Nitromethane, nitroethane and 1-nitropropane are slightly </w:t>
            </w:r>
            <w:proofErr w:type="gramStart"/>
            <w:r w:rsidRPr="0010052A">
              <w:rPr>
                <w:sz w:val="20"/>
                <w:szCs w:val="20"/>
                <w:lang w:val="en-GB" w:eastAsia="de-DE"/>
              </w:rPr>
              <w:t>to</w:t>
            </w:r>
            <w:proofErr w:type="gramEnd"/>
            <w:r w:rsidRPr="0010052A">
              <w:rPr>
                <w:sz w:val="20"/>
                <w:szCs w:val="20"/>
                <w:lang w:val="en-GB" w:eastAsia="de-DE"/>
              </w:rPr>
              <w:t xml:space="preserve"> moderately irritating to the eyes.</w:t>
            </w:r>
          </w:p>
          <w:p w:rsidR="0010052A" w:rsidRPr="0010052A" w:rsidRDefault="0010052A" w:rsidP="0010052A">
            <w:pPr>
              <w:tabs>
                <w:tab w:val="left" w:pos="8280"/>
              </w:tabs>
              <w:spacing w:after="120"/>
              <w:ind w:left="148" w:right="125"/>
              <w:jc w:val="both"/>
              <w:rPr>
                <w:sz w:val="20"/>
                <w:szCs w:val="20"/>
                <w:lang w:val="en-GB" w:eastAsia="de-DE"/>
              </w:rPr>
            </w:pPr>
            <w:r w:rsidRPr="0010052A">
              <w:rPr>
                <w:sz w:val="20"/>
                <w:szCs w:val="20"/>
                <w:lang w:val="en-GB" w:eastAsia="de-DE"/>
              </w:rPr>
              <w:t xml:space="preserve">In an NTP study, rats were exposed to nitromethane vapour at 94, 188, 375, 750, or 1500 ppm (0.23, 0.46, 0.94, 1.87, or 3.74 mg/L) via inhalation for 6 hours/day, 5 days/week for 13 weeks.  Animals exhibited changes in haematology indicative of slight anaemia at all concentrations resulting in a systemic LOAEC of 94 ppm (0.23 mg/L).  Other effects in this study included increased methaemoglobin and thyroid effects at </w:t>
            </w:r>
            <w:r w:rsidRPr="0010052A">
              <w:rPr>
                <w:sz w:val="20"/>
                <w:szCs w:val="20"/>
                <w:u w:val="single"/>
                <w:lang w:val="en-GB" w:eastAsia="de-DE"/>
              </w:rPr>
              <w:t>&gt;</w:t>
            </w:r>
            <w:r w:rsidRPr="0010052A">
              <w:rPr>
                <w:sz w:val="20"/>
                <w:szCs w:val="20"/>
                <w:lang w:val="en-GB" w:eastAsia="de-DE"/>
              </w:rPr>
              <w:t xml:space="preserve"> 188 ppm (0.46 mg/L), sciatic nerve and spinal cord degeneration and bone marrow hyperplasia at </w:t>
            </w:r>
            <w:r w:rsidRPr="0010052A">
              <w:rPr>
                <w:sz w:val="20"/>
                <w:szCs w:val="20"/>
                <w:u w:val="single"/>
                <w:lang w:val="en-GB" w:eastAsia="de-DE"/>
              </w:rPr>
              <w:t>&gt;</w:t>
            </w:r>
            <w:r w:rsidRPr="0010052A">
              <w:rPr>
                <w:sz w:val="20"/>
                <w:szCs w:val="20"/>
                <w:lang w:val="en-GB" w:eastAsia="de-DE"/>
              </w:rPr>
              <w:t xml:space="preserve"> 375 ppm (0.94 mg/L), hind limb paralysis and decreased strength at 750 ppm (1.87 mg/L) and higher.  Changes in various organ weights were also observed at </w:t>
            </w:r>
            <w:r w:rsidRPr="0010052A">
              <w:rPr>
                <w:sz w:val="20"/>
                <w:szCs w:val="20"/>
                <w:u w:val="single"/>
                <w:lang w:val="en-GB" w:eastAsia="de-DE"/>
              </w:rPr>
              <w:t>&gt;</w:t>
            </w:r>
            <w:r w:rsidRPr="0010052A">
              <w:rPr>
                <w:sz w:val="20"/>
                <w:szCs w:val="20"/>
                <w:lang w:val="en-GB" w:eastAsia="de-DE"/>
              </w:rPr>
              <w:t xml:space="preserve"> 188 ppm (0.46 mg/L).  Degeneration of the nasal epithelium resulted in a local NOAEC of 188 ppm (0.46 mg/L).  All lesions in this study were characterized as minimal to mild.  In another study, rats exposed to nitromethane vapour at 98 and 745 ppm (0.26 and 1.86 mg/L) for 7 hours/day, 5 days/week up to 24 weeks exhibited reduced body weight gains, decreased haemoglobin and haematocrit and increased thyroid weights at 745 ppm (1.86 mg/L), resulting in a systemic NOAEC of 98 ppm (0.26 mg/L).  Rabbits exposed in this study had thyroid effects at both doses resulting in a LOAEC of 98 ppm (0.26 mg/L).  In another NTP study, mice exposed to nitromethane vapour for 6 hours/day, 5 days/week for 13 weeks at the same doses used in the rat 13-week study exhibited minimal increases in kidney weights at all concentrations.  Sperm motility was decreased and oestrous cycle length and spleen toxicity were increased at 375 ppm (0.94 mg/L) and higher.  Lesions were characterized as mild/minimal.  Based on differences in multiple organ weights and effects on sperm motility and oestrous cycle length, the systemic NOAEC is 188 ppm (0.47 mg/L).  Based on nasal degeneration, which increased in severity with test concentrations, the local NOAEC is 94 ppm (0.23 mg/L).</w:t>
            </w:r>
          </w:p>
          <w:p w:rsidR="0010052A" w:rsidRPr="0010052A" w:rsidRDefault="0010052A" w:rsidP="0010052A">
            <w:pPr>
              <w:widowControl w:val="0"/>
              <w:spacing w:after="120"/>
              <w:ind w:left="148" w:right="125"/>
              <w:jc w:val="both"/>
              <w:rPr>
                <w:sz w:val="20"/>
                <w:szCs w:val="20"/>
                <w:lang w:val="en-GB" w:eastAsia="de-DE"/>
              </w:rPr>
            </w:pPr>
            <w:r w:rsidRPr="0010052A">
              <w:rPr>
                <w:sz w:val="20"/>
                <w:szCs w:val="20"/>
                <w:lang w:val="en-GB" w:eastAsia="de-DE"/>
              </w:rPr>
              <w:t xml:space="preserve">Rats were exposed to nitroethane vapour at 100, 350 or 1000 ppm (0.31, 1.0 or 3.0 mg/L) for 6 hrs/day, 5 days/week for 13 weeks.  Animals exhibited changes in haematology at all concentrations.  Minimal changes in the histopathology of the spleen and salivary glands and time-dependent increase in methaemoglobinemia occurred at all concentrations. Fatty livers were also noted at higher concentrations. The systemic LOAEC was 100 ppm (0.31 mg/L); the NOAEC was not established.  Increased nasal degeneration versus controls occurred at </w:t>
            </w:r>
            <w:r w:rsidRPr="0010052A">
              <w:rPr>
                <w:sz w:val="20"/>
                <w:szCs w:val="20"/>
                <w:u w:val="single"/>
                <w:lang w:val="en-GB" w:eastAsia="de-DE"/>
              </w:rPr>
              <w:t>&gt;</w:t>
            </w:r>
            <w:r w:rsidRPr="0010052A">
              <w:rPr>
                <w:sz w:val="20"/>
                <w:szCs w:val="20"/>
                <w:lang w:val="en-GB" w:eastAsia="de-DE"/>
              </w:rPr>
              <w:t xml:space="preserve"> 350 ppm (1.0 mg/L) resulting in a local NOAEC of 100 ppm (0.31 mg/L).  In mice exposed to nitroethane vapour for 6 hrs/day, 5 days/week for 13 weeks, organ weight changes and effects on kidney (changes in relative weight and blood urea nitrogen) were seen at all concentration (</w:t>
            </w:r>
            <w:r w:rsidRPr="0010052A">
              <w:rPr>
                <w:sz w:val="20"/>
                <w:szCs w:val="20"/>
                <w:u w:val="single"/>
                <w:lang w:val="en-GB" w:eastAsia="de-DE"/>
              </w:rPr>
              <w:t>&gt;</w:t>
            </w:r>
            <w:r w:rsidRPr="0010052A">
              <w:rPr>
                <w:sz w:val="20"/>
                <w:szCs w:val="20"/>
                <w:lang w:val="en-GB" w:eastAsia="de-DE"/>
              </w:rPr>
              <w:t xml:space="preserve"> 100 ppm).  At </w:t>
            </w:r>
            <w:r w:rsidRPr="0010052A">
              <w:rPr>
                <w:sz w:val="20"/>
                <w:szCs w:val="20"/>
                <w:u w:val="single"/>
                <w:lang w:val="en-GB" w:eastAsia="de-DE"/>
              </w:rPr>
              <w:t>&gt;</w:t>
            </w:r>
            <w:r w:rsidRPr="0010052A">
              <w:rPr>
                <w:sz w:val="20"/>
                <w:szCs w:val="20"/>
                <w:lang w:val="en-GB" w:eastAsia="de-DE"/>
              </w:rPr>
              <w:t xml:space="preserve"> 350 ppm (1.0 mg/L), methaemoglobin was increased and haematology and liver effects were observed.  At the highest concentration, multinucleated spermatids were observed in testes.  Based on kidney effects, the systemic LOAEC is 100 ppm (0.31 mg/L); no systemic NOAEC was established.  Changes in nasal turbinates resulted in a local NOAEC of 100 ppm (0.31 mg/L).  </w:t>
            </w:r>
          </w:p>
          <w:p w:rsidR="0010052A" w:rsidRPr="0010052A" w:rsidRDefault="0010052A" w:rsidP="0010052A">
            <w:pPr>
              <w:widowControl w:val="0"/>
              <w:spacing w:after="120"/>
              <w:ind w:left="148" w:right="125"/>
              <w:jc w:val="both"/>
              <w:rPr>
                <w:sz w:val="20"/>
                <w:szCs w:val="20"/>
                <w:lang w:val="en-GB" w:eastAsia="de-DE"/>
              </w:rPr>
            </w:pPr>
            <w:r w:rsidRPr="0010052A">
              <w:rPr>
                <w:sz w:val="20"/>
                <w:szCs w:val="20"/>
                <w:lang w:val="en-GB" w:eastAsia="de-DE"/>
              </w:rPr>
              <w:t xml:space="preserve">In a combined inhalation repeated-dose/reproductive developmental screening test (OECD TG 422) rats were exposed to 1-nitropropane vapour at 24, 48, or 96 ppm (0.088, 0.18, or 0.35 mg/L), 6 hr/day, 7 days/week for at least 28 days.  At 96 ppm (0.35 mg/L), there was decreased food consumption in both sexes, and slightly decreased body weights of males (by 6.9%) prior to mating.  The systemic NOAEC is 96 ppm (0.35 mg/L) the highest dose tested. Histopathologic changes in the nasal tissues were seen at increased incidences at </w:t>
            </w:r>
            <w:r w:rsidRPr="0010052A">
              <w:rPr>
                <w:sz w:val="20"/>
                <w:szCs w:val="20"/>
                <w:u w:val="single"/>
                <w:lang w:val="en-GB" w:eastAsia="de-DE"/>
              </w:rPr>
              <w:t>&gt;</w:t>
            </w:r>
            <w:r w:rsidRPr="0010052A">
              <w:rPr>
                <w:sz w:val="20"/>
                <w:szCs w:val="20"/>
                <w:lang w:val="en-GB" w:eastAsia="de-DE"/>
              </w:rPr>
              <w:t xml:space="preserve"> 48 ppm. Based on these findings, the local NOAEC was 24 ppm (0.085 mg/L).  In a 28-day oral gavage study, rats were exposed to 10, 30, or 100 mg/kg bw/day.  At 100 mg/kg bw/day, rats showed clinical signs that included ataxia, salivation, hunched posture.  Other effects included significant increases in absolute and relative brain weights without corresponding morphologic changes, multiple changes in clinical chemistry and haematology parameters, and increased methaemoglobin.  Although certain effects occurred at lower doses, they were minimal, transient and/or not dose-dependent.  Based on effects at 100 mg/kg bw/day, the NOAEL was established as 30 mg/kg bw/day.</w:t>
            </w:r>
          </w:p>
          <w:p w:rsidR="0010052A" w:rsidRPr="0010052A" w:rsidRDefault="0010052A" w:rsidP="0010052A">
            <w:pPr>
              <w:widowControl w:val="0"/>
              <w:spacing w:after="120"/>
              <w:ind w:left="148" w:right="125"/>
              <w:jc w:val="both"/>
              <w:rPr>
                <w:sz w:val="20"/>
                <w:szCs w:val="20"/>
                <w:lang w:val="en-GB" w:eastAsia="de-DE"/>
              </w:rPr>
            </w:pPr>
            <w:r w:rsidRPr="0010052A">
              <w:rPr>
                <w:i/>
                <w:sz w:val="20"/>
                <w:szCs w:val="20"/>
                <w:lang w:val="en-GB" w:eastAsia="de-DE"/>
              </w:rPr>
              <w:t>In vitro</w:t>
            </w:r>
            <w:r w:rsidRPr="0010052A">
              <w:rPr>
                <w:sz w:val="20"/>
                <w:szCs w:val="20"/>
                <w:lang w:val="en-GB" w:eastAsia="de-DE"/>
              </w:rPr>
              <w:t xml:space="preserve"> bacterial mutagenicity studies are available for nitromethane, nitroethane, and 1-nitropropane.  Nitromethane and 1-nitropropane have been tested for chromosomal aberrations </w:t>
            </w:r>
            <w:r w:rsidRPr="0010052A">
              <w:rPr>
                <w:i/>
                <w:sz w:val="20"/>
                <w:szCs w:val="20"/>
                <w:lang w:val="en-GB" w:eastAsia="de-DE"/>
              </w:rPr>
              <w:t>in vitro</w:t>
            </w:r>
            <w:r w:rsidRPr="0010052A">
              <w:rPr>
                <w:sz w:val="20"/>
                <w:szCs w:val="20"/>
                <w:lang w:val="en-GB" w:eastAsia="de-DE"/>
              </w:rPr>
              <w:t xml:space="preserve">. </w:t>
            </w:r>
            <w:r w:rsidRPr="0010052A">
              <w:rPr>
                <w:i/>
                <w:sz w:val="20"/>
                <w:szCs w:val="20"/>
                <w:lang w:val="en-GB" w:eastAsia="de-DE"/>
              </w:rPr>
              <w:t xml:space="preserve"> In vivo</w:t>
            </w:r>
            <w:r w:rsidRPr="0010052A">
              <w:rPr>
                <w:sz w:val="20"/>
                <w:szCs w:val="20"/>
                <w:lang w:val="en-GB" w:eastAsia="de-DE"/>
              </w:rPr>
              <w:t xml:space="preserve"> genotoxicity was evaluated in all three category members.  High concentrations of nitromethane and nitroethane in air did not induce gene mutations in bacteria.  1-Nitropropane also did not induce gene mutations in bacteria.  1-Nitropropane did not induce micronuclei in mouse or rat bone marrow </w:t>
            </w:r>
            <w:r w:rsidRPr="0010052A">
              <w:rPr>
                <w:i/>
                <w:sz w:val="20"/>
                <w:szCs w:val="20"/>
                <w:lang w:val="en-GB" w:eastAsia="de-DE"/>
              </w:rPr>
              <w:t xml:space="preserve">in vivo </w:t>
            </w:r>
            <w:r w:rsidRPr="0010052A">
              <w:rPr>
                <w:sz w:val="20"/>
                <w:szCs w:val="20"/>
                <w:lang w:val="en-GB" w:eastAsia="de-DE"/>
              </w:rPr>
              <w:t xml:space="preserve">but was positive for micronuclei in rat liver cells </w:t>
            </w:r>
            <w:r w:rsidRPr="0010052A">
              <w:rPr>
                <w:i/>
                <w:sz w:val="20"/>
                <w:szCs w:val="20"/>
                <w:lang w:val="en-GB" w:eastAsia="de-DE"/>
              </w:rPr>
              <w:t xml:space="preserve">in vivo.  </w:t>
            </w:r>
            <w:r w:rsidRPr="0010052A">
              <w:rPr>
                <w:sz w:val="20"/>
                <w:szCs w:val="20"/>
                <w:lang w:val="en-GB" w:eastAsia="de-DE"/>
              </w:rPr>
              <w:t xml:space="preserve">The members of the short chain nitroparaffins category did not result in genotoxicity </w:t>
            </w:r>
            <w:r w:rsidRPr="0010052A">
              <w:rPr>
                <w:i/>
                <w:sz w:val="20"/>
                <w:szCs w:val="20"/>
                <w:lang w:val="en-GB" w:eastAsia="de-DE"/>
              </w:rPr>
              <w:t>in vitro,</w:t>
            </w:r>
            <w:r w:rsidRPr="0010052A">
              <w:rPr>
                <w:sz w:val="20"/>
                <w:szCs w:val="20"/>
                <w:lang w:val="en-GB" w:eastAsia="de-DE"/>
              </w:rPr>
              <w:t xml:space="preserve"> but may result in genotoxicity </w:t>
            </w:r>
            <w:r w:rsidRPr="0010052A">
              <w:rPr>
                <w:i/>
                <w:sz w:val="20"/>
                <w:szCs w:val="20"/>
                <w:lang w:val="en-GB" w:eastAsia="de-DE"/>
              </w:rPr>
              <w:t>in vivo.</w:t>
            </w:r>
            <w:r w:rsidRPr="0010052A">
              <w:rPr>
                <w:sz w:val="20"/>
                <w:szCs w:val="20"/>
                <w:lang w:val="en-GB" w:eastAsia="de-DE"/>
              </w:rPr>
              <w:t xml:space="preserve"> </w:t>
            </w:r>
          </w:p>
          <w:p w:rsidR="0010052A" w:rsidRPr="0010052A" w:rsidRDefault="0010052A" w:rsidP="0010052A">
            <w:pPr>
              <w:widowControl w:val="0"/>
              <w:spacing w:after="120"/>
              <w:ind w:left="148" w:right="125"/>
              <w:jc w:val="both"/>
              <w:rPr>
                <w:sz w:val="20"/>
                <w:szCs w:val="20"/>
                <w:lang w:val="en-GB" w:eastAsia="de-DE"/>
              </w:rPr>
            </w:pPr>
            <w:r w:rsidRPr="0010052A">
              <w:rPr>
                <w:sz w:val="20"/>
                <w:szCs w:val="20"/>
                <w:lang w:val="en-GB" w:eastAsia="de-DE"/>
              </w:rPr>
              <w:t xml:space="preserve">Nitromethane was carcinogenic in mice (B6C3F1) and female rats (F344) via the inhalation route at concentrations </w:t>
            </w:r>
            <w:r w:rsidRPr="0010052A">
              <w:rPr>
                <w:rFonts w:ascii="Tahoma" w:hAnsi="Tahoma" w:cs="Tahoma"/>
                <w:sz w:val="20"/>
                <w:szCs w:val="20"/>
                <w:lang w:val="en-GB" w:eastAsia="de-DE"/>
              </w:rPr>
              <w:t>≥</w:t>
            </w:r>
            <w:r w:rsidRPr="0010052A">
              <w:rPr>
                <w:sz w:val="20"/>
                <w:szCs w:val="20"/>
                <w:lang w:val="en-GB" w:eastAsia="de-DE"/>
              </w:rPr>
              <w:t xml:space="preserve"> 188 ppm.  However, nitroethane and 1-nitropropane were not carcinogenic in Long-Evans rats via the inhalation route at concentrations of 200 and 100 ppm respectively.  Based on differences in doses, animal species and use of only one species in nitroethane and 1-nitropropane carcinogenicity studies, firm conclusions regarding carcinogenicity were not possible.</w:t>
            </w:r>
          </w:p>
          <w:p w:rsidR="0010052A" w:rsidRPr="0010052A" w:rsidRDefault="0010052A" w:rsidP="0010052A">
            <w:pPr>
              <w:widowControl w:val="0"/>
              <w:spacing w:after="120"/>
              <w:ind w:left="148" w:right="125"/>
              <w:jc w:val="both"/>
              <w:rPr>
                <w:sz w:val="20"/>
                <w:szCs w:val="20"/>
                <w:lang w:val="en-GB" w:eastAsia="de-DE"/>
              </w:rPr>
            </w:pPr>
            <w:r w:rsidRPr="0010052A">
              <w:rPr>
                <w:sz w:val="20"/>
                <w:szCs w:val="20"/>
                <w:lang w:val="en-GB" w:eastAsia="de-DE"/>
              </w:rPr>
              <w:t xml:space="preserve">Reproductive organs and performance were evaluated in repeated-dose toxicity </w:t>
            </w:r>
            <w:proofErr w:type="gramStart"/>
            <w:r w:rsidRPr="0010052A">
              <w:rPr>
                <w:sz w:val="20"/>
                <w:szCs w:val="20"/>
                <w:lang w:val="en-GB" w:eastAsia="de-DE"/>
              </w:rPr>
              <w:t>studies,</w:t>
            </w:r>
            <w:proofErr w:type="gramEnd"/>
            <w:r w:rsidRPr="0010052A">
              <w:rPr>
                <w:sz w:val="20"/>
                <w:szCs w:val="20"/>
                <w:lang w:val="en-GB" w:eastAsia="de-DE"/>
              </w:rPr>
              <w:t xml:space="preserve"> and. data for 1-nitropropane are available from the OECD TG 422 study. No histopathological effects were observed in the reproductive organs of rats or mice exposed via inhalation to nitromethane or nitroethane.  However, a significant decrease in sperm motility was noted in male rats exposed to 750 ppm (1.87 mg/L</w:t>
            </w:r>
            <w:proofErr w:type="gramStart"/>
            <w:r w:rsidRPr="0010052A">
              <w:rPr>
                <w:sz w:val="20"/>
                <w:szCs w:val="20"/>
                <w:lang w:val="en-GB" w:eastAsia="de-DE"/>
              </w:rPr>
              <w:t>)and</w:t>
            </w:r>
            <w:proofErr w:type="gramEnd"/>
            <w:r w:rsidRPr="0010052A">
              <w:rPr>
                <w:sz w:val="20"/>
                <w:szCs w:val="20"/>
                <w:lang w:val="en-GB" w:eastAsia="de-DE"/>
              </w:rPr>
              <w:t xml:space="preserve"> 1500 ppm (3.74 mg/L) nitromethane.  Male rats also had decreased cauda, epididymis and testes weights.  Also, a decrease in sperm motility and an increase in oestrous cycle length were noted in mice exposed to </w:t>
            </w:r>
            <w:r w:rsidRPr="0010052A">
              <w:rPr>
                <w:sz w:val="20"/>
                <w:szCs w:val="20"/>
                <w:u w:val="single"/>
                <w:lang w:val="en-GB" w:eastAsia="de-DE"/>
              </w:rPr>
              <w:t>&gt;</w:t>
            </w:r>
            <w:r w:rsidRPr="0010052A">
              <w:rPr>
                <w:sz w:val="20"/>
                <w:szCs w:val="20"/>
                <w:lang w:val="en-GB" w:eastAsia="de-DE"/>
              </w:rPr>
              <w:t xml:space="preserve"> 375 ppm (</w:t>
            </w:r>
            <w:r w:rsidRPr="0010052A">
              <w:rPr>
                <w:sz w:val="20"/>
                <w:szCs w:val="20"/>
                <w:u w:val="single"/>
                <w:lang w:val="en-GB" w:eastAsia="de-DE"/>
              </w:rPr>
              <w:t>&gt;</w:t>
            </w:r>
            <w:r w:rsidRPr="0010052A">
              <w:rPr>
                <w:sz w:val="20"/>
                <w:szCs w:val="20"/>
                <w:lang w:val="en-GB" w:eastAsia="de-DE"/>
              </w:rPr>
              <w:t xml:space="preserve"> 0.94 mg/L) nitromethane.  At 1000 ppm (3.0 mg/L) nitroethane, multinucleated spermatids were observed in testes of male mice.  In the combined repeated-dose/reproductive/developmental toxicity screening test with 1-nitropropane, rats were exposed via inhalation for 6 hours/day, 7 days/week beginning 14 days prior to mating, during mating and for females, through gestation day 19.  In parents, body weights of males were slightly decreased at 96 ppm (0.35 mg/L) and changes in nasal tissues were seen at </w:t>
            </w:r>
            <w:r w:rsidRPr="0010052A">
              <w:rPr>
                <w:sz w:val="20"/>
                <w:szCs w:val="20"/>
                <w:u w:val="single"/>
                <w:lang w:val="en-GB" w:eastAsia="de-DE"/>
              </w:rPr>
              <w:t>&gt;</w:t>
            </w:r>
            <w:r w:rsidRPr="0010052A">
              <w:rPr>
                <w:sz w:val="20"/>
                <w:szCs w:val="20"/>
                <w:lang w:val="en-GB" w:eastAsia="de-DE"/>
              </w:rPr>
              <w:t xml:space="preserve"> 48 ppm (0.18 mg/L), resulting in a local NOAEC of 24 ppm (0.088 mg/L).  At 96 ppm (0.35 mg/L), litter sizes and mean numbers of pups born live were decreased, resulting in a NOAEC for reproductive/developmental toxicity of 48 ppm (0.18 mg/L). The category members showed potential for reproductive/developmental toxicity; data on developmental effects were limited to gross observations in the OECD 422 study. </w:t>
            </w:r>
          </w:p>
          <w:p w:rsidR="0010052A" w:rsidRPr="0010052A" w:rsidRDefault="0010052A" w:rsidP="0010052A">
            <w:pPr>
              <w:widowControl w:val="0"/>
              <w:spacing w:after="240"/>
              <w:ind w:left="148" w:right="125"/>
              <w:jc w:val="both"/>
              <w:rPr>
                <w:b/>
                <w:sz w:val="20"/>
                <w:szCs w:val="20"/>
                <w:lang w:val="en-GB" w:eastAsia="de-DE"/>
              </w:rPr>
            </w:pPr>
            <w:r w:rsidRPr="0010052A">
              <w:rPr>
                <w:b/>
                <w:sz w:val="20"/>
                <w:szCs w:val="20"/>
                <w:lang w:val="en-GB" w:eastAsia="de-DE"/>
              </w:rPr>
              <w:t xml:space="preserve">The category members possess properties indicating a hazard for human health (acute oral toxicity, repeated-dose toxicity, reproductive/developmental toxicity, genotoxicity and carcinogenicity).  Adequate screening-level data are available to characterize the human health hazard for the purposes of the OECD HPV Chemicals Programme.  </w:t>
            </w:r>
          </w:p>
          <w:p w:rsidR="0010052A" w:rsidRPr="0010052A" w:rsidRDefault="0010052A" w:rsidP="0010052A">
            <w:pPr>
              <w:widowControl w:val="0"/>
              <w:spacing w:after="120"/>
              <w:ind w:left="148" w:right="125"/>
              <w:jc w:val="both"/>
              <w:rPr>
                <w:b/>
                <w:sz w:val="20"/>
                <w:szCs w:val="20"/>
                <w:lang w:val="en-GB" w:eastAsia="de-DE"/>
              </w:rPr>
            </w:pPr>
            <w:r w:rsidRPr="0010052A">
              <w:rPr>
                <w:b/>
                <w:sz w:val="20"/>
                <w:szCs w:val="20"/>
                <w:lang w:val="en-GB" w:eastAsia="de-DE"/>
              </w:rPr>
              <w:t>Environment</w:t>
            </w:r>
          </w:p>
          <w:p w:rsidR="0010052A" w:rsidRPr="0010052A" w:rsidRDefault="0010052A" w:rsidP="0010052A">
            <w:pPr>
              <w:widowControl w:val="0"/>
              <w:spacing w:after="120"/>
              <w:ind w:left="148" w:right="125"/>
              <w:jc w:val="both"/>
              <w:rPr>
                <w:bCs/>
                <w:sz w:val="20"/>
                <w:szCs w:val="20"/>
                <w:lang w:val="en-GB"/>
              </w:rPr>
            </w:pPr>
            <w:r w:rsidRPr="0010052A">
              <w:rPr>
                <w:sz w:val="20"/>
                <w:szCs w:val="20"/>
                <w:lang w:val="en-GB"/>
              </w:rPr>
              <w:t xml:space="preserve">Experimental photolysis data are available for nitromethane, nitroethane, and 1-nitropropane using radiolabeled test material irradiated by a mercury vapour lamp.  Results after 17 hours indicate 35.2% degradation of nitromethane, 23.9% degradation of nitroethane, and 54.8% degradation of 1-nitropropane.  Indirect photolysis half-lives for the three nitroparaffins range from (approximately) 25-82.3 days.  </w:t>
            </w:r>
            <w:r w:rsidRPr="0010052A">
              <w:rPr>
                <w:bCs/>
                <w:sz w:val="20"/>
                <w:szCs w:val="20"/>
                <w:lang w:val="en-GB"/>
              </w:rPr>
              <w:t xml:space="preserve">Abiotic hydrolysis of these materials is unlikely.  These nitroparaffins have no functional groups that are subject to hydrolysis or degradation in water at room temperature with neutral pHs.  The organo-nitro group is stable in water under these conditions.  </w:t>
            </w:r>
          </w:p>
          <w:p w:rsidR="0010052A" w:rsidRPr="0010052A" w:rsidRDefault="0010052A" w:rsidP="0010052A">
            <w:pPr>
              <w:widowControl w:val="0"/>
              <w:spacing w:after="120"/>
              <w:ind w:left="148" w:right="125"/>
              <w:jc w:val="both"/>
              <w:rPr>
                <w:sz w:val="20"/>
                <w:szCs w:val="20"/>
                <w:lang w:val="en-GB" w:eastAsia="de-DE"/>
              </w:rPr>
            </w:pPr>
            <w:r w:rsidRPr="0010052A">
              <w:rPr>
                <w:sz w:val="20"/>
                <w:szCs w:val="20"/>
                <w:lang w:val="en-GB" w:eastAsia="de-DE"/>
              </w:rPr>
              <w:t>Distribution (fugacity) modelling using Mackay Level III indicates that the category members released into the air compartment (most likely emission scenario based on use pattern and physical/chemical properties) will partition predominantly to air (69.1%, 91.2%, 88.7% for nitromethane, nitroethane, and 1-nitropropane, respectively), water (19.1%, 12.0%, 7.3%, respectively), soil (11.8%, 6.8%, 4.1%, respectively), and sediment (&lt;0.1% for all three).</w:t>
            </w:r>
          </w:p>
          <w:p w:rsidR="0010052A" w:rsidRPr="0010052A" w:rsidRDefault="0010052A" w:rsidP="0010052A">
            <w:pPr>
              <w:autoSpaceDE w:val="0"/>
              <w:autoSpaceDN w:val="0"/>
              <w:ind w:left="148" w:right="125"/>
              <w:jc w:val="both"/>
              <w:rPr>
                <w:sz w:val="20"/>
                <w:szCs w:val="20"/>
                <w:lang w:val="en-GB"/>
              </w:rPr>
            </w:pPr>
            <w:r w:rsidRPr="0010052A">
              <w:rPr>
                <w:sz w:val="20"/>
                <w:szCs w:val="20"/>
                <w:lang w:val="en-GB"/>
              </w:rPr>
              <w:t>The short-chain nitroparaffins are not readily biodegradable.</w:t>
            </w:r>
          </w:p>
          <w:p w:rsidR="0010052A" w:rsidRPr="0010052A" w:rsidRDefault="0010052A" w:rsidP="0010052A">
            <w:pPr>
              <w:widowControl w:val="0"/>
              <w:spacing w:after="120"/>
              <w:ind w:left="148" w:right="125"/>
              <w:jc w:val="both"/>
              <w:rPr>
                <w:rFonts w:eastAsia="Courier New"/>
                <w:color w:val="000000"/>
                <w:sz w:val="20"/>
                <w:szCs w:val="20"/>
                <w:lang w:val="en-GB" w:eastAsia="de-DE"/>
              </w:rPr>
            </w:pPr>
            <w:r w:rsidRPr="0010052A">
              <w:rPr>
                <w:rFonts w:eastAsia="Courier New"/>
                <w:color w:val="000000"/>
                <w:sz w:val="20"/>
                <w:szCs w:val="20"/>
                <w:lang w:val="en-GB" w:eastAsia="de-DE"/>
              </w:rPr>
              <w:t>Acute toxicity test results are available with two fish species for each of the three category members.  Laboratory acute aquatic toxicity data are also available for freshwater invertebrates and algae for the nitroparaffins.  The weight of evidence clearly suggests that acute exposure EC/LC</w:t>
            </w:r>
            <w:r w:rsidRPr="0010052A">
              <w:rPr>
                <w:rFonts w:eastAsia="Courier New"/>
                <w:color w:val="000000"/>
                <w:sz w:val="20"/>
                <w:szCs w:val="20"/>
                <w:vertAlign w:val="subscript"/>
                <w:lang w:val="en-GB" w:eastAsia="de-DE"/>
              </w:rPr>
              <w:t>50</w:t>
            </w:r>
            <w:r w:rsidRPr="0010052A">
              <w:rPr>
                <w:rFonts w:eastAsia="Courier New"/>
                <w:color w:val="000000"/>
                <w:sz w:val="20"/>
                <w:szCs w:val="20"/>
                <w:lang w:val="en-GB" w:eastAsia="de-DE"/>
              </w:rPr>
              <w:t xml:space="preserve"> values for the nitroparaffins with standard laboratory species are greater than 100 mg/l except for algae, where the 72-hr inhibition of growth ranges from 6 to &gt;456 mg/L.  Modelling toxicity data using Topkat and AIES were used to support nominal test data for nitromethane.  The predicted Daphnia 48-hr EC50 was 399 mg/L and the fish 96-hr LC</w:t>
            </w:r>
            <w:r w:rsidRPr="0010052A">
              <w:rPr>
                <w:rFonts w:eastAsia="Courier New"/>
                <w:color w:val="000000"/>
                <w:sz w:val="20"/>
                <w:szCs w:val="20"/>
                <w:vertAlign w:val="subscript"/>
                <w:lang w:val="en-GB" w:eastAsia="de-DE"/>
              </w:rPr>
              <w:t>50</w:t>
            </w:r>
            <w:r w:rsidRPr="0010052A">
              <w:rPr>
                <w:rFonts w:eastAsia="Courier New"/>
                <w:color w:val="000000"/>
                <w:sz w:val="20"/>
                <w:szCs w:val="20"/>
                <w:lang w:val="en-GB" w:eastAsia="de-DE"/>
              </w:rPr>
              <w:t xml:space="preserve"> was 127 mg/L using the Topkat and AIES models, respectively.  </w:t>
            </w:r>
          </w:p>
          <w:p w:rsidR="0010052A" w:rsidRPr="0010052A" w:rsidRDefault="0010052A" w:rsidP="0010052A">
            <w:pPr>
              <w:widowControl w:val="0"/>
              <w:spacing w:after="120"/>
              <w:ind w:left="148" w:right="125"/>
              <w:jc w:val="both"/>
              <w:rPr>
                <w:rFonts w:eastAsia="Courier New"/>
                <w:color w:val="000000"/>
                <w:sz w:val="20"/>
                <w:szCs w:val="20"/>
                <w:lang w:val="en-GB" w:eastAsia="de-DE"/>
              </w:rPr>
            </w:pPr>
            <w:r w:rsidRPr="0010052A">
              <w:rPr>
                <w:rFonts w:eastAsia="Courier New"/>
                <w:color w:val="000000"/>
                <w:sz w:val="20"/>
                <w:szCs w:val="20"/>
                <w:lang w:val="en-GB" w:eastAsia="de-DE"/>
              </w:rPr>
              <w:t>These chemicals are volatile substances and some tests were conducted in open systems, and therefore, were supported by modelling toxicity data.  Caution should be exercised in interpreting these test results an</w:t>
            </w:r>
            <w:r w:rsidR="00194E84">
              <w:rPr>
                <w:rFonts w:eastAsia="Courier New"/>
                <w:color w:val="000000"/>
                <w:sz w:val="20"/>
                <w:szCs w:val="20"/>
                <w:lang w:val="en-GB" w:eastAsia="de-DE"/>
              </w:rPr>
              <w:t xml:space="preserve">d the toxicity observed may be </w:t>
            </w:r>
            <w:r w:rsidRPr="0010052A">
              <w:rPr>
                <w:rFonts w:eastAsia="Courier New"/>
                <w:color w:val="000000"/>
                <w:sz w:val="20"/>
                <w:szCs w:val="20"/>
                <w:lang w:val="en-GB" w:eastAsia="de-DE"/>
              </w:rPr>
              <w:t xml:space="preserve">underestimated.  </w:t>
            </w:r>
          </w:p>
          <w:p w:rsidR="0010052A" w:rsidRPr="0010052A" w:rsidRDefault="0010052A" w:rsidP="005A2126">
            <w:pPr>
              <w:widowControl w:val="0"/>
              <w:ind w:left="148" w:right="125"/>
              <w:rPr>
                <w:snapToGrid w:val="0"/>
                <w:color w:val="000000"/>
                <w:sz w:val="20"/>
                <w:szCs w:val="20"/>
                <w:lang w:val="en-GB" w:eastAsia="de-DE"/>
              </w:rPr>
            </w:pPr>
            <w:r w:rsidRPr="0010052A">
              <w:rPr>
                <w:color w:val="000000"/>
                <w:sz w:val="20"/>
                <w:szCs w:val="20"/>
                <w:lang w:val="en-GB" w:eastAsia="de-DE"/>
              </w:rPr>
              <w:t xml:space="preserve">Key studies on the acute toxicity of </w:t>
            </w:r>
            <w:r w:rsidRPr="0010052A">
              <w:rPr>
                <w:snapToGrid w:val="0"/>
                <w:color w:val="000000"/>
                <w:sz w:val="20"/>
                <w:szCs w:val="20"/>
                <w:lang w:val="en-GB" w:eastAsia="de-DE"/>
              </w:rPr>
              <w:t>the category members are:</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488"/>
              <w:gridCol w:w="2034"/>
              <w:gridCol w:w="2181"/>
              <w:gridCol w:w="1806"/>
              <w:gridCol w:w="1528"/>
            </w:tblGrid>
            <w:tr w:rsidR="0010052A" w:rsidRPr="0010052A" w:rsidTr="005A2126">
              <w:trPr>
                <w:trHeight w:val="529"/>
              </w:trPr>
              <w:tc>
                <w:tcPr>
                  <w:tcW w:w="1488" w:type="dxa"/>
                  <w:tcBorders>
                    <w:top w:val="single" w:sz="12" w:space="0" w:color="auto"/>
                    <w:bottom w:val="single" w:sz="12" w:space="0" w:color="auto"/>
                  </w:tcBorders>
                  <w:vAlign w:val="center"/>
                </w:tcPr>
                <w:p w:rsidR="0010052A" w:rsidRPr="0010052A" w:rsidRDefault="0010052A" w:rsidP="0010052A">
                  <w:pPr>
                    <w:widowControl w:val="0"/>
                    <w:ind w:left="148" w:right="125"/>
                    <w:jc w:val="center"/>
                    <w:rPr>
                      <w:b/>
                      <w:i/>
                      <w:color w:val="000000"/>
                      <w:sz w:val="18"/>
                      <w:szCs w:val="18"/>
                      <w:lang w:val="en-GB" w:eastAsia="de-DE"/>
                    </w:rPr>
                  </w:pPr>
                  <w:r w:rsidRPr="0010052A">
                    <w:rPr>
                      <w:b/>
                      <w:i/>
                      <w:color w:val="000000"/>
                      <w:sz w:val="18"/>
                      <w:szCs w:val="18"/>
                      <w:lang w:val="en-GB" w:eastAsia="de-DE"/>
                    </w:rPr>
                    <w:t>Category Member</w:t>
                  </w:r>
                </w:p>
              </w:tc>
              <w:tc>
                <w:tcPr>
                  <w:tcW w:w="2034" w:type="dxa"/>
                  <w:tcBorders>
                    <w:top w:val="single" w:sz="12" w:space="0" w:color="auto"/>
                    <w:bottom w:val="single" w:sz="12" w:space="0" w:color="auto"/>
                  </w:tcBorders>
                  <w:vAlign w:val="center"/>
                </w:tcPr>
                <w:p w:rsidR="0010052A" w:rsidRPr="0010052A" w:rsidRDefault="0010052A" w:rsidP="0010052A">
                  <w:pPr>
                    <w:widowControl w:val="0"/>
                    <w:ind w:left="148" w:right="125"/>
                    <w:jc w:val="center"/>
                    <w:rPr>
                      <w:b/>
                      <w:i/>
                      <w:color w:val="000000"/>
                      <w:sz w:val="18"/>
                      <w:szCs w:val="18"/>
                      <w:lang w:val="en-GB" w:eastAsia="de-DE"/>
                    </w:rPr>
                  </w:pPr>
                  <w:r w:rsidRPr="0010052A">
                    <w:rPr>
                      <w:b/>
                      <w:i/>
                      <w:color w:val="000000"/>
                      <w:sz w:val="18"/>
                      <w:szCs w:val="18"/>
                      <w:lang w:val="en-GB" w:eastAsia="de-DE"/>
                    </w:rPr>
                    <w:t>Acute Fish Toxicity</w:t>
                  </w:r>
                </w:p>
              </w:tc>
              <w:tc>
                <w:tcPr>
                  <w:tcW w:w="2181" w:type="dxa"/>
                  <w:tcBorders>
                    <w:top w:val="single" w:sz="12" w:space="0" w:color="auto"/>
                    <w:bottom w:val="single" w:sz="12" w:space="0" w:color="auto"/>
                  </w:tcBorders>
                  <w:vAlign w:val="center"/>
                </w:tcPr>
                <w:p w:rsidR="0010052A" w:rsidRPr="0010052A" w:rsidRDefault="0010052A" w:rsidP="0010052A">
                  <w:pPr>
                    <w:widowControl w:val="0"/>
                    <w:ind w:left="148" w:right="125"/>
                    <w:jc w:val="center"/>
                    <w:rPr>
                      <w:b/>
                      <w:i/>
                      <w:color w:val="000000"/>
                      <w:sz w:val="18"/>
                      <w:szCs w:val="18"/>
                      <w:lang w:val="en-GB" w:eastAsia="de-DE"/>
                    </w:rPr>
                  </w:pPr>
                  <w:r w:rsidRPr="0010052A">
                    <w:rPr>
                      <w:b/>
                      <w:i/>
                      <w:color w:val="000000"/>
                      <w:sz w:val="18"/>
                      <w:szCs w:val="18"/>
                      <w:lang w:val="en-GB" w:eastAsia="de-DE"/>
                    </w:rPr>
                    <w:t>Acute Invertebrate Toxicity</w:t>
                  </w:r>
                </w:p>
              </w:tc>
              <w:tc>
                <w:tcPr>
                  <w:tcW w:w="3334" w:type="dxa"/>
                  <w:gridSpan w:val="2"/>
                  <w:tcBorders>
                    <w:top w:val="single" w:sz="12" w:space="0" w:color="auto"/>
                    <w:bottom w:val="single" w:sz="12" w:space="0" w:color="auto"/>
                  </w:tcBorders>
                  <w:vAlign w:val="center"/>
                </w:tcPr>
                <w:p w:rsidR="0010052A" w:rsidRPr="0010052A" w:rsidRDefault="0010052A" w:rsidP="0010052A">
                  <w:pPr>
                    <w:widowControl w:val="0"/>
                    <w:ind w:left="148" w:right="125"/>
                    <w:jc w:val="center"/>
                    <w:rPr>
                      <w:b/>
                      <w:i/>
                      <w:color w:val="000000"/>
                      <w:sz w:val="18"/>
                      <w:szCs w:val="18"/>
                      <w:lang w:val="en-GB" w:eastAsia="de-DE"/>
                    </w:rPr>
                  </w:pPr>
                  <w:r w:rsidRPr="0010052A">
                    <w:rPr>
                      <w:b/>
                      <w:i/>
                      <w:color w:val="000000"/>
                      <w:sz w:val="18"/>
                      <w:szCs w:val="18"/>
                      <w:lang w:val="en-GB" w:eastAsia="de-DE"/>
                    </w:rPr>
                    <w:t>Algal Growth Inhibition</w:t>
                  </w:r>
                </w:p>
              </w:tc>
            </w:tr>
            <w:tr w:rsidR="0010052A" w:rsidRPr="0010052A" w:rsidTr="005A2126">
              <w:trPr>
                <w:trHeight w:val="430"/>
              </w:trPr>
              <w:tc>
                <w:tcPr>
                  <w:tcW w:w="1488" w:type="dxa"/>
                  <w:tcBorders>
                    <w:top w:val="single" w:sz="12" w:space="0" w:color="auto"/>
                  </w:tcBorders>
                  <w:vAlign w:val="center"/>
                </w:tcPr>
                <w:p w:rsidR="0010052A" w:rsidRPr="0010052A" w:rsidRDefault="0010052A" w:rsidP="0010052A">
                  <w:pPr>
                    <w:widowControl w:val="0"/>
                    <w:ind w:left="148" w:right="4"/>
                    <w:jc w:val="center"/>
                    <w:rPr>
                      <w:color w:val="000000"/>
                      <w:sz w:val="18"/>
                      <w:szCs w:val="18"/>
                      <w:lang w:val="en-GB" w:eastAsia="de-DE"/>
                    </w:rPr>
                  </w:pPr>
                  <w:r w:rsidRPr="0010052A">
                    <w:rPr>
                      <w:color w:val="000000"/>
                      <w:sz w:val="18"/>
                      <w:szCs w:val="18"/>
                      <w:lang w:val="en-GB" w:eastAsia="de-DE"/>
                    </w:rPr>
                    <w:t>Nitromethane</w:t>
                  </w:r>
                </w:p>
              </w:tc>
              <w:tc>
                <w:tcPr>
                  <w:tcW w:w="2034" w:type="dxa"/>
                  <w:tcBorders>
                    <w:top w:val="single" w:sz="12" w:space="0" w:color="auto"/>
                  </w:tcBorders>
                  <w:vAlign w:val="center"/>
                </w:tcPr>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96-hr LC</w:t>
                  </w:r>
                  <w:r w:rsidRPr="0010052A">
                    <w:rPr>
                      <w:color w:val="000000"/>
                      <w:sz w:val="18"/>
                      <w:szCs w:val="18"/>
                      <w:vertAlign w:val="subscript"/>
                      <w:lang w:val="en-GB" w:eastAsia="de-DE"/>
                    </w:rPr>
                    <w:t>50</w:t>
                  </w:r>
                  <w:r w:rsidRPr="0010052A">
                    <w:rPr>
                      <w:color w:val="000000"/>
                      <w:sz w:val="18"/>
                      <w:szCs w:val="18"/>
                      <w:lang w:val="en-GB" w:eastAsia="de-DE"/>
                    </w:rPr>
                    <w:t xml:space="preserve"> = 127 mg/L (calculated)</w:t>
                  </w:r>
                </w:p>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OECD 203 96-hr LC</w:t>
                  </w:r>
                  <w:r w:rsidRPr="0010052A">
                    <w:rPr>
                      <w:color w:val="000000"/>
                      <w:sz w:val="18"/>
                      <w:szCs w:val="18"/>
                      <w:vertAlign w:val="subscript"/>
                      <w:lang w:val="en-GB" w:eastAsia="de-DE"/>
                    </w:rPr>
                    <w:t>50</w:t>
                  </w:r>
                  <w:r w:rsidRPr="0010052A">
                    <w:rPr>
                      <w:color w:val="000000"/>
                      <w:sz w:val="18"/>
                      <w:szCs w:val="18"/>
                      <w:lang w:val="en-GB" w:eastAsia="de-DE"/>
                    </w:rPr>
                    <w:t xml:space="preserve"> = &gt;659.2 mg/L (open system, </w:t>
                  </w:r>
                  <w:r w:rsidRPr="008F4365">
                    <w:rPr>
                      <w:color w:val="000000"/>
                      <w:sz w:val="18"/>
                      <w:szCs w:val="18"/>
                      <w:lang w:val="en-GB" w:eastAsia="de-DE"/>
                    </w:rPr>
                    <w:t>nominal</w:t>
                  </w:r>
                  <w:r w:rsidRPr="0010052A">
                    <w:rPr>
                      <w:color w:val="000000"/>
                      <w:sz w:val="18"/>
                      <w:szCs w:val="18"/>
                      <w:lang w:val="en-GB" w:eastAsia="de-DE"/>
                    </w:rPr>
                    <w:t>)</w:t>
                  </w:r>
                </w:p>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48-hr LC</w:t>
                  </w:r>
                  <w:r w:rsidRPr="0010052A">
                    <w:rPr>
                      <w:color w:val="000000"/>
                      <w:sz w:val="18"/>
                      <w:szCs w:val="18"/>
                      <w:vertAlign w:val="subscript"/>
                      <w:lang w:val="en-GB" w:eastAsia="de-DE"/>
                    </w:rPr>
                    <w:t>50</w:t>
                  </w:r>
                  <w:r w:rsidRPr="0010052A">
                    <w:rPr>
                      <w:color w:val="000000"/>
                      <w:sz w:val="18"/>
                      <w:szCs w:val="18"/>
                      <w:lang w:val="en-GB" w:eastAsia="de-DE"/>
                    </w:rPr>
                    <w:t xml:space="preserve"> = 460 mg/l (closed system, nominal)</w:t>
                  </w:r>
                </w:p>
              </w:tc>
              <w:tc>
                <w:tcPr>
                  <w:tcW w:w="2181" w:type="dxa"/>
                  <w:tcBorders>
                    <w:top w:val="single" w:sz="12" w:space="0" w:color="auto"/>
                  </w:tcBorders>
                  <w:vAlign w:val="center"/>
                </w:tcPr>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48-hr EC</w:t>
                  </w:r>
                  <w:r w:rsidRPr="0010052A">
                    <w:rPr>
                      <w:color w:val="000000"/>
                      <w:sz w:val="18"/>
                      <w:szCs w:val="18"/>
                      <w:vertAlign w:val="subscript"/>
                      <w:lang w:val="en-GB" w:eastAsia="de-DE"/>
                    </w:rPr>
                    <w:t>50</w:t>
                  </w:r>
                  <w:r w:rsidRPr="0010052A">
                    <w:rPr>
                      <w:color w:val="000000"/>
                      <w:sz w:val="18"/>
                      <w:szCs w:val="18"/>
                      <w:lang w:val="en-GB" w:eastAsia="de-DE"/>
                    </w:rPr>
                    <w:t xml:space="preserve"> =  399 mg/L (calculated)</w:t>
                  </w:r>
                </w:p>
                <w:p w:rsidR="0010052A" w:rsidRPr="0010052A" w:rsidRDefault="0010052A" w:rsidP="0010052A">
                  <w:pPr>
                    <w:widowControl w:val="0"/>
                    <w:ind w:left="148" w:right="125"/>
                    <w:jc w:val="center"/>
                    <w:rPr>
                      <w:color w:val="000000"/>
                      <w:sz w:val="18"/>
                      <w:szCs w:val="18"/>
                      <w:lang w:val="en-GB" w:eastAsia="de-DE"/>
                    </w:rPr>
                  </w:pPr>
                </w:p>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OECD 202</w:t>
                  </w:r>
                </w:p>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24-hr EC</w:t>
                  </w:r>
                  <w:r w:rsidRPr="0010052A">
                    <w:rPr>
                      <w:color w:val="000000"/>
                      <w:sz w:val="18"/>
                      <w:szCs w:val="18"/>
                      <w:vertAlign w:val="subscript"/>
                      <w:lang w:val="en-GB" w:eastAsia="de-DE"/>
                    </w:rPr>
                    <w:t>50</w:t>
                  </w:r>
                  <w:r w:rsidRPr="0010052A">
                    <w:rPr>
                      <w:color w:val="000000"/>
                      <w:sz w:val="18"/>
                      <w:szCs w:val="18"/>
                      <w:lang w:val="en-GB" w:eastAsia="de-DE"/>
                    </w:rPr>
                    <w:t xml:space="preserve"> = 450 mg/L</w:t>
                  </w:r>
                </w:p>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(open system, measured)</w:t>
                  </w:r>
                </w:p>
              </w:tc>
              <w:tc>
                <w:tcPr>
                  <w:tcW w:w="1806" w:type="dxa"/>
                  <w:tcBorders>
                    <w:top w:val="single" w:sz="12" w:space="0" w:color="auto"/>
                  </w:tcBorders>
                  <w:vAlign w:val="center"/>
                </w:tcPr>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OECD 201 72-hour E</w:t>
                  </w:r>
                  <w:r w:rsidRPr="0010052A">
                    <w:rPr>
                      <w:color w:val="000000"/>
                      <w:sz w:val="18"/>
                      <w:szCs w:val="18"/>
                      <w:vertAlign w:val="subscript"/>
                      <w:lang w:val="en-GB" w:eastAsia="de-DE"/>
                    </w:rPr>
                    <w:t>r</w:t>
                  </w:r>
                  <w:r w:rsidRPr="0010052A">
                    <w:rPr>
                      <w:color w:val="000000"/>
                      <w:sz w:val="18"/>
                      <w:szCs w:val="18"/>
                      <w:lang w:val="en-GB" w:eastAsia="de-DE"/>
                    </w:rPr>
                    <w:t>C</w:t>
                  </w:r>
                  <w:r w:rsidRPr="0010052A">
                    <w:rPr>
                      <w:color w:val="000000"/>
                      <w:sz w:val="18"/>
                      <w:szCs w:val="18"/>
                      <w:vertAlign w:val="subscript"/>
                      <w:lang w:val="en-GB" w:eastAsia="de-DE"/>
                    </w:rPr>
                    <w:t xml:space="preserve">50 </w:t>
                  </w:r>
                  <w:r w:rsidRPr="0010052A">
                    <w:rPr>
                      <w:color w:val="000000"/>
                      <w:sz w:val="18"/>
                      <w:szCs w:val="18"/>
                      <w:lang w:val="en-GB" w:eastAsia="de-DE"/>
                    </w:rPr>
                    <w:t>= 36 mg/L (closed system, measured)</w:t>
                  </w:r>
                </w:p>
              </w:tc>
              <w:tc>
                <w:tcPr>
                  <w:tcW w:w="1528" w:type="dxa"/>
                  <w:tcBorders>
                    <w:top w:val="single" w:sz="12" w:space="0" w:color="auto"/>
                  </w:tcBorders>
                  <w:vAlign w:val="center"/>
                </w:tcPr>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72-hour E</w:t>
                  </w:r>
                  <w:r w:rsidRPr="0010052A">
                    <w:rPr>
                      <w:color w:val="000000"/>
                      <w:sz w:val="18"/>
                      <w:szCs w:val="18"/>
                      <w:vertAlign w:val="subscript"/>
                      <w:lang w:val="en-GB" w:eastAsia="de-DE"/>
                    </w:rPr>
                    <w:t>y</w:t>
                  </w:r>
                  <w:r w:rsidRPr="0010052A">
                    <w:rPr>
                      <w:color w:val="000000"/>
                      <w:sz w:val="18"/>
                      <w:szCs w:val="18"/>
                      <w:lang w:val="en-GB" w:eastAsia="de-DE"/>
                    </w:rPr>
                    <w:t>C</w:t>
                  </w:r>
                  <w:r w:rsidRPr="0010052A">
                    <w:rPr>
                      <w:color w:val="000000"/>
                      <w:sz w:val="18"/>
                      <w:szCs w:val="18"/>
                      <w:vertAlign w:val="subscript"/>
                      <w:lang w:val="en-GB" w:eastAsia="de-DE"/>
                    </w:rPr>
                    <w:t>50</w:t>
                  </w:r>
                  <w:r w:rsidRPr="0010052A">
                    <w:rPr>
                      <w:color w:val="000000"/>
                      <w:sz w:val="18"/>
                      <w:szCs w:val="18"/>
                      <w:lang w:val="en-GB" w:eastAsia="de-DE"/>
                    </w:rPr>
                    <w:t xml:space="preserve"> = not reported</w:t>
                  </w:r>
                </w:p>
              </w:tc>
            </w:tr>
            <w:tr w:rsidR="0010052A" w:rsidRPr="0010052A" w:rsidTr="005A2126">
              <w:trPr>
                <w:trHeight w:val="619"/>
              </w:trPr>
              <w:tc>
                <w:tcPr>
                  <w:tcW w:w="1488" w:type="dxa"/>
                  <w:vAlign w:val="center"/>
                </w:tcPr>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Nitroethane</w:t>
                  </w:r>
                </w:p>
              </w:tc>
              <w:tc>
                <w:tcPr>
                  <w:tcW w:w="2034" w:type="dxa"/>
                  <w:vAlign w:val="center"/>
                </w:tcPr>
                <w:p w:rsidR="0010052A" w:rsidRPr="0010052A" w:rsidRDefault="0010052A" w:rsidP="0010052A">
                  <w:pPr>
                    <w:widowControl w:val="0"/>
                    <w:ind w:left="148" w:right="125"/>
                    <w:jc w:val="center"/>
                    <w:rPr>
                      <w:color w:val="000000"/>
                      <w:sz w:val="18"/>
                      <w:szCs w:val="18"/>
                      <w:lang w:val="pt-BR" w:eastAsia="de-DE"/>
                    </w:rPr>
                  </w:pPr>
                  <w:r w:rsidRPr="0010052A">
                    <w:rPr>
                      <w:color w:val="000000"/>
                      <w:sz w:val="18"/>
                      <w:szCs w:val="18"/>
                      <w:lang w:val="pt-BR" w:eastAsia="de-DE"/>
                    </w:rPr>
                    <w:t>OECD 203 96-h LC</w:t>
                  </w:r>
                  <w:r w:rsidRPr="0010052A">
                    <w:rPr>
                      <w:color w:val="000000"/>
                      <w:sz w:val="18"/>
                      <w:szCs w:val="18"/>
                      <w:vertAlign w:val="subscript"/>
                      <w:lang w:val="pt-BR" w:eastAsia="de-DE"/>
                    </w:rPr>
                    <w:t>50</w:t>
                  </w:r>
                  <w:r w:rsidRPr="0010052A">
                    <w:rPr>
                      <w:color w:val="000000"/>
                      <w:sz w:val="18"/>
                      <w:szCs w:val="18"/>
                      <w:lang w:val="pt-BR" w:eastAsia="de-DE"/>
                    </w:rPr>
                    <w:t xml:space="preserve"> = 596 </w:t>
                  </w:r>
                  <w:proofErr w:type="gramStart"/>
                  <w:r w:rsidRPr="0010052A">
                    <w:rPr>
                      <w:color w:val="000000"/>
                      <w:sz w:val="18"/>
                      <w:szCs w:val="18"/>
                      <w:lang w:val="pt-BR" w:eastAsia="de-DE"/>
                    </w:rPr>
                    <w:t>mg</w:t>
                  </w:r>
                  <w:proofErr w:type="gramEnd"/>
                  <w:r w:rsidRPr="0010052A">
                    <w:rPr>
                      <w:color w:val="000000"/>
                      <w:sz w:val="18"/>
                      <w:szCs w:val="18"/>
                      <w:lang w:val="pt-BR" w:eastAsia="de-DE"/>
                    </w:rPr>
                    <w:t>/L (nominal)</w:t>
                  </w:r>
                </w:p>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48-hr LC</w:t>
                  </w:r>
                  <w:r w:rsidRPr="0010052A">
                    <w:rPr>
                      <w:color w:val="000000"/>
                      <w:sz w:val="18"/>
                      <w:szCs w:val="18"/>
                      <w:vertAlign w:val="subscript"/>
                      <w:lang w:val="en-GB" w:eastAsia="de-DE"/>
                    </w:rPr>
                    <w:t>50</w:t>
                  </w:r>
                  <w:r w:rsidRPr="0010052A">
                    <w:rPr>
                      <w:color w:val="000000"/>
                      <w:sz w:val="18"/>
                      <w:szCs w:val="18"/>
                      <w:lang w:val="en-GB" w:eastAsia="de-DE"/>
                    </w:rPr>
                    <w:t xml:space="preserve"> = 880 mg/l (closed system, nominal)</w:t>
                  </w:r>
                </w:p>
              </w:tc>
              <w:tc>
                <w:tcPr>
                  <w:tcW w:w="2181" w:type="dxa"/>
                  <w:vAlign w:val="center"/>
                </w:tcPr>
                <w:p w:rsidR="0010052A" w:rsidRPr="0010052A" w:rsidRDefault="0010052A" w:rsidP="0010052A">
                  <w:pPr>
                    <w:widowControl w:val="0"/>
                    <w:ind w:left="148" w:right="125"/>
                    <w:jc w:val="center"/>
                    <w:rPr>
                      <w:color w:val="000000"/>
                      <w:sz w:val="18"/>
                      <w:szCs w:val="18"/>
                      <w:lang w:val="en-GB" w:eastAsia="de-DE"/>
                    </w:rPr>
                  </w:pPr>
                </w:p>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OECD 202</w:t>
                  </w:r>
                </w:p>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24-hr EC</w:t>
                  </w:r>
                  <w:r w:rsidRPr="0010052A">
                    <w:rPr>
                      <w:color w:val="000000"/>
                      <w:sz w:val="18"/>
                      <w:szCs w:val="18"/>
                      <w:vertAlign w:val="subscript"/>
                      <w:lang w:val="en-GB" w:eastAsia="de-DE"/>
                    </w:rPr>
                    <w:t>50</w:t>
                  </w:r>
                  <w:r w:rsidRPr="0010052A">
                    <w:rPr>
                      <w:color w:val="000000"/>
                      <w:sz w:val="18"/>
                      <w:szCs w:val="18"/>
                      <w:lang w:val="en-GB" w:eastAsia="de-DE"/>
                    </w:rPr>
                    <w:t xml:space="preserve"> = 1200 mg/l (open system measured)</w:t>
                  </w:r>
                </w:p>
              </w:tc>
              <w:tc>
                <w:tcPr>
                  <w:tcW w:w="1806" w:type="dxa"/>
                  <w:vAlign w:val="center"/>
                </w:tcPr>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OECD 201 72-hour E</w:t>
                  </w:r>
                  <w:r w:rsidRPr="0010052A">
                    <w:rPr>
                      <w:color w:val="000000"/>
                      <w:sz w:val="18"/>
                      <w:szCs w:val="18"/>
                      <w:vertAlign w:val="subscript"/>
                      <w:lang w:val="en-GB" w:eastAsia="de-DE"/>
                    </w:rPr>
                    <w:t>r</w:t>
                  </w:r>
                  <w:r w:rsidRPr="0010052A">
                    <w:rPr>
                      <w:color w:val="000000"/>
                      <w:sz w:val="18"/>
                      <w:szCs w:val="18"/>
                      <w:lang w:val="en-GB" w:eastAsia="de-DE"/>
                    </w:rPr>
                    <w:t>C</w:t>
                  </w:r>
                  <w:r w:rsidRPr="0010052A">
                    <w:rPr>
                      <w:color w:val="000000"/>
                      <w:sz w:val="18"/>
                      <w:szCs w:val="18"/>
                      <w:vertAlign w:val="subscript"/>
                      <w:lang w:val="en-GB" w:eastAsia="de-DE"/>
                    </w:rPr>
                    <w:t xml:space="preserve">50 </w:t>
                  </w:r>
                  <w:r w:rsidRPr="0010052A">
                    <w:rPr>
                      <w:color w:val="000000"/>
                      <w:sz w:val="18"/>
                      <w:szCs w:val="18"/>
                      <w:lang w:val="en-GB" w:eastAsia="de-DE"/>
                    </w:rPr>
                    <w:t>= 6 mg/L (closed system, measured)</w:t>
                  </w:r>
                </w:p>
              </w:tc>
              <w:tc>
                <w:tcPr>
                  <w:tcW w:w="1528" w:type="dxa"/>
                  <w:vAlign w:val="center"/>
                </w:tcPr>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72-hour E</w:t>
                  </w:r>
                  <w:r w:rsidRPr="0010052A">
                    <w:rPr>
                      <w:color w:val="000000"/>
                      <w:sz w:val="18"/>
                      <w:szCs w:val="18"/>
                      <w:vertAlign w:val="subscript"/>
                      <w:lang w:val="en-GB" w:eastAsia="de-DE"/>
                    </w:rPr>
                    <w:t>y</w:t>
                  </w:r>
                  <w:r w:rsidRPr="0010052A">
                    <w:rPr>
                      <w:color w:val="000000"/>
                      <w:sz w:val="18"/>
                      <w:szCs w:val="18"/>
                      <w:lang w:val="en-GB" w:eastAsia="de-DE"/>
                    </w:rPr>
                    <w:t>C</w:t>
                  </w:r>
                  <w:r w:rsidRPr="0010052A">
                    <w:rPr>
                      <w:color w:val="000000"/>
                      <w:sz w:val="18"/>
                      <w:szCs w:val="18"/>
                      <w:vertAlign w:val="subscript"/>
                      <w:lang w:val="en-GB" w:eastAsia="de-DE"/>
                    </w:rPr>
                    <w:t>50</w:t>
                  </w:r>
                  <w:r w:rsidRPr="0010052A">
                    <w:rPr>
                      <w:color w:val="000000"/>
                      <w:sz w:val="18"/>
                      <w:szCs w:val="18"/>
                      <w:lang w:val="en-GB" w:eastAsia="de-DE"/>
                    </w:rPr>
                    <w:t xml:space="preserve"> = not reported</w:t>
                  </w:r>
                </w:p>
              </w:tc>
            </w:tr>
            <w:tr w:rsidR="0010052A" w:rsidRPr="0010052A" w:rsidTr="005A2126">
              <w:trPr>
                <w:trHeight w:val="467"/>
              </w:trPr>
              <w:tc>
                <w:tcPr>
                  <w:tcW w:w="1488" w:type="dxa"/>
                  <w:vAlign w:val="center"/>
                </w:tcPr>
                <w:p w:rsidR="0010052A" w:rsidRPr="0010052A" w:rsidRDefault="0010052A" w:rsidP="0010052A">
                  <w:pPr>
                    <w:widowControl w:val="0"/>
                    <w:tabs>
                      <w:tab w:val="left" w:pos="1202"/>
                    </w:tabs>
                    <w:ind w:left="148"/>
                    <w:jc w:val="center"/>
                    <w:rPr>
                      <w:color w:val="000000"/>
                      <w:sz w:val="18"/>
                      <w:szCs w:val="18"/>
                      <w:lang w:val="en-GB" w:eastAsia="de-DE"/>
                    </w:rPr>
                  </w:pPr>
                  <w:r w:rsidRPr="0010052A">
                    <w:rPr>
                      <w:color w:val="000000"/>
                      <w:sz w:val="18"/>
                      <w:szCs w:val="18"/>
                      <w:lang w:val="en-GB" w:eastAsia="de-DE"/>
                    </w:rPr>
                    <w:t>1-Nitropropane</w:t>
                  </w:r>
                </w:p>
              </w:tc>
              <w:tc>
                <w:tcPr>
                  <w:tcW w:w="2034" w:type="dxa"/>
                  <w:vAlign w:val="center"/>
                </w:tcPr>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OECD 203 96-hr LC</w:t>
                  </w:r>
                  <w:r w:rsidRPr="0010052A">
                    <w:rPr>
                      <w:color w:val="000000"/>
                      <w:sz w:val="18"/>
                      <w:szCs w:val="18"/>
                      <w:vertAlign w:val="subscript"/>
                      <w:lang w:val="en-GB" w:eastAsia="de-DE"/>
                    </w:rPr>
                    <w:t>50</w:t>
                  </w:r>
                  <w:r w:rsidRPr="0010052A">
                    <w:rPr>
                      <w:color w:val="000000"/>
                      <w:sz w:val="18"/>
                      <w:szCs w:val="18"/>
                      <w:lang w:val="en-GB" w:eastAsia="de-DE"/>
                    </w:rPr>
                    <w:t xml:space="preserve"> = 227 mg/L (measured)</w:t>
                  </w:r>
                </w:p>
                <w:p w:rsidR="0010052A" w:rsidRPr="0010052A" w:rsidRDefault="0010052A" w:rsidP="0010052A">
                  <w:pPr>
                    <w:widowControl w:val="0"/>
                    <w:ind w:left="148" w:right="125"/>
                    <w:jc w:val="center"/>
                    <w:rPr>
                      <w:color w:val="000000"/>
                      <w:sz w:val="18"/>
                      <w:szCs w:val="18"/>
                      <w:lang w:val="en-GB" w:eastAsia="de-DE"/>
                    </w:rPr>
                  </w:pPr>
                </w:p>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48-hr LC</w:t>
                  </w:r>
                  <w:r w:rsidRPr="0010052A">
                    <w:rPr>
                      <w:color w:val="000000"/>
                      <w:sz w:val="18"/>
                      <w:szCs w:val="18"/>
                      <w:vertAlign w:val="subscript"/>
                      <w:lang w:val="en-GB" w:eastAsia="de-DE"/>
                    </w:rPr>
                    <w:t>50</w:t>
                  </w:r>
                  <w:r w:rsidRPr="0010052A">
                    <w:rPr>
                      <w:color w:val="000000"/>
                      <w:sz w:val="18"/>
                      <w:szCs w:val="18"/>
                      <w:lang w:val="en-GB" w:eastAsia="de-DE"/>
                    </w:rPr>
                    <w:t xml:space="preserve"> = 205 mg/L (closed system, nominal)</w:t>
                  </w:r>
                </w:p>
              </w:tc>
              <w:tc>
                <w:tcPr>
                  <w:tcW w:w="2181" w:type="dxa"/>
                  <w:vAlign w:val="center"/>
                </w:tcPr>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OECD 202 48-hr EC</w:t>
                  </w:r>
                  <w:r w:rsidRPr="0010052A">
                    <w:rPr>
                      <w:color w:val="000000"/>
                      <w:sz w:val="18"/>
                      <w:szCs w:val="18"/>
                      <w:vertAlign w:val="subscript"/>
                      <w:lang w:val="en-GB" w:eastAsia="de-DE"/>
                    </w:rPr>
                    <w:t>50</w:t>
                  </w:r>
                  <w:r w:rsidRPr="0010052A">
                    <w:rPr>
                      <w:color w:val="000000"/>
                      <w:sz w:val="18"/>
                      <w:szCs w:val="18"/>
                      <w:lang w:val="en-GB" w:eastAsia="de-DE"/>
                    </w:rPr>
                    <w:t xml:space="preserve"> = 380 mg/L</w:t>
                  </w:r>
                </w:p>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(closed system, measured)</w:t>
                  </w:r>
                </w:p>
                <w:p w:rsidR="0010052A" w:rsidRPr="0010052A" w:rsidRDefault="0010052A" w:rsidP="0010052A">
                  <w:pPr>
                    <w:widowControl w:val="0"/>
                    <w:ind w:left="148" w:right="125"/>
                    <w:jc w:val="center"/>
                    <w:rPr>
                      <w:color w:val="000000"/>
                      <w:sz w:val="18"/>
                      <w:szCs w:val="18"/>
                      <w:lang w:val="en-GB" w:eastAsia="de-DE"/>
                    </w:rPr>
                  </w:pPr>
                </w:p>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OECD 202</w:t>
                  </w:r>
                </w:p>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24-hr EC</w:t>
                  </w:r>
                  <w:r w:rsidRPr="0010052A">
                    <w:rPr>
                      <w:color w:val="000000"/>
                      <w:sz w:val="18"/>
                      <w:szCs w:val="18"/>
                      <w:vertAlign w:val="subscript"/>
                      <w:lang w:val="en-GB" w:eastAsia="de-DE"/>
                    </w:rPr>
                    <w:t>50</w:t>
                  </w:r>
                  <w:r w:rsidRPr="0010052A">
                    <w:rPr>
                      <w:color w:val="000000"/>
                      <w:sz w:val="18"/>
                      <w:szCs w:val="18"/>
                      <w:lang w:val="en-GB" w:eastAsia="de-DE"/>
                    </w:rPr>
                    <w:t xml:space="preserve"> = 258 mg/L</w:t>
                  </w:r>
                </w:p>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(open system, measured)</w:t>
                  </w:r>
                </w:p>
              </w:tc>
              <w:tc>
                <w:tcPr>
                  <w:tcW w:w="1806" w:type="dxa"/>
                  <w:vAlign w:val="center"/>
                </w:tcPr>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OECD 201 72-hour ErC</w:t>
                  </w:r>
                  <w:r w:rsidRPr="0010052A">
                    <w:rPr>
                      <w:color w:val="000000"/>
                      <w:sz w:val="18"/>
                      <w:szCs w:val="18"/>
                      <w:vertAlign w:val="subscript"/>
                      <w:lang w:val="en-GB" w:eastAsia="de-DE"/>
                    </w:rPr>
                    <w:t xml:space="preserve">50 </w:t>
                  </w:r>
                  <w:r w:rsidRPr="0010052A">
                    <w:rPr>
                      <w:color w:val="000000"/>
                      <w:sz w:val="18"/>
                      <w:szCs w:val="18"/>
                      <w:lang w:val="en-GB" w:eastAsia="de-DE"/>
                    </w:rPr>
                    <w:t>&gt; 456 mg/L (closed system, measured)</w:t>
                  </w:r>
                </w:p>
              </w:tc>
              <w:tc>
                <w:tcPr>
                  <w:tcW w:w="1528" w:type="dxa"/>
                  <w:vAlign w:val="center"/>
                </w:tcPr>
                <w:p w:rsidR="0010052A" w:rsidRPr="0010052A" w:rsidRDefault="0010052A" w:rsidP="0010052A">
                  <w:pPr>
                    <w:widowControl w:val="0"/>
                    <w:ind w:left="148" w:right="125"/>
                    <w:jc w:val="center"/>
                    <w:rPr>
                      <w:color w:val="000000"/>
                      <w:sz w:val="18"/>
                      <w:szCs w:val="18"/>
                      <w:lang w:val="en-GB" w:eastAsia="de-DE"/>
                    </w:rPr>
                  </w:pPr>
                  <w:r w:rsidRPr="0010052A">
                    <w:rPr>
                      <w:color w:val="000000"/>
                      <w:sz w:val="18"/>
                      <w:szCs w:val="18"/>
                      <w:lang w:val="en-GB" w:eastAsia="de-DE"/>
                    </w:rPr>
                    <w:t>72-hour EC</w:t>
                  </w:r>
                  <w:r w:rsidRPr="0010052A">
                    <w:rPr>
                      <w:color w:val="000000"/>
                      <w:sz w:val="18"/>
                      <w:szCs w:val="18"/>
                      <w:vertAlign w:val="subscript"/>
                      <w:lang w:val="en-GB" w:eastAsia="de-DE"/>
                    </w:rPr>
                    <w:t xml:space="preserve">50 </w:t>
                  </w:r>
                  <w:r w:rsidRPr="0010052A">
                    <w:rPr>
                      <w:color w:val="000000"/>
                      <w:sz w:val="18"/>
                      <w:szCs w:val="18"/>
                      <w:lang w:val="en-GB" w:eastAsia="de-DE"/>
                    </w:rPr>
                    <w:t>= 263 mg/L (closed system, measured)</w:t>
                  </w:r>
                </w:p>
              </w:tc>
            </w:tr>
          </w:tbl>
          <w:p w:rsidR="0010052A" w:rsidRPr="0010052A" w:rsidRDefault="0010052A" w:rsidP="0010052A">
            <w:pPr>
              <w:widowControl w:val="0"/>
              <w:spacing w:before="240" w:after="240"/>
              <w:ind w:left="148" w:right="125"/>
              <w:jc w:val="both"/>
              <w:rPr>
                <w:rFonts w:eastAsia="Courier New"/>
                <w:b/>
                <w:color w:val="000000"/>
                <w:sz w:val="20"/>
                <w:szCs w:val="20"/>
                <w:lang w:val="en-GB" w:eastAsia="de-DE"/>
              </w:rPr>
            </w:pPr>
            <w:r w:rsidRPr="0010052A">
              <w:rPr>
                <w:rFonts w:eastAsia="Courier New"/>
                <w:b/>
                <w:color w:val="000000"/>
                <w:sz w:val="20"/>
                <w:szCs w:val="20"/>
                <w:lang w:val="en-GB" w:eastAsia="de-DE"/>
              </w:rPr>
              <w:t xml:space="preserve">The category members </w:t>
            </w:r>
            <w:r w:rsidRPr="0010052A">
              <w:rPr>
                <w:b/>
                <w:sz w:val="20"/>
                <w:szCs w:val="20"/>
                <w:lang w:val="en-GB" w:eastAsia="de-DE"/>
              </w:rPr>
              <w:t>possess properties indicating a hazard for to the environment (toxicity</w:t>
            </w:r>
            <w:r w:rsidRPr="0010052A">
              <w:rPr>
                <w:sz w:val="20"/>
                <w:szCs w:val="20"/>
                <w:lang w:val="en-GB" w:eastAsia="de-DE"/>
              </w:rPr>
              <w:t xml:space="preserve"> </w:t>
            </w:r>
            <w:r w:rsidRPr="0010052A">
              <w:rPr>
                <w:rFonts w:eastAsia="Courier New"/>
                <w:b/>
                <w:color w:val="000000"/>
                <w:sz w:val="20"/>
                <w:szCs w:val="20"/>
                <w:lang w:val="en-GB" w:eastAsia="de-DE"/>
              </w:rPr>
              <w:t>to aquatic plants) at concentrations between 1 and 100 mg/L.  Category members are not considered readily biodegradable or bioaccumulative.  Adequate screening-level data are available to characterize the environmental hazard for the purposes of the OECD HPV Chemicals Programme.</w:t>
            </w:r>
          </w:p>
          <w:p w:rsidR="0010052A" w:rsidRPr="0010052A" w:rsidRDefault="0010052A" w:rsidP="0010052A">
            <w:pPr>
              <w:widowControl w:val="0"/>
              <w:spacing w:after="120"/>
              <w:ind w:left="148" w:right="125"/>
              <w:jc w:val="both"/>
              <w:rPr>
                <w:b/>
                <w:color w:val="000000"/>
                <w:sz w:val="20"/>
                <w:szCs w:val="20"/>
                <w:lang w:val="en-GB" w:eastAsia="de-DE"/>
              </w:rPr>
            </w:pPr>
            <w:r w:rsidRPr="0010052A">
              <w:rPr>
                <w:b/>
                <w:color w:val="000000"/>
                <w:sz w:val="20"/>
                <w:szCs w:val="20"/>
                <w:lang w:val="en-GB" w:eastAsia="de-DE"/>
              </w:rPr>
              <w:t>Exposure</w:t>
            </w:r>
          </w:p>
          <w:p w:rsidR="0010052A" w:rsidRPr="0010052A" w:rsidRDefault="0010052A" w:rsidP="0010052A">
            <w:pPr>
              <w:widowControl w:val="0"/>
              <w:ind w:left="148" w:right="125"/>
              <w:rPr>
                <w:color w:val="000000"/>
                <w:sz w:val="20"/>
                <w:szCs w:val="20"/>
                <w:lang w:val="en-GB" w:eastAsia="de-DE"/>
              </w:rPr>
            </w:pPr>
            <w:r w:rsidRPr="0010052A">
              <w:rPr>
                <w:color w:val="000000"/>
                <w:sz w:val="20"/>
                <w:szCs w:val="20"/>
                <w:lang w:val="en-GB" w:eastAsia="de-DE"/>
              </w:rPr>
              <w:t>The production volumes in the United States (sponsor country) for 2005 were each over 5 x 10</w:t>
            </w:r>
            <w:r w:rsidRPr="0010052A">
              <w:rPr>
                <w:color w:val="000000"/>
                <w:sz w:val="20"/>
                <w:szCs w:val="20"/>
                <w:vertAlign w:val="superscript"/>
                <w:lang w:val="en-GB" w:eastAsia="de-DE"/>
              </w:rPr>
              <w:t>6</w:t>
            </w:r>
            <w:r w:rsidRPr="0010052A">
              <w:rPr>
                <w:color w:val="000000"/>
                <w:sz w:val="20"/>
                <w:szCs w:val="20"/>
                <w:lang w:val="en-GB" w:eastAsia="de-DE"/>
              </w:rPr>
              <w:t xml:space="preserve"> pounds (</w:t>
            </w:r>
            <w:r w:rsidRPr="0010052A">
              <w:rPr>
                <w:rFonts w:eastAsia="MS Mincho"/>
                <w:sz w:val="20"/>
                <w:szCs w:val="20"/>
                <w:lang w:val="en-GB" w:eastAsia="ja-JP"/>
              </w:rPr>
              <w:t>2268</w:t>
            </w:r>
            <w:r w:rsidRPr="0010052A">
              <w:rPr>
                <w:color w:val="000000"/>
                <w:sz w:val="20"/>
                <w:szCs w:val="20"/>
                <w:lang w:val="en-GB" w:eastAsia="de-DE"/>
              </w:rPr>
              <w:t xml:space="preserve"> tonnes).</w:t>
            </w:r>
          </w:p>
          <w:p w:rsidR="0010052A" w:rsidRPr="0010052A" w:rsidRDefault="0010052A" w:rsidP="0010052A">
            <w:pPr>
              <w:widowControl w:val="0"/>
              <w:ind w:left="148" w:right="125"/>
              <w:rPr>
                <w:color w:val="000000"/>
                <w:sz w:val="20"/>
                <w:szCs w:val="20"/>
                <w:lang w:val="en-GB" w:eastAsia="de-DE"/>
              </w:rPr>
            </w:pPr>
          </w:p>
          <w:p w:rsidR="0010052A" w:rsidRPr="0010052A" w:rsidRDefault="0010052A" w:rsidP="0010052A">
            <w:pPr>
              <w:ind w:left="148" w:right="125"/>
              <w:jc w:val="both"/>
              <w:rPr>
                <w:sz w:val="20"/>
                <w:szCs w:val="20"/>
                <w:lang w:val="en-GB" w:eastAsia="de-DE"/>
              </w:rPr>
            </w:pPr>
            <w:r w:rsidRPr="0010052A">
              <w:rPr>
                <w:color w:val="000000"/>
                <w:sz w:val="20"/>
                <w:szCs w:val="20"/>
                <w:lang w:val="en-GB" w:eastAsia="de-DE"/>
              </w:rPr>
              <w:t>The category members</w:t>
            </w:r>
            <w:r w:rsidRPr="0010052A">
              <w:rPr>
                <w:sz w:val="20"/>
                <w:szCs w:val="20"/>
                <w:lang w:val="en-GB" w:eastAsia="de-DE"/>
              </w:rPr>
              <w:t xml:space="preserve"> are primarily used as intermediates in the synthesis of other chemicals, as industrial solvents, and in fuels. In production, these materials are handled in closed systems. Engineering controls during production include proper ventilation, containment, safety equipment and actual hardware designed to minimize exposure from splashing, or exposure to the air.  Transfer of these materials is in closed pipe systems rather than in open systems.  </w:t>
            </w:r>
          </w:p>
          <w:p w:rsidR="0010052A" w:rsidRPr="0010052A" w:rsidRDefault="0010052A" w:rsidP="0010052A">
            <w:pPr>
              <w:ind w:left="148" w:right="125"/>
              <w:jc w:val="both"/>
              <w:rPr>
                <w:sz w:val="20"/>
                <w:szCs w:val="20"/>
                <w:lang w:val="en-GB" w:eastAsia="de-DE"/>
              </w:rPr>
            </w:pPr>
          </w:p>
          <w:p w:rsidR="0010052A" w:rsidRPr="0010052A" w:rsidRDefault="0010052A" w:rsidP="0010052A">
            <w:pPr>
              <w:ind w:left="148" w:right="125"/>
              <w:jc w:val="both"/>
              <w:rPr>
                <w:sz w:val="20"/>
                <w:szCs w:val="20"/>
                <w:lang w:val="en-GB" w:eastAsia="de-DE"/>
              </w:rPr>
            </w:pPr>
            <w:r w:rsidRPr="0010052A">
              <w:rPr>
                <w:sz w:val="20"/>
                <w:szCs w:val="20"/>
                <w:lang w:val="en-GB" w:eastAsia="de-DE"/>
              </w:rPr>
              <w:t>Environmental exposure is possible through low level losses in process waste waters, which are discharged to a waste water treatment system.  Some limited potential exists for release of material to the Publicly Owned Treatment Works (POTWs) after primary biological treatment on site.  Industrial customers may have on-site biological treatment facilities but general consumers may only have access to POTW’s without pre-treatment.  These chemicals are stored in closed tanks and transported in tank cars and tank trucks, and smaller amounts are transported in drums or Intermediate Bulk Containers (IBCs), with the exception of &gt;96% pure nitromethane which is not transported in containers larger than 55-gallon drums.</w:t>
            </w:r>
          </w:p>
          <w:p w:rsidR="0010052A" w:rsidRPr="0010052A" w:rsidRDefault="0010052A" w:rsidP="0010052A">
            <w:pPr>
              <w:ind w:left="148" w:right="125"/>
              <w:jc w:val="both"/>
              <w:rPr>
                <w:sz w:val="20"/>
                <w:szCs w:val="20"/>
                <w:lang w:val="en-GB" w:eastAsia="de-DE"/>
              </w:rPr>
            </w:pPr>
            <w:r w:rsidRPr="0010052A">
              <w:rPr>
                <w:sz w:val="20"/>
                <w:szCs w:val="20"/>
                <w:lang w:val="en-GB" w:eastAsia="de-DE"/>
              </w:rPr>
              <w:t xml:space="preserve">  </w:t>
            </w:r>
          </w:p>
          <w:p w:rsidR="0010052A" w:rsidRPr="0010052A" w:rsidRDefault="0010052A" w:rsidP="0010052A">
            <w:pPr>
              <w:ind w:left="148" w:right="125"/>
              <w:jc w:val="both"/>
              <w:rPr>
                <w:sz w:val="20"/>
                <w:szCs w:val="20"/>
                <w:lang w:val="en-GB" w:eastAsia="de-DE"/>
              </w:rPr>
            </w:pPr>
            <w:r w:rsidRPr="0010052A">
              <w:rPr>
                <w:sz w:val="20"/>
                <w:szCs w:val="20"/>
                <w:lang w:val="en-GB" w:eastAsia="de-DE"/>
              </w:rPr>
              <w:t xml:space="preserve">The most likely route of human exposure to the category members is via inhalation or dermal contact.  Occupational inhalation exposure may occur during manufacture or processing; however, these exposures are negligible due to the use of engineering controls such as closed process systems, closed piping systems and local ventilation, as well as the use of personal protective equipment.  </w:t>
            </w:r>
            <w:r w:rsidRPr="0010052A">
              <w:rPr>
                <w:sz w:val="20"/>
                <w:szCs w:val="20"/>
                <w:lang w:val="en-GB" w:eastAsia="zh-TW"/>
              </w:rPr>
              <w:t xml:space="preserve">There are industrial occupational exposure guidelines set for these chemicals in the sponsor country; Occupational Safety and Health Administration (OSHA) permissible exposure limit Time Weighted Average (TWA)-8 hours </w:t>
            </w:r>
            <w:proofErr w:type="gramStart"/>
            <w:r w:rsidRPr="0010052A">
              <w:rPr>
                <w:sz w:val="20"/>
                <w:szCs w:val="20"/>
                <w:lang w:val="en-GB" w:eastAsia="zh-TW"/>
              </w:rPr>
              <w:t>is</w:t>
            </w:r>
            <w:proofErr w:type="gramEnd"/>
            <w:r w:rsidRPr="0010052A">
              <w:rPr>
                <w:sz w:val="20"/>
                <w:szCs w:val="20"/>
                <w:lang w:val="en-GB" w:eastAsia="zh-TW"/>
              </w:rPr>
              <w:t xml:space="preserve"> 100 ppm for nitromethane, or nitroethane and 25 ppm for 1-nitropropane.  </w:t>
            </w:r>
            <w:r w:rsidRPr="0010052A">
              <w:rPr>
                <w:sz w:val="20"/>
                <w:szCs w:val="20"/>
                <w:lang w:val="en-GB" w:eastAsia="de-DE"/>
              </w:rPr>
              <w:t xml:space="preserve">Exposure may occur during cleaning or drumming operations, but these exposures are limited by appropriate protective clothing and the existence of appropriate control measures.  Bulk storage, handling and transport of product further limit exposure potential by handling in enclosed storage vessels and piping.  Automated container filling equipment is used to fill drums and IBC’s, thus making exposure during this process highly unlikely.  </w:t>
            </w:r>
            <w:r w:rsidRPr="0010052A">
              <w:rPr>
                <w:sz w:val="20"/>
                <w:szCs w:val="20"/>
                <w:highlight w:val="cyan"/>
                <w:lang w:val="en-GB" w:eastAsia="de-DE"/>
              </w:rPr>
              <w:t xml:space="preserve"> </w:t>
            </w:r>
          </w:p>
          <w:p w:rsidR="0010052A" w:rsidRPr="0010052A" w:rsidRDefault="0010052A" w:rsidP="0010052A">
            <w:pPr>
              <w:ind w:left="148" w:right="125"/>
              <w:jc w:val="both"/>
              <w:rPr>
                <w:sz w:val="20"/>
                <w:szCs w:val="20"/>
                <w:lang w:val="en-GB" w:eastAsia="de-DE"/>
              </w:rPr>
            </w:pPr>
          </w:p>
          <w:p w:rsidR="0010052A" w:rsidRPr="0010052A" w:rsidRDefault="0010052A" w:rsidP="0010052A">
            <w:pPr>
              <w:widowControl w:val="0"/>
              <w:ind w:left="148" w:right="125"/>
              <w:jc w:val="both"/>
              <w:rPr>
                <w:sz w:val="20"/>
                <w:szCs w:val="20"/>
                <w:lang w:val="en-GB" w:eastAsia="de-DE"/>
              </w:rPr>
            </w:pPr>
            <w:r w:rsidRPr="0010052A">
              <w:rPr>
                <w:sz w:val="20"/>
                <w:szCs w:val="20"/>
                <w:lang w:val="en-GB" w:eastAsia="de-DE"/>
              </w:rPr>
              <w:t>Products using these short chain nitroparaffin ingredients are not widely available to consumers.  However, consumers could be exposed to nitromethane via inhalation during use of hobby or racing fuels, to limited amounts of nitroethane by inhalation through use in certain paints or coatings, and to very small amounts of 1-nitropropane by inhalation where it is present as a minor fuel additive or as a solvent.  Dermal exposure may occur at low levels for consumers in these same end-use applications of industrial solvents, paints/coatings, or fuels/fuel additives.</w:t>
            </w:r>
          </w:p>
          <w:p w:rsidR="0010052A" w:rsidRPr="0010052A" w:rsidRDefault="0010052A" w:rsidP="0010052A">
            <w:pPr>
              <w:widowControl w:val="0"/>
              <w:ind w:left="148" w:right="125"/>
              <w:jc w:val="both"/>
              <w:rPr>
                <w:sz w:val="20"/>
                <w:szCs w:val="20"/>
                <w:lang w:val="en-GB" w:eastAsia="de-DE"/>
              </w:rPr>
            </w:pPr>
          </w:p>
        </w:tc>
      </w:tr>
    </w:tbl>
    <w:p w:rsidR="0010052A" w:rsidRPr="0010052A" w:rsidRDefault="0010052A" w:rsidP="0010052A">
      <w:pPr>
        <w:jc w:val="both"/>
        <w:rPr>
          <w:sz w:val="20"/>
          <w:szCs w:val="20"/>
          <w:lang w:val="en-GB" w:eastAsia="de-DE"/>
        </w:rPr>
      </w:pPr>
    </w:p>
    <w:p w:rsidR="00204A39" w:rsidRDefault="00204A39" w:rsidP="00B260D6">
      <w:pPr>
        <w:pStyle w:val="CoverTitle"/>
        <w:pageBreakBefore/>
      </w:pPr>
      <w:r>
        <w:t>SIDS Initial Assessment Report</w:t>
      </w:r>
    </w:p>
    <w:p w:rsidR="00204A39" w:rsidRDefault="00204A39" w:rsidP="00F37C80">
      <w:pPr>
        <w:pStyle w:val="Heading1"/>
        <w:jc w:val="both"/>
      </w:pPr>
      <w:bookmarkStart w:id="2" w:name="_Toc32726012"/>
      <w:bookmarkStart w:id="3" w:name="_Toc32727195"/>
      <w:bookmarkStart w:id="4" w:name="_Toc147824524"/>
      <w:r>
        <w:t>identity</w:t>
      </w:r>
      <w:bookmarkEnd w:id="2"/>
      <w:bookmarkEnd w:id="3"/>
      <w:bookmarkEnd w:id="4"/>
    </w:p>
    <w:p w:rsidR="00DD604E" w:rsidRPr="00DD604E" w:rsidRDefault="00DD604E" w:rsidP="00F37C80">
      <w:pPr>
        <w:pStyle w:val="BodyText"/>
      </w:pPr>
      <w:r>
        <w:t>The</w:t>
      </w:r>
      <w:r w:rsidR="00EB15C3">
        <w:t xml:space="preserve"> short chain </w:t>
      </w:r>
      <w:r>
        <w:t xml:space="preserve">nitroparaffins category consists of three (3) sponsored </w:t>
      </w:r>
      <w:r w:rsidR="00371BCD">
        <w:t>nitroalkanes</w:t>
      </w:r>
      <w:r>
        <w:t>:  nitromethane (CAS No. 72-52-5), nitroethane (CAS No. 79-24-3) and 1-nitropropane (CAS No. 108-03-2).</w:t>
      </w:r>
    </w:p>
    <w:p w:rsidR="00705C39" w:rsidRDefault="00204A39" w:rsidP="00F37C80">
      <w:pPr>
        <w:pStyle w:val="Heading2"/>
      </w:pPr>
      <w:bookmarkStart w:id="5" w:name="_Toc32726013"/>
      <w:bookmarkStart w:id="6" w:name="_Toc32727196"/>
      <w:bookmarkStart w:id="7" w:name="_Toc147824525"/>
      <w:r>
        <w:t>Identification of the Substance</w:t>
      </w:r>
      <w:bookmarkEnd w:id="5"/>
      <w:bookmarkEnd w:id="6"/>
      <w:r w:rsidR="004F4F0A">
        <w:t>s</w:t>
      </w:r>
      <w:bookmarkEnd w:id="7"/>
    </w:p>
    <w:p w:rsidR="00DD604E" w:rsidRDefault="00F86638" w:rsidP="00F37C80">
      <w:pPr>
        <w:pStyle w:val="BodyText"/>
      </w:pPr>
      <w:r>
        <w:t xml:space="preserve">The chemical identifiers of the </w:t>
      </w:r>
      <w:r w:rsidR="00430890">
        <w:t xml:space="preserve">short chain </w:t>
      </w:r>
      <w:r>
        <w:t>nitroparaffins category members are displayed in Table 1.</w:t>
      </w:r>
    </w:p>
    <w:p w:rsidR="00DD604E" w:rsidRPr="00F86638" w:rsidRDefault="00F86638" w:rsidP="00B260D6">
      <w:pPr>
        <w:pStyle w:val="Caption"/>
        <w:ind w:left="284" w:hanging="237"/>
        <w:jc w:val="both"/>
      </w:pPr>
      <w:bookmarkStart w:id="8" w:name="_Toc264544907"/>
      <w:bookmarkStart w:id="9" w:name="_Toc266716144"/>
      <w:r>
        <w:t xml:space="preserve">Table </w:t>
      </w:r>
      <w:r w:rsidR="00B320DF">
        <w:fldChar w:fldCharType="begin"/>
      </w:r>
      <w:r>
        <w:instrText xml:space="preserve"> SEQ Table \* ARABIC </w:instrText>
      </w:r>
      <w:r w:rsidR="00B320DF">
        <w:fldChar w:fldCharType="separate"/>
      </w:r>
      <w:r w:rsidR="006263B7">
        <w:rPr>
          <w:noProof/>
        </w:rPr>
        <w:t>1</w:t>
      </w:r>
      <w:r w:rsidR="00B320DF">
        <w:fldChar w:fldCharType="end"/>
      </w:r>
      <w:r w:rsidR="005A43AA">
        <w:t xml:space="preserve">   </w:t>
      </w:r>
      <w:r>
        <w:t>Chemical Identifiers</w:t>
      </w:r>
      <w:bookmarkEnd w:id="8"/>
      <w:bookmarkEnd w:id="9"/>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862"/>
        <w:gridCol w:w="2643"/>
        <w:gridCol w:w="2555"/>
        <w:gridCol w:w="2499"/>
      </w:tblGrid>
      <w:tr w:rsidR="00705C39" w:rsidRPr="00B82266" w:rsidTr="00B260D6">
        <w:tc>
          <w:tcPr>
            <w:tcW w:w="1890" w:type="dxa"/>
            <w:tcBorders>
              <w:top w:val="single" w:sz="12" w:space="0" w:color="auto"/>
              <w:bottom w:val="single" w:sz="12" w:space="0" w:color="auto"/>
            </w:tcBorders>
            <w:vAlign w:val="center"/>
          </w:tcPr>
          <w:p w:rsidR="00705C39" w:rsidRPr="00B260D6" w:rsidRDefault="00705C39" w:rsidP="00B260D6">
            <w:pPr>
              <w:jc w:val="center"/>
              <w:rPr>
                <w:b/>
                <w:i/>
                <w:sz w:val="20"/>
                <w:szCs w:val="20"/>
              </w:rPr>
            </w:pPr>
          </w:p>
        </w:tc>
        <w:tc>
          <w:tcPr>
            <w:tcW w:w="2685" w:type="dxa"/>
            <w:tcBorders>
              <w:top w:val="single" w:sz="12" w:space="0" w:color="auto"/>
              <w:bottom w:val="single" w:sz="12" w:space="0" w:color="auto"/>
            </w:tcBorders>
            <w:vAlign w:val="center"/>
          </w:tcPr>
          <w:p w:rsidR="00705C39" w:rsidRPr="00895CF0" w:rsidRDefault="00705C39" w:rsidP="00B260D6">
            <w:pPr>
              <w:jc w:val="center"/>
              <w:rPr>
                <w:b/>
                <w:sz w:val="20"/>
                <w:szCs w:val="20"/>
              </w:rPr>
            </w:pPr>
            <w:r w:rsidRPr="00895CF0">
              <w:rPr>
                <w:b/>
                <w:sz w:val="20"/>
                <w:szCs w:val="20"/>
              </w:rPr>
              <w:t>Nitromethane</w:t>
            </w:r>
          </w:p>
        </w:tc>
        <w:tc>
          <w:tcPr>
            <w:tcW w:w="2595" w:type="dxa"/>
            <w:tcBorders>
              <w:top w:val="single" w:sz="12" w:space="0" w:color="auto"/>
              <w:bottom w:val="single" w:sz="12" w:space="0" w:color="auto"/>
            </w:tcBorders>
            <w:vAlign w:val="center"/>
          </w:tcPr>
          <w:p w:rsidR="00705C39" w:rsidRPr="00895CF0" w:rsidRDefault="00705C39" w:rsidP="00B260D6">
            <w:pPr>
              <w:jc w:val="center"/>
              <w:rPr>
                <w:b/>
                <w:sz w:val="20"/>
                <w:szCs w:val="20"/>
              </w:rPr>
            </w:pPr>
            <w:r w:rsidRPr="00895CF0">
              <w:rPr>
                <w:b/>
                <w:sz w:val="20"/>
                <w:szCs w:val="20"/>
              </w:rPr>
              <w:t>Nitroethane</w:t>
            </w:r>
          </w:p>
        </w:tc>
        <w:tc>
          <w:tcPr>
            <w:tcW w:w="2538" w:type="dxa"/>
            <w:tcBorders>
              <w:top w:val="single" w:sz="12" w:space="0" w:color="auto"/>
              <w:bottom w:val="single" w:sz="12" w:space="0" w:color="auto"/>
            </w:tcBorders>
            <w:vAlign w:val="center"/>
          </w:tcPr>
          <w:p w:rsidR="00705C39" w:rsidRPr="00895CF0" w:rsidRDefault="00705C39" w:rsidP="00B260D6">
            <w:pPr>
              <w:jc w:val="center"/>
              <w:rPr>
                <w:b/>
                <w:sz w:val="20"/>
                <w:szCs w:val="20"/>
              </w:rPr>
            </w:pPr>
            <w:r w:rsidRPr="00895CF0">
              <w:rPr>
                <w:b/>
                <w:sz w:val="20"/>
                <w:szCs w:val="20"/>
              </w:rPr>
              <w:t>1-Nitropropane</w:t>
            </w:r>
          </w:p>
        </w:tc>
      </w:tr>
      <w:tr w:rsidR="00705C39" w:rsidRPr="00523843" w:rsidTr="00B260D6">
        <w:trPr>
          <w:trHeight w:val="489"/>
        </w:trPr>
        <w:tc>
          <w:tcPr>
            <w:tcW w:w="1890" w:type="dxa"/>
            <w:tcBorders>
              <w:top w:val="single" w:sz="12" w:space="0" w:color="auto"/>
            </w:tcBorders>
            <w:vAlign w:val="center"/>
          </w:tcPr>
          <w:p w:rsidR="00705C39" w:rsidRPr="00895CF0" w:rsidRDefault="00705C39" w:rsidP="00B260D6">
            <w:pPr>
              <w:jc w:val="center"/>
              <w:rPr>
                <w:b/>
                <w:sz w:val="20"/>
                <w:szCs w:val="20"/>
              </w:rPr>
            </w:pPr>
            <w:r w:rsidRPr="00895CF0">
              <w:rPr>
                <w:b/>
                <w:sz w:val="20"/>
                <w:szCs w:val="20"/>
              </w:rPr>
              <w:t>CAS Number</w:t>
            </w:r>
          </w:p>
        </w:tc>
        <w:tc>
          <w:tcPr>
            <w:tcW w:w="2685" w:type="dxa"/>
            <w:tcBorders>
              <w:top w:val="single" w:sz="12" w:space="0" w:color="auto"/>
            </w:tcBorders>
            <w:vAlign w:val="center"/>
          </w:tcPr>
          <w:p w:rsidR="00705C39" w:rsidRPr="00B260D6" w:rsidRDefault="00173FC1" w:rsidP="00B260D6">
            <w:pPr>
              <w:jc w:val="center"/>
              <w:rPr>
                <w:sz w:val="20"/>
                <w:szCs w:val="20"/>
              </w:rPr>
            </w:pPr>
            <w:r w:rsidRPr="00B260D6">
              <w:rPr>
                <w:sz w:val="20"/>
                <w:szCs w:val="20"/>
              </w:rPr>
              <w:t>75-52-5</w:t>
            </w:r>
          </w:p>
        </w:tc>
        <w:tc>
          <w:tcPr>
            <w:tcW w:w="2595" w:type="dxa"/>
            <w:tcBorders>
              <w:top w:val="single" w:sz="12" w:space="0" w:color="auto"/>
            </w:tcBorders>
            <w:vAlign w:val="center"/>
          </w:tcPr>
          <w:p w:rsidR="00705C39" w:rsidRPr="00B260D6" w:rsidRDefault="00173FC1" w:rsidP="00B260D6">
            <w:pPr>
              <w:jc w:val="center"/>
              <w:rPr>
                <w:sz w:val="20"/>
                <w:szCs w:val="20"/>
              </w:rPr>
            </w:pPr>
            <w:r w:rsidRPr="00B260D6">
              <w:rPr>
                <w:sz w:val="20"/>
                <w:szCs w:val="20"/>
              </w:rPr>
              <w:t>79-24-3</w:t>
            </w:r>
          </w:p>
        </w:tc>
        <w:tc>
          <w:tcPr>
            <w:tcW w:w="2538" w:type="dxa"/>
            <w:tcBorders>
              <w:top w:val="single" w:sz="12" w:space="0" w:color="auto"/>
            </w:tcBorders>
            <w:vAlign w:val="center"/>
          </w:tcPr>
          <w:p w:rsidR="00705C39" w:rsidRPr="00B260D6" w:rsidRDefault="00173FC1" w:rsidP="00B260D6">
            <w:pPr>
              <w:jc w:val="center"/>
              <w:rPr>
                <w:sz w:val="20"/>
                <w:szCs w:val="20"/>
              </w:rPr>
            </w:pPr>
            <w:r w:rsidRPr="00B260D6">
              <w:rPr>
                <w:sz w:val="20"/>
                <w:szCs w:val="20"/>
              </w:rPr>
              <w:t>108-03-2</w:t>
            </w:r>
          </w:p>
        </w:tc>
      </w:tr>
      <w:tr w:rsidR="00705C39" w:rsidRPr="00523843" w:rsidTr="00B260D6">
        <w:trPr>
          <w:trHeight w:val="534"/>
        </w:trPr>
        <w:tc>
          <w:tcPr>
            <w:tcW w:w="1890" w:type="dxa"/>
            <w:vAlign w:val="center"/>
          </w:tcPr>
          <w:p w:rsidR="00705C39" w:rsidRPr="00895CF0" w:rsidRDefault="00705C39" w:rsidP="00B260D6">
            <w:pPr>
              <w:jc w:val="center"/>
              <w:rPr>
                <w:b/>
                <w:sz w:val="20"/>
                <w:szCs w:val="20"/>
              </w:rPr>
            </w:pPr>
            <w:r w:rsidRPr="00895CF0">
              <w:rPr>
                <w:b/>
                <w:sz w:val="20"/>
                <w:szCs w:val="20"/>
              </w:rPr>
              <w:t>IUPAC Name</w:t>
            </w:r>
          </w:p>
        </w:tc>
        <w:tc>
          <w:tcPr>
            <w:tcW w:w="2685" w:type="dxa"/>
            <w:vAlign w:val="center"/>
          </w:tcPr>
          <w:p w:rsidR="00705C39" w:rsidRPr="00B260D6" w:rsidRDefault="00173FC1" w:rsidP="00B260D6">
            <w:pPr>
              <w:jc w:val="center"/>
              <w:rPr>
                <w:sz w:val="20"/>
                <w:szCs w:val="20"/>
              </w:rPr>
            </w:pPr>
            <w:r w:rsidRPr="00B260D6">
              <w:rPr>
                <w:sz w:val="20"/>
                <w:szCs w:val="20"/>
              </w:rPr>
              <w:t>Nitromethane</w:t>
            </w:r>
          </w:p>
        </w:tc>
        <w:tc>
          <w:tcPr>
            <w:tcW w:w="2595" w:type="dxa"/>
            <w:vAlign w:val="center"/>
          </w:tcPr>
          <w:p w:rsidR="00705C39" w:rsidRPr="00B260D6" w:rsidRDefault="00173FC1" w:rsidP="00B260D6">
            <w:pPr>
              <w:jc w:val="center"/>
              <w:rPr>
                <w:sz w:val="20"/>
                <w:szCs w:val="20"/>
              </w:rPr>
            </w:pPr>
            <w:r w:rsidRPr="00B260D6">
              <w:rPr>
                <w:sz w:val="20"/>
                <w:szCs w:val="20"/>
              </w:rPr>
              <w:t>Nitroethane</w:t>
            </w:r>
          </w:p>
        </w:tc>
        <w:tc>
          <w:tcPr>
            <w:tcW w:w="2538" w:type="dxa"/>
            <w:vAlign w:val="center"/>
          </w:tcPr>
          <w:p w:rsidR="00705C39" w:rsidRPr="00B260D6" w:rsidRDefault="00173FC1" w:rsidP="00B260D6">
            <w:pPr>
              <w:jc w:val="center"/>
              <w:rPr>
                <w:sz w:val="20"/>
                <w:szCs w:val="20"/>
              </w:rPr>
            </w:pPr>
            <w:r w:rsidRPr="00B260D6">
              <w:rPr>
                <w:sz w:val="20"/>
                <w:szCs w:val="20"/>
              </w:rPr>
              <w:t>1-Nitropropane</w:t>
            </w:r>
          </w:p>
        </w:tc>
      </w:tr>
      <w:tr w:rsidR="00705C39" w:rsidRPr="00523843" w:rsidTr="00B260D6">
        <w:tc>
          <w:tcPr>
            <w:tcW w:w="1890" w:type="dxa"/>
            <w:vAlign w:val="center"/>
          </w:tcPr>
          <w:p w:rsidR="00705C39" w:rsidRPr="00895CF0" w:rsidRDefault="00705C39" w:rsidP="00B260D6">
            <w:pPr>
              <w:jc w:val="center"/>
              <w:rPr>
                <w:b/>
                <w:sz w:val="20"/>
                <w:szCs w:val="20"/>
              </w:rPr>
            </w:pPr>
            <w:r w:rsidRPr="00895CF0">
              <w:rPr>
                <w:b/>
                <w:sz w:val="20"/>
                <w:szCs w:val="20"/>
              </w:rPr>
              <w:t>Molecular Formula</w:t>
            </w:r>
          </w:p>
        </w:tc>
        <w:tc>
          <w:tcPr>
            <w:tcW w:w="2685" w:type="dxa"/>
            <w:vAlign w:val="center"/>
          </w:tcPr>
          <w:p w:rsidR="00705C39" w:rsidRPr="00B260D6" w:rsidRDefault="00173FC1" w:rsidP="00B260D6">
            <w:pPr>
              <w:jc w:val="center"/>
              <w:rPr>
                <w:sz w:val="20"/>
                <w:szCs w:val="20"/>
              </w:rPr>
            </w:pPr>
            <w:r w:rsidRPr="00B260D6">
              <w:rPr>
                <w:sz w:val="20"/>
                <w:szCs w:val="20"/>
              </w:rPr>
              <w:t>CH</w:t>
            </w:r>
            <w:r w:rsidRPr="00B260D6">
              <w:rPr>
                <w:sz w:val="20"/>
                <w:szCs w:val="20"/>
                <w:vertAlign w:val="subscript"/>
              </w:rPr>
              <w:t>3</w:t>
            </w:r>
            <w:r w:rsidRPr="00B260D6">
              <w:rPr>
                <w:sz w:val="20"/>
                <w:szCs w:val="20"/>
              </w:rPr>
              <w:t>NO</w:t>
            </w:r>
            <w:r w:rsidRPr="00B260D6">
              <w:rPr>
                <w:sz w:val="20"/>
                <w:szCs w:val="20"/>
                <w:vertAlign w:val="subscript"/>
              </w:rPr>
              <w:t>2</w:t>
            </w:r>
          </w:p>
        </w:tc>
        <w:tc>
          <w:tcPr>
            <w:tcW w:w="2595" w:type="dxa"/>
            <w:vAlign w:val="center"/>
          </w:tcPr>
          <w:p w:rsidR="00705C39" w:rsidRPr="00B260D6" w:rsidRDefault="00173FC1" w:rsidP="00B260D6">
            <w:pPr>
              <w:jc w:val="center"/>
              <w:rPr>
                <w:sz w:val="20"/>
                <w:szCs w:val="20"/>
              </w:rPr>
            </w:pPr>
            <w:r w:rsidRPr="00B260D6">
              <w:rPr>
                <w:sz w:val="20"/>
                <w:szCs w:val="20"/>
              </w:rPr>
              <w:t>C</w:t>
            </w:r>
            <w:r w:rsidRPr="00B260D6">
              <w:rPr>
                <w:sz w:val="20"/>
                <w:szCs w:val="20"/>
                <w:vertAlign w:val="subscript"/>
              </w:rPr>
              <w:t>2</w:t>
            </w:r>
            <w:r w:rsidRPr="00B260D6">
              <w:rPr>
                <w:sz w:val="20"/>
                <w:szCs w:val="20"/>
              </w:rPr>
              <w:t>H</w:t>
            </w:r>
            <w:r w:rsidRPr="00B260D6">
              <w:rPr>
                <w:sz w:val="20"/>
                <w:szCs w:val="20"/>
                <w:vertAlign w:val="subscript"/>
              </w:rPr>
              <w:t>5</w:t>
            </w:r>
            <w:r w:rsidRPr="00B260D6">
              <w:rPr>
                <w:sz w:val="20"/>
                <w:szCs w:val="20"/>
              </w:rPr>
              <w:t>NO</w:t>
            </w:r>
            <w:r w:rsidRPr="00B260D6">
              <w:rPr>
                <w:sz w:val="20"/>
                <w:szCs w:val="20"/>
                <w:vertAlign w:val="subscript"/>
              </w:rPr>
              <w:t>2</w:t>
            </w:r>
          </w:p>
        </w:tc>
        <w:tc>
          <w:tcPr>
            <w:tcW w:w="2538" w:type="dxa"/>
            <w:vAlign w:val="center"/>
          </w:tcPr>
          <w:p w:rsidR="00705C39" w:rsidRPr="00B260D6" w:rsidRDefault="00173FC1" w:rsidP="00B260D6">
            <w:pPr>
              <w:jc w:val="center"/>
              <w:rPr>
                <w:sz w:val="20"/>
                <w:szCs w:val="20"/>
              </w:rPr>
            </w:pPr>
            <w:r w:rsidRPr="00B260D6">
              <w:rPr>
                <w:sz w:val="20"/>
                <w:szCs w:val="20"/>
              </w:rPr>
              <w:t>C</w:t>
            </w:r>
            <w:r w:rsidRPr="00B260D6">
              <w:rPr>
                <w:sz w:val="20"/>
                <w:szCs w:val="20"/>
                <w:vertAlign w:val="subscript"/>
              </w:rPr>
              <w:t>3</w:t>
            </w:r>
            <w:r w:rsidRPr="00B260D6">
              <w:rPr>
                <w:sz w:val="20"/>
                <w:szCs w:val="20"/>
              </w:rPr>
              <w:t>H</w:t>
            </w:r>
            <w:r w:rsidRPr="00B260D6">
              <w:rPr>
                <w:sz w:val="20"/>
                <w:szCs w:val="20"/>
                <w:vertAlign w:val="subscript"/>
              </w:rPr>
              <w:t>7</w:t>
            </w:r>
            <w:r w:rsidRPr="00B260D6">
              <w:rPr>
                <w:sz w:val="20"/>
                <w:szCs w:val="20"/>
              </w:rPr>
              <w:t>NO</w:t>
            </w:r>
            <w:r w:rsidRPr="00B260D6">
              <w:rPr>
                <w:sz w:val="20"/>
                <w:szCs w:val="20"/>
                <w:vertAlign w:val="subscript"/>
              </w:rPr>
              <w:t>2</w:t>
            </w:r>
          </w:p>
        </w:tc>
      </w:tr>
      <w:tr w:rsidR="00705C39" w:rsidRPr="00523843" w:rsidTr="00B260D6">
        <w:tc>
          <w:tcPr>
            <w:tcW w:w="1890" w:type="dxa"/>
          </w:tcPr>
          <w:p w:rsidR="003E6809" w:rsidRPr="00895CF0" w:rsidRDefault="003E6809" w:rsidP="00B260D6">
            <w:pPr>
              <w:jc w:val="center"/>
              <w:rPr>
                <w:b/>
                <w:sz w:val="20"/>
                <w:szCs w:val="20"/>
              </w:rPr>
            </w:pPr>
          </w:p>
          <w:p w:rsidR="00705C39" w:rsidRPr="00895CF0" w:rsidRDefault="00705C39" w:rsidP="00B260D6">
            <w:pPr>
              <w:jc w:val="center"/>
              <w:rPr>
                <w:b/>
                <w:sz w:val="20"/>
                <w:szCs w:val="20"/>
              </w:rPr>
            </w:pPr>
            <w:r w:rsidRPr="00895CF0">
              <w:rPr>
                <w:b/>
                <w:sz w:val="20"/>
                <w:szCs w:val="20"/>
              </w:rPr>
              <w:t>Structure</w:t>
            </w:r>
          </w:p>
        </w:tc>
        <w:tc>
          <w:tcPr>
            <w:tcW w:w="2685" w:type="dxa"/>
            <w:vAlign w:val="center"/>
          </w:tcPr>
          <w:p w:rsidR="00705C39" w:rsidRPr="00B260D6" w:rsidRDefault="00233455" w:rsidP="00B260D6">
            <w:pPr>
              <w:jc w:val="center"/>
              <w:rPr>
                <w:sz w:val="20"/>
                <w:szCs w:val="20"/>
              </w:rPr>
            </w:pPr>
            <w:r w:rsidRPr="00B260D6">
              <w:rPr>
                <w:noProof/>
                <w:sz w:val="20"/>
                <w:szCs w:val="20"/>
                <w:lang w:val="en-GB" w:eastAsia="en-GB"/>
              </w:rPr>
              <w:drawing>
                <wp:inline distT="0" distB="0" distL="0" distR="0" wp14:anchorId="648E4100" wp14:editId="40607DBC">
                  <wp:extent cx="1574800" cy="1422400"/>
                  <wp:effectExtent l="0" t="0" r="0" b="0"/>
                  <wp:docPr id="1" name="Picture 1" descr="nitrometh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tromethan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74800" cy="1422400"/>
                          </a:xfrm>
                          <a:prstGeom prst="rect">
                            <a:avLst/>
                          </a:prstGeom>
                          <a:noFill/>
                          <a:ln>
                            <a:noFill/>
                          </a:ln>
                        </pic:spPr>
                      </pic:pic>
                    </a:graphicData>
                  </a:graphic>
                </wp:inline>
              </w:drawing>
            </w:r>
          </w:p>
        </w:tc>
        <w:tc>
          <w:tcPr>
            <w:tcW w:w="2595" w:type="dxa"/>
            <w:vAlign w:val="center"/>
          </w:tcPr>
          <w:p w:rsidR="00705C39" w:rsidRPr="00B260D6" w:rsidRDefault="00233455" w:rsidP="00B260D6">
            <w:pPr>
              <w:jc w:val="center"/>
              <w:rPr>
                <w:sz w:val="20"/>
                <w:szCs w:val="20"/>
              </w:rPr>
            </w:pPr>
            <w:r w:rsidRPr="00B260D6">
              <w:rPr>
                <w:noProof/>
                <w:sz w:val="20"/>
                <w:szCs w:val="20"/>
                <w:lang w:val="en-GB" w:eastAsia="en-GB"/>
              </w:rPr>
              <w:drawing>
                <wp:inline distT="0" distB="0" distL="0" distR="0" wp14:anchorId="50C45BE1" wp14:editId="1805A4A0">
                  <wp:extent cx="1517650" cy="1397000"/>
                  <wp:effectExtent l="0" t="0" r="6350" b="0"/>
                  <wp:docPr id="2" name="Picture 2" descr="nitroeth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itroethan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7650" cy="1397000"/>
                          </a:xfrm>
                          <a:prstGeom prst="rect">
                            <a:avLst/>
                          </a:prstGeom>
                          <a:noFill/>
                          <a:ln>
                            <a:noFill/>
                          </a:ln>
                        </pic:spPr>
                      </pic:pic>
                    </a:graphicData>
                  </a:graphic>
                </wp:inline>
              </w:drawing>
            </w:r>
          </w:p>
        </w:tc>
        <w:tc>
          <w:tcPr>
            <w:tcW w:w="2538" w:type="dxa"/>
            <w:vAlign w:val="center"/>
          </w:tcPr>
          <w:p w:rsidR="00705C39" w:rsidRPr="00B260D6" w:rsidRDefault="00233455" w:rsidP="00B260D6">
            <w:pPr>
              <w:jc w:val="center"/>
              <w:rPr>
                <w:sz w:val="20"/>
                <w:szCs w:val="20"/>
              </w:rPr>
            </w:pPr>
            <w:r w:rsidRPr="00B260D6">
              <w:rPr>
                <w:noProof/>
                <w:sz w:val="20"/>
                <w:szCs w:val="20"/>
                <w:lang w:val="en-GB" w:eastAsia="en-GB"/>
              </w:rPr>
              <w:drawing>
                <wp:inline distT="0" distB="0" distL="0" distR="0" wp14:anchorId="2B895875" wp14:editId="4F133B2C">
                  <wp:extent cx="1574800" cy="1422400"/>
                  <wp:effectExtent l="0" t="0" r="0" b="0"/>
                  <wp:docPr id="3" name="Picture 3" descr="1-ni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nitr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74800" cy="1422400"/>
                          </a:xfrm>
                          <a:prstGeom prst="rect">
                            <a:avLst/>
                          </a:prstGeom>
                          <a:noFill/>
                          <a:ln>
                            <a:noFill/>
                          </a:ln>
                        </pic:spPr>
                      </pic:pic>
                    </a:graphicData>
                  </a:graphic>
                </wp:inline>
              </w:drawing>
            </w:r>
          </w:p>
        </w:tc>
      </w:tr>
      <w:tr w:rsidR="00705C39" w:rsidRPr="00523843" w:rsidTr="00B260D6">
        <w:tc>
          <w:tcPr>
            <w:tcW w:w="1890" w:type="dxa"/>
            <w:vAlign w:val="center"/>
          </w:tcPr>
          <w:p w:rsidR="00705C39" w:rsidRPr="00895CF0" w:rsidRDefault="00705C39" w:rsidP="00B260D6">
            <w:pPr>
              <w:jc w:val="center"/>
              <w:rPr>
                <w:b/>
                <w:sz w:val="20"/>
                <w:szCs w:val="20"/>
              </w:rPr>
            </w:pPr>
            <w:r w:rsidRPr="00895CF0">
              <w:rPr>
                <w:b/>
                <w:sz w:val="20"/>
                <w:szCs w:val="20"/>
              </w:rPr>
              <w:t>Molecular Weight</w:t>
            </w:r>
          </w:p>
        </w:tc>
        <w:tc>
          <w:tcPr>
            <w:tcW w:w="2685" w:type="dxa"/>
            <w:vAlign w:val="center"/>
          </w:tcPr>
          <w:p w:rsidR="00705C39" w:rsidRPr="00B260D6" w:rsidRDefault="00173FC1" w:rsidP="00B260D6">
            <w:pPr>
              <w:jc w:val="center"/>
              <w:rPr>
                <w:sz w:val="20"/>
                <w:szCs w:val="20"/>
              </w:rPr>
            </w:pPr>
            <w:r w:rsidRPr="00B260D6">
              <w:rPr>
                <w:sz w:val="20"/>
                <w:szCs w:val="20"/>
              </w:rPr>
              <w:t>61.04</w:t>
            </w:r>
          </w:p>
        </w:tc>
        <w:tc>
          <w:tcPr>
            <w:tcW w:w="2595" w:type="dxa"/>
            <w:vAlign w:val="center"/>
          </w:tcPr>
          <w:p w:rsidR="00705C39" w:rsidRPr="00B260D6" w:rsidRDefault="00173FC1" w:rsidP="00B260D6">
            <w:pPr>
              <w:jc w:val="center"/>
              <w:rPr>
                <w:sz w:val="20"/>
                <w:szCs w:val="20"/>
              </w:rPr>
            </w:pPr>
            <w:r w:rsidRPr="00B260D6">
              <w:rPr>
                <w:sz w:val="20"/>
                <w:szCs w:val="20"/>
              </w:rPr>
              <w:t>75.07</w:t>
            </w:r>
          </w:p>
        </w:tc>
        <w:tc>
          <w:tcPr>
            <w:tcW w:w="2538" w:type="dxa"/>
            <w:vAlign w:val="center"/>
          </w:tcPr>
          <w:p w:rsidR="00705C39" w:rsidRPr="00B260D6" w:rsidRDefault="00173FC1" w:rsidP="00B260D6">
            <w:pPr>
              <w:jc w:val="center"/>
              <w:rPr>
                <w:sz w:val="20"/>
                <w:szCs w:val="20"/>
              </w:rPr>
            </w:pPr>
            <w:r w:rsidRPr="00B260D6">
              <w:rPr>
                <w:sz w:val="20"/>
                <w:szCs w:val="20"/>
              </w:rPr>
              <w:t>89.09</w:t>
            </w:r>
          </w:p>
        </w:tc>
      </w:tr>
      <w:tr w:rsidR="00705C39" w:rsidRPr="00523843" w:rsidTr="00B260D6">
        <w:trPr>
          <w:trHeight w:val="750"/>
        </w:trPr>
        <w:tc>
          <w:tcPr>
            <w:tcW w:w="1890" w:type="dxa"/>
            <w:vAlign w:val="center"/>
          </w:tcPr>
          <w:p w:rsidR="00705C39" w:rsidRPr="00895CF0" w:rsidRDefault="00705C39" w:rsidP="00B260D6">
            <w:pPr>
              <w:jc w:val="center"/>
              <w:rPr>
                <w:b/>
                <w:sz w:val="20"/>
                <w:szCs w:val="20"/>
              </w:rPr>
            </w:pPr>
            <w:r w:rsidRPr="00895CF0">
              <w:rPr>
                <w:b/>
                <w:sz w:val="20"/>
                <w:szCs w:val="20"/>
              </w:rPr>
              <w:t>Synonyms</w:t>
            </w:r>
          </w:p>
        </w:tc>
        <w:tc>
          <w:tcPr>
            <w:tcW w:w="2685" w:type="dxa"/>
            <w:vAlign w:val="center"/>
          </w:tcPr>
          <w:p w:rsidR="00705C39" w:rsidRPr="00B260D6" w:rsidRDefault="00173FC1" w:rsidP="00B260D6">
            <w:pPr>
              <w:jc w:val="center"/>
              <w:rPr>
                <w:sz w:val="20"/>
                <w:szCs w:val="20"/>
              </w:rPr>
            </w:pPr>
            <w:r w:rsidRPr="00B260D6">
              <w:rPr>
                <w:sz w:val="20"/>
                <w:szCs w:val="20"/>
              </w:rPr>
              <w:t>Nitrocarbol</w:t>
            </w:r>
          </w:p>
          <w:p w:rsidR="00173FC1" w:rsidRPr="00B260D6" w:rsidRDefault="00173FC1" w:rsidP="00B260D6">
            <w:pPr>
              <w:jc w:val="center"/>
              <w:rPr>
                <w:sz w:val="20"/>
                <w:szCs w:val="20"/>
              </w:rPr>
            </w:pPr>
            <w:r w:rsidRPr="00B260D6">
              <w:rPr>
                <w:sz w:val="20"/>
                <w:szCs w:val="20"/>
              </w:rPr>
              <w:t>Methane, nitro</w:t>
            </w:r>
          </w:p>
        </w:tc>
        <w:tc>
          <w:tcPr>
            <w:tcW w:w="2595" w:type="dxa"/>
            <w:vAlign w:val="center"/>
          </w:tcPr>
          <w:p w:rsidR="00705C39" w:rsidRPr="00B260D6" w:rsidRDefault="00173FC1" w:rsidP="00B260D6">
            <w:pPr>
              <w:jc w:val="center"/>
              <w:rPr>
                <w:sz w:val="20"/>
                <w:szCs w:val="20"/>
              </w:rPr>
            </w:pPr>
            <w:r w:rsidRPr="00B260D6">
              <w:rPr>
                <w:sz w:val="20"/>
                <w:szCs w:val="20"/>
              </w:rPr>
              <w:t>Ethane, nitro</w:t>
            </w:r>
          </w:p>
        </w:tc>
        <w:tc>
          <w:tcPr>
            <w:tcW w:w="2538" w:type="dxa"/>
            <w:vAlign w:val="center"/>
          </w:tcPr>
          <w:p w:rsidR="00705C39" w:rsidRPr="00B260D6" w:rsidRDefault="00173FC1" w:rsidP="00B260D6">
            <w:pPr>
              <w:jc w:val="center"/>
              <w:rPr>
                <w:sz w:val="20"/>
                <w:szCs w:val="20"/>
              </w:rPr>
            </w:pPr>
            <w:r w:rsidRPr="00B260D6">
              <w:rPr>
                <w:sz w:val="20"/>
                <w:szCs w:val="20"/>
              </w:rPr>
              <w:t>Propane, 1-nitro</w:t>
            </w:r>
          </w:p>
        </w:tc>
      </w:tr>
    </w:tbl>
    <w:p w:rsidR="00204A39" w:rsidRPr="009018BF" w:rsidRDefault="00204A39" w:rsidP="00F37C80">
      <w:pPr>
        <w:pStyle w:val="Heading2"/>
      </w:pPr>
      <w:bookmarkStart w:id="10" w:name="_Toc32726014"/>
      <w:bookmarkStart w:id="11" w:name="_Toc32727197"/>
      <w:bookmarkStart w:id="12" w:name="_Toc147824526"/>
      <w:r w:rsidRPr="009018BF">
        <w:t>Purity/Impurities/Additives</w:t>
      </w:r>
      <w:bookmarkEnd w:id="10"/>
      <w:bookmarkEnd w:id="11"/>
      <w:bookmarkEnd w:id="12"/>
    </w:p>
    <w:p w:rsidR="00204A39" w:rsidRPr="009018BF" w:rsidRDefault="00204A39" w:rsidP="00F37C80">
      <w:pPr>
        <w:pStyle w:val="BodyText"/>
      </w:pPr>
      <w:r w:rsidRPr="009018BF">
        <w:t xml:space="preserve">The </w:t>
      </w:r>
      <w:r w:rsidR="0042732D" w:rsidRPr="009018BF">
        <w:t>category members</w:t>
      </w:r>
      <w:r w:rsidRPr="009018BF">
        <w:t xml:space="preserve"> do not have any additives or solvents. </w:t>
      </w:r>
    </w:p>
    <w:p w:rsidR="00CB6D90" w:rsidRPr="009018BF" w:rsidRDefault="00204A39" w:rsidP="00F37C80">
      <w:pPr>
        <w:pStyle w:val="Heading2"/>
      </w:pPr>
      <w:bookmarkStart w:id="13" w:name="_Toc32726015"/>
      <w:bookmarkStart w:id="14" w:name="_Toc32727198"/>
      <w:bookmarkStart w:id="15" w:name="_Toc147824527"/>
      <w:r w:rsidRPr="009018BF">
        <w:t>Physico-Chemical properties</w:t>
      </w:r>
      <w:bookmarkEnd w:id="13"/>
      <w:bookmarkEnd w:id="14"/>
      <w:bookmarkEnd w:id="15"/>
      <w:r w:rsidR="00547314" w:rsidRPr="009018BF">
        <w:t xml:space="preserve">  </w:t>
      </w:r>
    </w:p>
    <w:p w:rsidR="00204A39" w:rsidRDefault="000A3308" w:rsidP="00895CF0">
      <w:pPr>
        <w:pStyle w:val="Caption"/>
        <w:ind w:hanging="839"/>
        <w:jc w:val="both"/>
      </w:pPr>
      <w:bookmarkStart w:id="16" w:name="_Toc33513379"/>
      <w:bookmarkStart w:id="17" w:name="_Toc264544908"/>
      <w:bookmarkStart w:id="18" w:name="_Toc266716145"/>
      <w:r>
        <w:t xml:space="preserve"> </w:t>
      </w:r>
      <w:r w:rsidR="008105BE" w:rsidRPr="009018BF">
        <w:t>Table</w:t>
      </w:r>
      <w:r w:rsidR="008105BE">
        <w:t xml:space="preserve"> </w:t>
      </w:r>
      <w:r w:rsidR="00B320DF">
        <w:fldChar w:fldCharType="begin"/>
      </w:r>
      <w:r w:rsidR="008105BE">
        <w:instrText xml:space="preserve"> SEQ Table \* ARABIC </w:instrText>
      </w:r>
      <w:r w:rsidR="00B320DF">
        <w:fldChar w:fldCharType="separate"/>
      </w:r>
      <w:r w:rsidR="006263B7">
        <w:rPr>
          <w:noProof/>
        </w:rPr>
        <w:t>2</w:t>
      </w:r>
      <w:r w:rsidR="00B320DF">
        <w:fldChar w:fldCharType="end"/>
      </w:r>
      <w:r w:rsidR="009C4A54">
        <w:rPr>
          <w:noProof/>
        </w:rPr>
        <w:t xml:space="preserve">  </w:t>
      </w:r>
      <w:r w:rsidR="008105BE">
        <w:rPr>
          <w:noProof/>
        </w:rPr>
        <w:t>Summary of Physical/Chemical Properties</w:t>
      </w:r>
      <w:bookmarkEnd w:id="16"/>
      <w:bookmarkEnd w:id="17"/>
      <w:bookmarkEnd w:id="18"/>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406"/>
        <w:gridCol w:w="2374"/>
        <w:gridCol w:w="2454"/>
        <w:gridCol w:w="2325"/>
      </w:tblGrid>
      <w:tr w:rsidR="003E6809" w:rsidRPr="00B82266" w:rsidTr="00895CF0">
        <w:tc>
          <w:tcPr>
            <w:tcW w:w="2235" w:type="dxa"/>
            <w:tcBorders>
              <w:top w:val="single" w:sz="12" w:space="0" w:color="auto"/>
              <w:bottom w:val="single" w:sz="12" w:space="0" w:color="auto"/>
            </w:tcBorders>
          </w:tcPr>
          <w:p w:rsidR="003E6809" w:rsidRPr="00895CF0" w:rsidRDefault="003E6809" w:rsidP="00895CF0">
            <w:pPr>
              <w:pStyle w:val="Tabletext"/>
              <w:jc w:val="center"/>
              <w:rPr>
                <w:b/>
                <w:sz w:val="20"/>
                <w:szCs w:val="20"/>
              </w:rPr>
            </w:pPr>
          </w:p>
        </w:tc>
        <w:tc>
          <w:tcPr>
            <w:tcW w:w="2205" w:type="dxa"/>
            <w:tcBorders>
              <w:top w:val="single" w:sz="12" w:space="0" w:color="auto"/>
              <w:bottom w:val="single" w:sz="12" w:space="0" w:color="auto"/>
            </w:tcBorders>
          </w:tcPr>
          <w:p w:rsidR="003E6809" w:rsidRPr="00895CF0" w:rsidRDefault="003E6809" w:rsidP="00895CF0">
            <w:pPr>
              <w:pStyle w:val="BodyText"/>
              <w:jc w:val="center"/>
              <w:rPr>
                <w:b/>
                <w:sz w:val="20"/>
                <w:szCs w:val="20"/>
                <w:lang w:val="en-US"/>
              </w:rPr>
            </w:pPr>
            <w:r w:rsidRPr="00895CF0">
              <w:rPr>
                <w:b/>
                <w:sz w:val="20"/>
                <w:szCs w:val="20"/>
                <w:lang w:val="en-US"/>
              </w:rPr>
              <w:t>Nitromethane</w:t>
            </w:r>
          </w:p>
        </w:tc>
        <w:tc>
          <w:tcPr>
            <w:tcW w:w="2280" w:type="dxa"/>
            <w:tcBorders>
              <w:top w:val="single" w:sz="12" w:space="0" w:color="auto"/>
              <w:bottom w:val="single" w:sz="12" w:space="0" w:color="auto"/>
            </w:tcBorders>
          </w:tcPr>
          <w:p w:rsidR="003E6809" w:rsidRPr="00895CF0" w:rsidRDefault="003E6809" w:rsidP="00895CF0">
            <w:pPr>
              <w:pStyle w:val="BodyText"/>
              <w:jc w:val="center"/>
              <w:rPr>
                <w:b/>
                <w:sz w:val="20"/>
                <w:szCs w:val="20"/>
                <w:lang w:val="en-US"/>
              </w:rPr>
            </w:pPr>
            <w:r w:rsidRPr="00895CF0">
              <w:rPr>
                <w:b/>
                <w:sz w:val="20"/>
                <w:szCs w:val="20"/>
                <w:lang w:val="en-US"/>
              </w:rPr>
              <w:t>Nitroethane</w:t>
            </w:r>
          </w:p>
        </w:tc>
        <w:tc>
          <w:tcPr>
            <w:tcW w:w="2160" w:type="dxa"/>
            <w:tcBorders>
              <w:top w:val="single" w:sz="12" w:space="0" w:color="auto"/>
              <w:bottom w:val="single" w:sz="12" w:space="0" w:color="auto"/>
            </w:tcBorders>
          </w:tcPr>
          <w:p w:rsidR="003E6809" w:rsidRPr="00895CF0" w:rsidRDefault="003E6809" w:rsidP="00895CF0">
            <w:pPr>
              <w:pStyle w:val="BodyText"/>
              <w:jc w:val="center"/>
              <w:rPr>
                <w:b/>
                <w:sz w:val="20"/>
                <w:szCs w:val="20"/>
                <w:lang w:val="en-US"/>
              </w:rPr>
            </w:pPr>
            <w:r w:rsidRPr="00895CF0">
              <w:rPr>
                <w:b/>
                <w:sz w:val="20"/>
                <w:szCs w:val="20"/>
                <w:lang w:val="en-US"/>
              </w:rPr>
              <w:t>1-Nitropropane</w:t>
            </w:r>
          </w:p>
        </w:tc>
      </w:tr>
      <w:tr w:rsidR="003E6809" w:rsidTr="00895CF0">
        <w:tc>
          <w:tcPr>
            <w:tcW w:w="2235" w:type="dxa"/>
            <w:tcBorders>
              <w:top w:val="single" w:sz="12" w:space="0" w:color="auto"/>
            </w:tcBorders>
          </w:tcPr>
          <w:p w:rsidR="003E6809" w:rsidRPr="00895CF0" w:rsidRDefault="003E6809" w:rsidP="00895CF0">
            <w:pPr>
              <w:pStyle w:val="Tabletext"/>
              <w:jc w:val="center"/>
              <w:rPr>
                <w:b/>
                <w:sz w:val="20"/>
                <w:szCs w:val="20"/>
              </w:rPr>
            </w:pPr>
            <w:r w:rsidRPr="00895CF0">
              <w:rPr>
                <w:b/>
                <w:sz w:val="20"/>
                <w:szCs w:val="20"/>
              </w:rPr>
              <w:t>Physical state</w:t>
            </w:r>
          </w:p>
        </w:tc>
        <w:tc>
          <w:tcPr>
            <w:tcW w:w="2205" w:type="dxa"/>
            <w:tcBorders>
              <w:top w:val="single" w:sz="12" w:space="0" w:color="auto"/>
            </w:tcBorders>
            <w:vAlign w:val="center"/>
          </w:tcPr>
          <w:p w:rsidR="003E6809" w:rsidRPr="00895CF0" w:rsidRDefault="00542F46" w:rsidP="00895CF0">
            <w:pPr>
              <w:jc w:val="center"/>
              <w:rPr>
                <w:sz w:val="20"/>
                <w:szCs w:val="20"/>
              </w:rPr>
            </w:pPr>
            <w:r w:rsidRPr="00895CF0">
              <w:rPr>
                <w:sz w:val="20"/>
                <w:szCs w:val="20"/>
              </w:rPr>
              <w:t>Liquid</w:t>
            </w:r>
          </w:p>
        </w:tc>
        <w:tc>
          <w:tcPr>
            <w:tcW w:w="2280" w:type="dxa"/>
            <w:tcBorders>
              <w:top w:val="single" w:sz="12" w:space="0" w:color="auto"/>
            </w:tcBorders>
            <w:vAlign w:val="center"/>
          </w:tcPr>
          <w:p w:rsidR="003E6809" w:rsidRPr="00895CF0" w:rsidRDefault="00C63E6D" w:rsidP="00895CF0">
            <w:pPr>
              <w:jc w:val="center"/>
              <w:rPr>
                <w:sz w:val="20"/>
                <w:szCs w:val="20"/>
              </w:rPr>
            </w:pPr>
            <w:r w:rsidRPr="00895CF0">
              <w:rPr>
                <w:sz w:val="20"/>
                <w:szCs w:val="20"/>
              </w:rPr>
              <w:t>Liquid</w:t>
            </w:r>
          </w:p>
        </w:tc>
        <w:tc>
          <w:tcPr>
            <w:tcW w:w="2160" w:type="dxa"/>
            <w:tcBorders>
              <w:top w:val="single" w:sz="12" w:space="0" w:color="auto"/>
            </w:tcBorders>
            <w:vAlign w:val="center"/>
          </w:tcPr>
          <w:p w:rsidR="003E6809" w:rsidRPr="00895CF0" w:rsidRDefault="002C311C" w:rsidP="00895CF0">
            <w:pPr>
              <w:jc w:val="center"/>
              <w:rPr>
                <w:sz w:val="20"/>
                <w:szCs w:val="20"/>
              </w:rPr>
            </w:pPr>
            <w:r w:rsidRPr="00895CF0">
              <w:rPr>
                <w:sz w:val="20"/>
                <w:szCs w:val="20"/>
              </w:rPr>
              <w:t>Liquid</w:t>
            </w:r>
          </w:p>
        </w:tc>
      </w:tr>
      <w:tr w:rsidR="003E6809" w:rsidTr="00895CF0">
        <w:trPr>
          <w:trHeight w:val="840"/>
        </w:trPr>
        <w:tc>
          <w:tcPr>
            <w:tcW w:w="2235" w:type="dxa"/>
          </w:tcPr>
          <w:p w:rsidR="003E6809" w:rsidRPr="00895CF0" w:rsidRDefault="003E6809" w:rsidP="00895CF0">
            <w:pPr>
              <w:pStyle w:val="Tabletext"/>
              <w:jc w:val="center"/>
              <w:rPr>
                <w:b/>
                <w:sz w:val="20"/>
                <w:szCs w:val="20"/>
              </w:rPr>
            </w:pPr>
            <w:r w:rsidRPr="00895CF0">
              <w:rPr>
                <w:b/>
                <w:sz w:val="20"/>
                <w:szCs w:val="20"/>
              </w:rPr>
              <w:t>Melting point (</w:t>
            </w:r>
            <w:r w:rsidRPr="00895CF0">
              <w:rPr>
                <w:b/>
                <w:sz w:val="20"/>
                <w:szCs w:val="20"/>
                <w:vertAlign w:val="superscript"/>
              </w:rPr>
              <w:t>o</w:t>
            </w:r>
            <w:r w:rsidRPr="00895CF0">
              <w:rPr>
                <w:b/>
                <w:sz w:val="20"/>
                <w:szCs w:val="20"/>
              </w:rPr>
              <w:t>C)</w:t>
            </w:r>
          </w:p>
        </w:tc>
        <w:tc>
          <w:tcPr>
            <w:tcW w:w="2205" w:type="dxa"/>
            <w:vAlign w:val="center"/>
          </w:tcPr>
          <w:p w:rsidR="00542F46" w:rsidRPr="00895CF0" w:rsidRDefault="00542F46" w:rsidP="00895CF0">
            <w:pPr>
              <w:jc w:val="center"/>
              <w:rPr>
                <w:sz w:val="20"/>
                <w:szCs w:val="20"/>
              </w:rPr>
            </w:pPr>
            <w:r w:rsidRPr="00895CF0">
              <w:rPr>
                <w:sz w:val="20"/>
                <w:szCs w:val="20"/>
              </w:rPr>
              <w:t xml:space="preserve">-28.4 </w:t>
            </w:r>
            <w:r w:rsidRPr="00895CF0">
              <w:rPr>
                <w:sz w:val="20"/>
                <w:szCs w:val="20"/>
                <w:vertAlign w:val="superscript"/>
              </w:rPr>
              <w:t>o</w:t>
            </w:r>
            <w:r w:rsidRPr="00895CF0">
              <w:rPr>
                <w:sz w:val="20"/>
                <w:szCs w:val="20"/>
              </w:rPr>
              <w:t>C</w:t>
            </w:r>
          </w:p>
          <w:p w:rsidR="003E6809" w:rsidRPr="00895CF0" w:rsidRDefault="00542F46" w:rsidP="00895CF0">
            <w:pPr>
              <w:jc w:val="center"/>
              <w:rPr>
                <w:i/>
                <w:sz w:val="20"/>
                <w:szCs w:val="20"/>
              </w:rPr>
            </w:pPr>
            <w:r w:rsidRPr="00895CF0">
              <w:rPr>
                <w:i/>
                <w:sz w:val="20"/>
                <w:szCs w:val="20"/>
              </w:rPr>
              <w:t>(Lide, 2003)</w:t>
            </w:r>
          </w:p>
        </w:tc>
        <w:tc>
          <w:tcPr>
            <w:tcW w:w="2280" w:type="dxa"/>
            <w:vAlign w:val="center"/>
          </w:tcPr>
          <w:p w:rsidR="003E6809" w:rsidRPr="00895CF0" w:rsidRDefault="00C63E6D" w:rsidP="00895CF0">
            <w:pPr>
              <w:jc w:val="center"/>
              <w:rPr>
                <w:sz w:val="20"/>
                <w:szCs w:val="20"/>
              </w:rPr>
            </w:pPr>
            <w:r w:rsidRPr="00895CF0">
              <w:rPr>
                <w:sz w:val="20"/>
                <w:szCs w:val="20"/>
              </w:rPr>
              <w:t xml:space="preserve">-89.5 </w:t>
            </w:r>
            <w:r w:rsidRPr="00895CF0">
              <w:rPr>
                <w:sz w:val="20"/>
                <w:szCs w:val="20"/>
                <w:vertAlign w:val="superscript"/>
              </w:rPr>
              <w:t>o</w:t>
            </w:r>
            <w:r w:rsidRPr="00895CF0">
              <w:rPr>
                <w:sz w:val="20"/>
                <w:szCs w:val="20"/>
              </w:rPr>
              <w:t>C</w:t>
            </w:r>
          </w:p>
          <w:p w:rsidR="00C63E6D" w:rsidRPr="00895CF0" w:rsidRDefault="00C63E6D" w:rsidP="00895CF0">
            <w:pPr>
              <w:jc w:val="center"/>
              <w:rPr>
                <w:i/>
                <w:sz w:val="20"/>
                <w:szCs w:val="20"/>
              </w:rPr>
            </w:pPr>
            <w:r w:rsidRPr="00895CF0">
              <w:rPr>
                <w:i/>
                <w:sz w:val="20"/>
                <w:szCs w:val="20"/>
              </w:rPr>
              <w:t>(Lide, 2003)</w:t>
            </w:r>
          </w:p>
        </w:tc>
        <w:tc>
          <w:tcPr>
            <w:tcW w:w="2160" w:type="dxa"/>
            <w:vAlign w:val="center"/>
          </w:tcPr>
          <w:p w:rsidR="003E6809" w:rsidRPr="00895CF0" w:rsidRDefault="002C311C" w:rsidP="00895CF0">
            <w:pPr>
              <w:jc w:val="center"/>
              <w:rPr>
                <w:sz w:val="20"/>
                <w:szCs w:val="20"/>
              </w:rPr>
            </w:pPr>
            <w:r w:rsidRPr="00895CF0">
              <w:rPr>
                <w:sz w:val="20"/>
                <w:szCs w:val="20"/>
              </w:rPr>
              <w:t xml:space="preserve">-104 </w:t>
            </w:r>
            <w:r w:rsidRPr="00895CF0">
              <w:rPr>
                <w:sz w:val="20"/>
                <w:szCs w:val="20"/>
                <w:vertAlign w:val="superscript"/>
              </w:rPr>
              <w:t>o</w:t>
            </w:r>
            <w:r w:rsidRPr="00895CF0">
              <w:rPr>
                <w:sz w:val="20"/>
                <w:szCs w:val="20"/>
              </w:rPr>
              <w:t>C</w:t>
            </w:r>
          </w:p>
          <w:p w:rsidR="002C311C" w:rsidRPr="00895CF0" w:rsidRDefault="002C311C" w:rsidP="00895CF0">
            <w:pPr>
              <w:jc w:val="center"/>
              <w:rPr>
                <w:sz w:val="20"/>
                <w:szCs w:val="20"/>
              </w:rPr>
            </w:pPr>
            <w:r w:rsidRPr="00895CF0">
              <w:rPr>
                <w:i/>
                <w:sz w:val="20"/>
                <w:szCs w:val="20"/>
              </w:rPr>
              <w:t>(Lide, 2003)</w:t>
            </w:r>
          </w:p>
        </w:tc>
      </w:tr>
      <w:tr w:rsidR="003E6809" w:rsidTr="00895CF0">
        <w:tc>
          <w:tcPr>
            <w:tcW w:w="2235" w:type="dxa"/>
          </w:tcPr>
          <w:p w:rsidR="003E6809" w:rsidRPr="00895CF0" w:rsidRDefault="003E6809" w:rsidP="00895CF0">
            <w:pPr>
              <w:pStyle w:val="Tabletext"/>
              <w:jc w:val="center"/>
              <w:rPr>
                <w:b/>
                <w:sz w:val="20"/>
                <w:szCs w:val="20"/>
              </w:rPr>
            </w:pPr>
            <w:r w:rsidRPr="00895CF0">
              <w:rPr>
                <w:b/>
                <w:sz w:val="20"/>
                <w:szCs w:val="20"/>
              </w:rPr>
              <w:t>Boiling point  (</w:t>
            </w:r>
            <w:r w:rsidRPr="00895CF0">
              <w:rPr>
                <w:b/>
                <w:sz w:val="20"/>
                <w:szCs w:val="20"/>
                <w:vertAlign w:val="superscript"/>
              </w:rPr>
              <w:t>o</w:t>
            </w:r>
            <w:r w:rsidRPr="00895CF0">
              <w:rPr>
                <w:b/>
                <w:sz w:val="20"/>
                <w:szCs w:val="20"/>
              </w:rPr>
              <w:t>C)</w:t>
            </w:r>
          </w:p>
          <w:p w:rsidR="003E6809" w:rsidRPr="00895CF0" w:rsidRDefault="003E6809" w:rsidP="00895CF0">
            <w:pPr>
              <w:pStyle w:val="Tabletext"/>
              <w:jc w:val="center"/>
              <w:rPr>
                <w:b/>
                <w:sz w:val="20"/>
                <w:szCs w:val="20"/>
              </w:rPr>
            </w:pPr>
          </w:p>
        </w:tc>
        <w:tc>
          <w:tcPr>
            <w:tcW w:w="2205" w:type="dxa"/>
            <w:vAlign w:val="center"/>
          </w:tcPr>
          <w:p w:rsidR="00542F46" w:rsidRPr="00895CF0" w:rsidRDefault="00542F46" w:rsidP="00895CF0">
            <w:pPr>
              <w:jc w:val="center"/>
              <w:rPr>
                <w:sz w:val="20"/>
                <w:szCs w:val="20"/>
              </w:rPr>
            </w:pPr>
            <w:r w:rsidRPr="00895CF0">
              <w:rPr>
                <w:sz w:val="20"/>
                <w:szCs w:val="20"/>
              </w:rPr>
              <w:t xml:space="preserve">101.2 </w:t>
            </w:r>
            <w:r w:rsidRPr="00895CF0">
              <w:rPr>
                <w:sz w:val="20"/>
                <w:szCs w:val="20"/>
                <w:vertAlign w:val="superscript"/>
              </w:rPr>
              <w:t>o</w:t>
            </w:r>
            <w:r w:rsidRPr="00895CF0">
              <w:rPr>
                <w:sz w:val="20"/>
                <w:szCs w:val="20"/>
              </w:rPr>
              <w:t>C @101</w:t>
            </w:r>
            <w:r w:rsidR="00223902" w:rsidRPr="00895CF0">
              <w:rPr>
                <w:sz w:val="20"/>
                <w:szCs w:val="20"/>
              </w:rPr>
              <w:t>3</w:t>
            </w:r>
            <w:r w:rsidRPr="00895CF0">
              <w:rPr>
                <w:sz w:val="20"/>
                <w:szCs w:val="20"/>
              </w:rPr>
              <w:t xml:space="preserve"> hPa</w:t>
            </w:r>
          </w:p>
          <w:p w:rsidR="003E6809" w:rsidRPr="00895CF0" w:rsidRDefault="00542F46" w:rsidP="00895CF0">
            <w:pPr>
              <w:jc w:val="center"/>
              <w:rPr>
                <w:i/>
                <w:sz w:val="20"/>
                <w:szCs w:val="20"/>
              </w:rPr>
            </w:pPr>
            <w:r w:rsidRPr="00895CF0">
              <w:rPr>
                <w:i/>
                <w:sz w:val="20"/>
                <w:szCs w:val="20"/>
              </w:rPr>
              <w:t>(Lide, 2003)</w:t>
            </w:r>
          </w:p>
        </w:tc>
        <w:tc>
          <w:tcPr>
            <w:tcW w:w="2280" w:type="dxa"/>
            <w:vAlign w:val="center"/>
          </w:tcPr>
          <w:p w:rsidR="003E6809" w:rsidRPr="00895CF0" w:rsidRDefault="00C63E6D" w:rsidP="00895CF0">
            <w:pPr>
              <w:jc w:val="center"/>
              <w:rPr>
                <w:sz w:val="20"/>
                <w:szCs w:val="20"/>
              </w:rPr>
            </w:pPr>
            <w:r w:rsidRPr="00895CF0">
              <w:rPr>
                <w:sz w:val="20"/>
                <w:szCs w:val="20"/>
              </w:rPr>
              <w:t xml:space="preserve">114 </w:t>
            </w:r>
            <w:r w:rsidRPr="00895CF0">
              <w:rPr>
                <w:sz w:val="20"/>
                <w:szCs w:val="20"/>
                <w:vertAlign w:val="superscript"/>
              </w:rPr>
              <w:t>o</w:t>
            </w:r>
            <w:r w:rsidRPr="00895CF0">
              <w:rPr>
                <w:sz w:val="20"/>
                <w:szCs w:val="20"/>
              </w:rPr>
              <w:t xml:space="preserve">C </w:t>
            </w:r>
            <w:r w:rsidR="009D40A2" w:rsidRPr="00895CF0">
              <w:rPr>
                <w:sz w:val="20"/>
                <w:szCs w:val="20"/>
              </w:rPr>
              <w:t>@</w:t>
            </w:r>
            <w:r w:rsidRPr="00895CF0">
              <w:rPr>
                <w:sz w:val="20"/>
                <w:szCs w:val="20"/>
              </w:rPr>
              <w:t xml:space="preserve"> 1013 hPa</w:t>
            </w:r>
          </w:p>
          <w:p w:rsidR="00C63E6D" w:rsidRPr="00895CF0" w:rsidRDefault="00C63E6D" w:rsidP="00895CF0">
            <w:pPr>
              <w:jc w:val="center"/>
              <w:rPr>
                <w:i/>
                <w:sz w:val="20"/>
                <w:szCs w:val="20"/>
              </w:rPr>
            </w:pPr>
            <w:r w:rsidRPr="00895CF0">
              <w:rPr>
                <w:i/>
                <w:sz w:val="20"/>
                <w:szCs w:val="20"/>
              </w:rPr>
              <w:t>(Lide, 2003)</w:t>
            </w:r>
          </w:p>
        </w:tc>
        <w:tc>
          <w:tcPr>
            <w:tcW w:w="2160" w:type="dxa"/>
            <w:vAlign w:val="center"/>
          </w:tcPr>
          <w:p w:rsidR="002C311C" w:rsidRPr="00895CF0" w:rsidRDefault="002C311C" w:rsidP="00895CF0">
            <w:pPr>
              <w:jc w:val="center"/>
              <w:rPr>
                <w:sz w:val="20"/>
                <w:szCs w:val="20"/>
              </w:rPr>
            </w:pPr>
            <w:r w:rsidRPr="00895CF0">
              <w:rPr>
                <w:sz w:val="20"/>
                <w:szCs w:val="20"/>
              </w:rPr>
              <w:t xml:space="preserve">131.1 </w:t>
            </w:r>
            <w:r w:rsidRPr="00895CF0">
              <w:rPr>
                <w:sz w:val="20"/>
                <w:szCs w:val="20"/>
                <w:vertAlign w:val="superscript"/>
              </w:rPr>
              <w:t>o</w:t>
            </w:r>
            <w:r w:rsidRPr="00895CF0">
              <w:rPr>
                <w:sz w:val="20"/>
                <w:szCs w:val="20"/>
              </w:rPr>
              <w:t>C</w:t>
            </w:r>
          </w:p>
          <w:p w:rsidR="003E6809" w:rsidRPr="00895CF0" w:rsidRDefault="002C311C" w:rsidP="00895CF0">
            <w:pPr>
              <w:jc w:val="center"/>
              <w:rPr>
                <w:sz w:val="20"/>
                <w:szCs w:val="20"/>
              </w:rPr>
            </w:pPr>
            <w:r w:rsidRPr="00895CF0">
              <w:rPr>
                <w:i/>
                <w:sz w:val="20"/>
                <w:szCs w:val="20"/>
              </w:rPr>
              <w:t>(Lide, 2003)</w:t>
            </w:r>
          </w:p>
        </w:tc>
      </w:tr>
      <w:tr w:rsidR="003E6809" w:rsidTr="00895CF0">
        <w:trPr>
          <w:trHeight w:val="822"/>
        </w:trPr>
        <w:tc>
          <w:tcPr>
            <w:tcW w:w="2235" w:type="dxa"/>
          </w:tcPr>
          <w:p w:rsidR="003E6809" w:rsidRPr="00895CF0" w:rsidRDefault="00171440" w:rsidP="00895CF0">
            <w:pPr>
              <w:pStyle w:val="Tabletext"/>
              <w:jc w:val="center"/>
              <w:rPr>
                <w:b/>
                <w:sz w:val="20"/>
                <w:szCs w:val="20"/>
              </w:rPr>
            </w:pPr>
            <w:r w:rsidRPr="00895CF0">
              <w:rPr>
                <w:b/>
                <w:sz w:val="20"/>
                <w:szCs w:val="20"/>
              </w:rPr>
              <w:t>D</w:t>
            </w:r>
            <w:r w:rsidR="003E6809" w:rsidRPr="00895CF0">
              <w:rPr>
                <w:b/>
                <w:sz w:val="20"/>
                <w:szCs w:val="20"/>
              </w:rPr>
              <w:t>ensity</w:t>
            </w:r>
          </w:p>
        </w:tc>
        <w:tc>
          <w:tcPr>
            <w:tcW w:w="2205" w:type="dxa"/>
            <w:vAlign w:val="center"/>
          </w:tcPr>
          <w:p w:rsidR="00223902" w:rsidRPr="00895CF0" w:rsidRDefault="00542F46" w:rsidP="00895CF0">
            <w:pPr>
              <w:jc w:val="center"/>
              <w:rPr>
                <w:sz w:val="20"/>
                <w:szCs w:val="20"/>
              </w:rPr>
            </w:pPr>
            <w:r w:rsidRPr="00895CF0">
              <w:rPr>
                <w:sz w:val="20"/>
                <w:szCs w:val="20"/>
              </w:rPr>
              <w:t>1.1322 g/cm</w:t>
            </w:r>
            <w:r w:rsidRPr="00895CF0">
              <w:rPr>
                <w:sz w:val="20"/>
                <w:szCs w:val="20"/>
                <w:vertAlign w:val="superscript"/>
              </w:rPr>
              <w:t>3</w:t>
            </w:r>
          </w:p>
          <w:p w:rsidR="003E6809" w:rsidRPr="00895CF0" w:rsidRDefault="009D40A2" w:rsidP="00895CF0">
            <w:pPr>
              <w:jc w:val="center"/>
              <w:rPr>
                <w:sz w:val="20"/>
                <w:szCs w:val="20"/>
              </w:rPr>
            </w:pPr>
            <w:r w:rsidRPr="00895CF0">
              <w:rPr>
                <w:sz w:val="20"/>
                <w:szCs w:val="20"/>
              </w:rPr>
              <w:t>@</w:t>
            </w:r>
            <w:r w:rsidR="00542F46" w:rsidRPr="00895CF0">
              <w:rPr>
                <w:sz w:val="20"/>
                <w:szCs w:val="20"/>
              </w:rPr>
              <w:t xml:space="preserve"> 25 </w:t>
            </w:r>
            <w:r w:rsidR="00542F46" w:rsidRPr="00895CF0">
              <w:rPr>
                <w:sz w:val="20"/>
                <w:szCs w:val="20"/>
                <w:vertAlign w:val="superscript"/>
              </w:rPr>
              <w:t>o</w:t>
            </w:r>
            <w:r w:rsidR="00542F46" w:rsidRPr="00895CF0">
              <w:rPr>
                <w:sz w:val="20"/>
                <w:szCs w:val="20"/>
              </w:rPr>
              <w:t>C</w:t>
            </w:r>
          </w:p>
          <w:p w:rsidR="00542F46" w:rsidRPr="00895CF0" w:rsidRDefault="00542F46" w:rsidP="00895CF0">
            <w:pPr>
              <w:jc w:val="center"/>
              <w:rPr>
                <w:i/>
                <w:sz w:val="20"/>
                <w:szCs w:val="20"/>
              </w:rPr>
            </w:pPr>
            <w:r w:rsidRPr="00895CF0">
              <w:rPr>
                <w:i/>
                <w:sz w:val="20"/>
                <w:szCs w:val="20"/>
              </w:rPr>
              <w:t>(Budavari, 1989)</w:t>
            </w:r>
          </w:p>
        </w:tc>
        <w:tc>
          <w:tcPr>
            <w:tcW w:w="2280" w:type="dxa"/>
            <w:vAlign w:val="center"/>
          </w:tcPr>
          <w:p w:rsidR="00223902" w:rsidRPr="00895CF0" w:rsidRDefault="00C63E6D" w:rsidP="00895CF0">
            <w:pPr>
              <w:jc w:val="center"/>
              <w:rPr>
                <w:sz w:val="20"/>
                <w:szCs w:val="20"/>
              </w:rPr>
            </w:pPr>
            <w:r w:rsidRPr="00895CF0">
              <w:rPr>
                <w:sz w:val="20"/>
                <w:szCs w:val="20"/>
              </w:rPr>
              <w:t>1.0448 g/cm</w:t>
            </w:r>
            <w:r w:rsidRPr="00895CF0">
              <w:rPr>
                <w:sz w:val="20"/>
                <w:szCs w:val="20"/>
                <w:vertAlign w:val="superscript"/>
              </w:rPr>
              <w:t>3</w:t>
            </w:r>
          </w:p>
          <w:p w:rsidR="003E6809" w:rsidRPr="00895CF0" w:rsidRDefault="009D40A2" w:rsidP="00895CF0">
            <w:pPr>
              <w:jc w:val="center"/>
              <w:rPr>
                <w:sz w:val="20"/>
                <w:szCs w:val="20"/>
              </w:rPr>
            </w:pPr>
            <w:r w:rsidRPr="00895CF0">
              <w:rPr>
                <w:sz w:val="20"/>
                <w:szCs w:val="20"/>
              </w:rPr>
              <w:t>@</w:t>
            </w:r>
            <w:r w:rsidR="00C63E6D" w:rsidRPr="00895CF0">
              <w:rPr>
                <w:sz w:val="20"/>
                <w:szCs w:val="20"/>
              </w:rPr>
              <w:t xml:space="preserve"> 25 </w:t>
            </w:r>
            <w:r w:rsidR="00C63E6D" w:rsidRPr="00895CF0">
              <w:rPr>
                <w:sz w:val="20"/>
                <w:szCs w:val="20"/>
                <w:vertAlign w:val="superscript"/>
              </w:rPr>
              <w:t>o</w:t>
            </w:r>
            <w:r w:rsidR="00C63E6D" w:rsidRPr="00895CF0">
              <w:rPr>
                <w:sz w:val="20"/>
                <w:szCs w:val="20"/>
              </w:rPr>
              <w:t>C</w:t>
            </w:r>
          </w:p>
          <w:p w:rsidR="00C63E6D" w:rsidRPr="00895CF0" w:rsidRDefault="00C63E6D" w:rsidP="00895CF0">
            <w:pPr>
              <w:jc w:val="center"/>
              <w:rPr>
                <w:i/>
                <w:sz w:val="20"/>
                <w:szCs w:val="20"/>
              </w:rPr>
            </w:pPr>
            <w:r w:rsidRPr="00895CF0">
              <w:rPr>
                <w:i/>
                <w:sz w:val="20"/>
                <w:szCs w:val="20"/>
              </w:rPr>
              <w:t>(Lide, 2003)</w:t>
            </w:r>
          </w:p>
        </w:tc>
        <w:tc>
          <w:tcPr>
            <w:tcW w:w="2160" w:type="dxa"/>
            <w:vAlign w:val="center"/>
          </w:tcPr>
          <w:p w:rsidR="00223902" w:rsidRPr="00895CF0" w:rsidRDefault="002C311C" w:rsidP="00895CF0">
            <w:pPr>
              <w:jc w:val="center"/>
              <w:rPr>
                <w:sz w:val="20"/>
                <w:szCs w:val="20"/>
              </w:rPr>
            </w:pPr>
            <w:r w:rsidRPr="00895CF0">
              <w:rPr>
                <w:sz w:val="20"/>
                <w:szCs w:val="20"/>
              </w:rPr>
              <w:t>0.9934 g/cm</w:t>
            </w:r>
            <w:r w:rsidRPr="00895CF0">
              <w:rPr>
                <w:sz w:val="20"/>
                <w:szCs w:val="20"/>
                <w:vertAlign w:val="superscript"/>
              </w:rPr>
              <w:t>3</w:t>
            </w:r>
          </w:p>
          <w:p w:rsidR="003E6809" w:rsidRPr="00895CF0" w:rsidRDefault="009D40A2" w:rsidP="00895CF0">
            <w:pPr>
              <w:jc w:val="center"/>
              <w:rPr>
                <w:sz w:val="20"/>
                <w:szCs w:val="20"/>
              </w:rPr>
            </w:pPr>
            <w:r w:rsidRPr="00895CF0">
              <w:rPr>
                <w:sz w:val="20"/>
                <w:szCs w:val="20"/>
              </w:rPr>
              <w:t>@</w:t>
            </w:r>
            <w:r w:rsidR="002C311C" w:rsidRPr="00895CF0">
              <w:rPr>
                <w:sz w:val="20"/>
                <w:szCs w:val="20"/>
              </w:rPr>
              <w:t xml:space="preserve"> 25 </w:t>
            </w:r>
            <w:r w:rsidR="002C311C" w:rsidRPr="00895CF0">
              <w:rPr>
                <w:sz w:val="20"/>
                <w:szCs w:val="20"/>
                <w:vertAlign w:val="superscript"/>
              </w:rPr>
              <w:t>o</w:t>
            </w:r>
            <w:r w:rsidR="002C311C" w:rsidRPr="00895CF0">
              <w:rPr>
                <w:sz w:val="20"/>
                <w:szCs w:val="20"/>
              </w:rPr>
              <w:t>C</w:t>
            </w:r>
          </w:p>
          <w:p w:rsidR="002C311C" w:rsidRPr="00895CF0" w:rsidRDefault="002C311C" w:rsidP="00895CF0">
            <w:pPr>
              <w:jc w:val="center"/>
              <w:rPr>
                <w:i/>
                <w:sz w:val="20"/>
                <w:szCs w:val="20"/>
              </w:rPr>
            </w:pPr>
            <w:r w:rsidRPr="00895CF0">
              <w:rPr>
                <w:i/>
                <w:sz w:val="20"/>
                <w:szCs w:val="20"/>
              </w:rPr>
              <w:t>(Budavari, 1989)</w:t>
            </w:r>
          </w:p>
        </w:tc>
      </w:tr>
      <w:tr w:rsidR="003E6809" w:rsidRPr="00B82266" w:rsidTr="00895CF0">
        <w:trPr>
          <w:trHeight w:val="777"/>
        </w:trPr>
        <w:tc>
          <w:tcPr>
            <w:tcW w:w="2235" w:type="dxa"/>
          </w:tcPr>
          <w:p w:rsidR="003E6809" w:rsidRPr="00895CF0" w:rsidRDefault="003E6809" w:rsidP="00895CF0">
            <w:pPr>
              <w:pStyle w:val="Tabletext"/>
              <w:jc w:val="center"/>
              <w:rPr>
                <w:b/>
                <w:sz w:val="20"/>
                <w:szCs w:val="20"/>
              </w:rPr>
            </w:pPr>
            <w:r w:rsidRPr="00895CF0">
              <w:rPr>
                <w:b/>
                <w:sz w:val="20"/>
                <w:szCs w:val="20"/>
              </w:rPr>
              <w:t>Vapour pressure</w:t>
            </w:r>
          </w:p>
          <w:p w:rsidR="003E6809" w:rsidRPr="00895CF0" w:rsidRDefault="00542F46" w:rsidP="00895CF0">
            <w:pPr>
              <w:pStyle w:val="Tabletext"/>
              <w:jc w:val="center"/>
              <w:rPr>
                <w:b/>
                <w:sz w:val="20"/>
                <w:szCs w:val="20"/>
              </w:rPr>
            </w:pPr>
            <w:r w:rsidRPr="00895CF0">
              <w:rPr>
                <w:b/>
                <w:sz w:val="20"/>
                <w:szCs w:val="20"/>
              </w:rPr>
              <w:t>(hPa)</w:t>
            </w:r>
          </w:p>
        </w:tc>
        <w:tc>
          <w:tcPr>
            <w:tcW w:w="2205" w:type="dxa"/>
            <w:vAlign w:val="center"/>
          </w:tcPr>
          <w:p w:rsidR="003E6809" w:rsidRPr="00895CF0" w:rsidRDefault="00542F46" w:rsidP="00895CF0">
            <w:pPr>
              <w:jc w:val="center"/>
              <w:rPr>
                <w:sz w:val="20"/>
                <w:szCs w:val="20"/>
              </w:rPr>
            </w:pPr>
            <w:r w:rsidRPr="00895CF0">
              <w:rPr>
                <w:sz w:val="20"/>
                <w:szCs w:val="20"/>
              </w:rPr>
              <w:t xml:space="preserve">37.1 hPa </w:t>
            </w:r>
            <w:r w:rsidR="009D40A2" w:rsidRPr="00895CF0">
              <w:rPr>
                <w:sz w:val="20"/>
                <w:szCs w:val="20"/>
              </w:rPr>
              <w:t>@</w:t>
            </w:r>
            <w:r w:rsidRPr="00895CF0">
              <w:rPr>
                <w:sz w:val="20"/>
                <w:szCs w:val="20"/>
              </w:rPr>
              <w:t xml:space="preserve"> 20 </w:t>
            </w:r>
            <w:r w:rsidRPr="00895CF0">
              <w:rPr>
                <w:sz w:val="20"/>
                <w:szCs w:val="20"/>
                <w:vertAlign w:val="superscript"/>
              </w:rPr>
              <w:t>o</w:t>
            </w:r>
            <w:r w:rsidRPr="00895CF0">
              <w:rPr>
                <w:sz w:val="20"/>
                <w:szCs w:val="20"/>
              </w:rPr>
              <w:t>C</w:t>
            </w:r>
          </w:p>
          <w:p w:rsidR="00542F46" w:rsidRPr="00895CF0" w:rsidRDefault="00542F46" w:rsidP="00895CF0">
            <w:pPr>
              <w:jc w:val="center"/>
              <w:rPr>
                <w:i/>
                <w:sz w:val="20"/>
                <w:szCs w:val="20"/>
              </w:rPr>
            </w:pPr>
            <w:r w:rsidRPr="00895CF0">
              <w:rPr>
                <w:i/>
                <w:sz w:val="20"/>
                <w:szCs w:val="20"/>
              </w:rPr>
              <w:t>(Sunshine, 1969)</w:t>
            </w:r>
          </w:p>
        </w:tc>
        <w:tc>
          <w:tcPr>
            <w:tcW w:w="2280" w:type="dxa"/>
            <w:vAlign w:val="center"/>
          </w:tcPr>
          <w:p w:rsidR="003E6809" w:rsidRPr="00895CF0" w:rsidRDefault="00EE113E" w:rsidP="00895CF0">
            <w:pPr>
              <w:jc w:val="center"/>
              <w:rPr>
                <w:sz w:val="20"/>
                <w:szCs w:val="20"/>
                <w:lang w:val="de-DE"/>
              </w:rPr>
            </w:pPr>
            <w:r w:rsidRPr="00895CF0">
              <w:rPr>
                <w:sz w:val="20"/>
                <w:szCs w:val="20"/>
                <w:lang w:val="de-DE"/>
              </w:rPr>
              <w:t xml:space="preserve">27.7 hPa </w:t>
            </w:r>
            <w:r w:rsidR="009D40A2" w:rsidRPr="00895CF0">
              <w:rPr>
                <w:sz w:val="20"/>
                <w:szCs w:val="20"/>
                <w:lang w:val="de-DE"/>
              </w:rPr>
              <w:t>@</w:t>
            </w:r>
            <w:r w:rsidRPr="00895CF0">
              <w:rPr>
                <w:sz w:val="20"/>
                <w:szCs w:val="20"/>
                <w:lang w:val="de-DE"/>
              </w:rPr>
              <w:t xml:space="preserve"> 25 </w:t>
            </w:r>
            <w:r w:rsidRPr="00895CF0">
              <w:rPr>
                <w:sz w:val="20"/>
                <w:szCs w:val="20"/>
                <w:vertAlign w:val="superscript"/>
                <w:lang w:val="de-DE"/>
              </w:rPr>
              <w:t>o</w:t>
            </w:r>
            <w:r w:rsidRPr="00895CF0">
              <w:rPr>
                <w:sz w:val="20"/>
                <w:szCs w:val="20"/>
                <w:lang w:val="de-DE"/>
              </w:rPr>
              <w:t>C</w:t>
            </w:r>
          </w:p>
          <w:p w:rsidR="00050922" w:rsidRPr="00895CF0" w:rsidRDefault="00B320DF" w:rsidP="00895CF0">
            <w:pPr>
              <w:jc w:val="center"/>
              <w:rPr>
                <w:i/>
                <w:sz w:val="20"/>
                <w:szCs w:val="20"/>
                <w:lang w:val="de-DE"/>
              </w:rPr>
            </w:pPr>
            <w:r w:rsidRPr="00895CF0">
              <w:rPr>
                <w:sz w:val="20"/>
                <w:szCs w:val="20"/>
                <w:lang w:val="de-DE"/>
              </w:rPr>
              <w:t>(estimated)</w:t>
            </w:r>
          </w:p>
          <w:p w:rsidR="00EE113E" w:rsidRPr="00895CF0" w:rsidRDefault="00EE113E" w:rsidP="00895CF0">
            <w:pPr>
              <w:jc w:val="center"/>
              <w:rPr>
                <w:i/>
                <w:sz w:val="20"/>
                <w:szCs w:val="20"/>
                <w:lang w:val="de-DE"/>
              </w:rPr>
            </w:pPr>
            <w:r w:rsidRPr="00895CF0">
              <w:rPr>
                <w:i/>
                <w:sz w:val="20"/>
                <w:szCs w:val="20"/>
                <w:lang w:val="de-DE"/>
              </w:rPr>
              <w:t>(Daubert and Danner, 1989)</w:t>
            </w:r>
          </w:p>
        </w:tc>
        <w:tc>
          <w:tcPr>
            <w:tcW w:w="2160" w:type="dxa"/>
            <w:vAlign w:val="center"/>
          </w:tcPr>
          <w:p w:rsidR="003E6809" w:rsidRPr="00895CF0" w:rsidRDefault="002C311C" w:rsidP="00895CF0">
            <w:pPr>
              <w:jc w:val="center"/>
              <w:rPr>
                <w:sz w:val="20"/>
                <w:szCs w:val="20"/>
                <w:lang w:val="de-DE"/>
              </w:rPr>
            </w:pPr>
            <w:r w:rsidRPr="00895CF0">
              <w:rPr>
                <w:sz w:val="20"/>
                <w:szCs w:val="20"/>
                <w:lang w:val="de-DE"/>
              </w:rPr>
              <w:t xml:space="preserve">13 hPa </w:t>
            </w:r>
            <w:r w:rsidR="009D40A2" w:rsidRPr="00895CF0">
              <w:rPr>
                <w:sz w:val="20"/>
                <w:szCs w:val="20"/>
                <w:lang w:val="de-DE"/>
              </w:rPr>
              <w:t>@</w:t>
            </w:r>
            <w:r w:rsidRPr="00895CF0">
              <w:rPr>
                <w:sz w:val="20"/>
                <w:szCs w:val="20"/>
                <w:lang w:val="de-DE"/>
              </w:rPr>
              <w:t xml:space="preserve"> 25 </w:t>
            </w:r>
            <w:r w:rsidRPr="00895CF0">
              <w:rPr>
                <w:sz w:val="20"/>
                <w:szCs w:val="20"/>
                <w:vertAlign w:val="superscript"/>
                <w:lang w:val="de-DE"/>
              </w:rPr>
              <w:t>o</w:t>
            </w:r>
            <w:r w:rsidRPr="00895CF0">
              <w:rPr>
                <w:sz w:val="20"/>
                <w:szCs w:val="20"/>
                <w:lang w:val="de-DE"/>
              </w:rPr>
              <w:t>C</w:t>
            </w:r>
          </w:p>
          <w:p w:rsidR="00E15A5E" w:rsidRPr="00895CF0" w:rsidRDefault="00B320DF" w:rsidP="00895CF0">
            <w:pPr>
              <w:tabs>
                <w:tab w:val="left" w:leader="dot" w:pos="9214"/>
                <w:tab w:val="right" w:pos="9639"/>
              </w:tabs>
              <w:spacing w:before="240"/>
              <w:jc w:val="center"/>
              <w:rPr>
                <w:sz w:val="20"/>
                <w:szCs w:val="20"/>
                <w:lang w:val="de-DE"/>
              </w:rPr>
            </w:pPr>
            <w:r w:rsidRPr="00895CF0">
              <w:rPr>
                <w:sz w:val="20"/>
                <w:szCs w:val="20"/>
                <w:lang w:val="de-DE"/>
              </w:rPr>
              <w:t>(estimated)</w:t>
            </w:r>
          </w:p>
          <w:p w:rsidR="002C311C" w:rsidRPr="00895CF0" w:rsidRDefault="002C311C" w:rsidP="00895CF0">
            <w:pPr>
              <w:jc w:val="center"/>
              <w:rPr>
                <w:sz w:val="20"/>
                <w:szCs w:val="20"/>
                <w:lang w:val="de-DE"/>
              </w:rPr>
            </w:pPr>
            <w:r w:rsidRPr="00895CF0">
              <w:rPr>
                <w:i/>
                <w:sz w:val="20"/>
                <w:szCs w:val="20"/>
                <w:lang w:val="de-DE"/>
              </w:rPr>
              <w:t>(Daubert and Danner, 1989)</w:t>
            </w:r>
          </w:p>
        </w:tc>
      </w:tr>
      <w:tr w:rsidR="003E6809" w:rsidTr="00895CF0">
        <w:trPr>
          <w:trHeight w:val="714"/>
        </w:trPr>
        <w:tc>
          <w:tcPr>
            <w:tcW w:w="2235" w:type="dxa"/>
          </w:tcPr>
          <w:p w:rsidR="003E6809" w:rsidRPr="00895CF0" w:rsidRDefault="003E6809" w:rsidP="00895CF0">
            <w:pPr>
              <w:pStyle w:val="Tabletext"/>
              <w:jc w:val="center"/>
              <w:rPr>
                <w:b/>
                <w:sz w:val="20"/>
                <w:szCs w:val="20"/>
              </w:rPr>
            </w:pPr>
            <w:r w:rsidRPr="00895CF0">
              <w:rPr>
                <w:b/>
                <w:sz w:val="20"/>
                <w:szCs w:val="20"/>
              </w:rPr>
              <w:t>Water solubility</w:t>
            </w:r>
          </w:p>
          <w:p w:rsidR="003E6809" w:rsidRPr="00895CF0" w:rsidRDefault="003E6809" w:rsidP="00895CF0">
            <w:pPr>
              <w:pStyle w:val="Tabletext"/>
              <w:jc w:val="center"/>
              <w:rPr>
                <w:b/>
                <w:sz w:val="20"/>
                <w:szCs w:val="20"/>
              </w:rPr>
            </w:pPr>
            <w:r w:rsidRPr="00895CF0">
              <w:rPr>
                <w:b/>
                <w:sz w:val="20"/>
                <w:szCs w:val="20"/>
              </w:rPr>
              <w:t>(g/L at 20</w:t>
            </w:r>
            <w:r w:rsidRPr="00895CF0">
              <w:rPr>
                <w:b/>
                <w:sz w:val="20"/>
                <w:szCs w:val="20"/>
                <w:vertAlign w:val="superscript"/>
              </w:rPr>
              <w:t>o</w:t>
            </w:r>
            <w:r w:rsidRPr="00895CF0">
              <w:rPr>
                <w:b/>
                <w:sz w:val="20"/>
                <w:szCs w:val="20"/>
              </w:rPr>
              <w:t>C)</w:t>
            </w:r>
          </w:p>
        </w:tc>
        <w:tc>
          <w:tcPr>
            <w:tcW w:w="2205" w:type="dxa"/>
            <w:vAlign w:val="center"/>
          </w:tcPr>
          <w:p w:rsidR="00223902" w:rsidRPr="00895CF0" w:rsidRDefault="00542F46" w:rsidP="00895CF0">
            <w:pPr>
              <w:jc w:val="center"/>
              <w:rPr>
                <w:sz w:val="20"/>
                <w:szCs w:val="20"/>
                <w:lang w:val="da-DK"/>
              </w:rPr>
            </w:pPr>
            <w:r w:rsidRPr="00895CF0">
              <w:rPr>
                <w:sz w:val="20"/>
                <w:szCs w:val="20"/>
                <w:lang w:val="da-DK"/>
              </w:rPr>
              <w:t>111,000 mg/L</w:t>
            </w:r>
          </w:p>
          <w:p w:rsidR="003E6809" w:rsidRPr="00895CF0" w:rsidRDefault="009D40A2" w:rsidP="00895CF0">
            <w:pPr>
              <w:jc w:val="center"/>
              <w:rPr>
                <w:sz w:val="20"/>
                <w:szCs w:val="20"/>
                <w:lang w:val="da-DK"/>
              </w:rPr>
            </w:pPr>
            <w:r w:rsidRPr="00895CF0">
              <w:rPr>
                <w:sz w:val="20"/>
                <w:szCs w:val="20"/>
                <w:lang w:val="da-DK"/>
              </w:rPr>
              <w:t>@</w:t>
            </w:r>
            <w:r w:rsidR="00542F46" w:rsidRPr="00895CF0">
              <w:rPr>
                <w:sz w:val="20"/>
                <w:szCs w:val="20"/>
                <w:lang w:val="da-DK"/>
              </w:rPr>
              <w:t xml:space="preserve"> 20 </w:t>
            </w:r>
            <w:r w:rsidR="00542F46" w:rsidRPr="00895CF0">
              <w:rPr>
                <w:sz w:val="20"/>
                <w:szCs w:val="20"/>
                <w:vertAlign w:val="superscript"/>
                <w:lang w:val="da-DK"/>
              </w:rPr>
              <w:t>o</w:t>
            </w:r>
            <w:r w:rsidR="00542F46" w:rsidRPr="00895CF0">
              <w:rPr>
                <w:sz w:val="20"/>
                <w:szCs w:val="20"/>
                <w:lang w:val="da-DK"/>
              </w:rPr>
              <w:t>C</w:t>
            </w:r>
          </w:p>
          <w:p w:rsidR="00542F46" w:rsidRPr="00895CF0" w:rsidRDefault="00542F46" w:rsidP="00895CF0">
            <w:pPr>
              <w:jc w:val="center"/>
              <w:rPr>
                <w:i/>
                <w:sz w:val="20"/>
                <w:szCs w:val="20"/>
                <w:lang w:val="da-DK"/>
              </w:rPr>
            </w:pPr>
            <w:r w:rsidRPr="00895CF0">
              <w:rPr>
                <w:i/>
                <w:sz w:val="20"/>
                <w:szCs w:val="20"/>
                <w:lang w:val="da-DK"/>
              </w:rPr>
              <w:t>(Riddick et al., 1985)</w:t>
            </w:r>
          </w:p>
        </w:tc>
        <w:tc>
          <w:tcPr>
            <w:tcW w:w="2280" w:type="dxa"/>
            <w:vAlign w:val="center"/>
          </w:tcPr>
          <w:p w:rsidR="00223902" w:rsidRPr="00895CF0" w:rsidRDefault="00EE113E" w:rsidP="00895CF0">
            <w:pPr>
              <w:jc w:val="center"/>
              <w:rPr>
                <w:sz w:val="20"/>
                <w:szCs w:val="20"/>
              </w:rPr>
            </w:pPr>
            <w:r w:rsidRPr="00895CF0">
              <w:rPr>
                <w:sz w:val="20"/>
                <w:szCs w:val="20"/>
              </w:rPr>
              <w:t>45,000 mg/L</w:t>
            </w:r>
          </w:p>
          <w:p w:rsidR="003E6809" w:rsidRPr="00895CF0" w:rsidRDefault="009D40A2" w:rsidP="00895CF0">
            <w:pPr>
              <w:jc w:val="center"/>
              <w:rPr>
                <w:sz w:val="20"/>
                <w:szCs w:val="20"/>
              </w:rPr>
            </w:pPr>
            <w:r w:rsidRPr="00895CF0">
              <w:rPr>
                <w:sz w:val="20"/>
                <w:szCs w:val="20"/>
              </w:rPr>
              <w:t>@</w:t>
            </w:r>
            <w:r w:rsidR="00EE113E" w:rsidRPr="00895CF0">
              <w:rPr>
                <w:sz w:val="20"/>
                <w:szCs w:val="20"/>
              </w:rPr>
              <w:t xml:space="preserve"> 20 </w:t>
            </w:r>
            <w:r w:rsidR="00EE113E" w:rsidRPr="00895CF0">
              <w:rPr>
                <w:sz w:val="20"/>
                <w:szCs w:val="20"/>
                <w:vertAlign w:val="superscript"/>
              </w:rPr>
              <w:t>o</w:t>
            </w:r>
            <w:r w:rsidR="00EE113E" w:rsidRPr="00895CF0">
              <w:rPr>
                <w:sz w:val="20"/>
                <w:szCs w:val="20"/>
              </w:rPr>
              <w:t>C</w:t>
            </w:r>
          </w:p>
          <w:p w:rsidR="00EE113E" w:rsidRPr="00895CF0" w:rsidRDefault="00EE113E" w:rsidP="00895CF0">
            <w:pPr>
              <w:jc w:val="center"/>
              <w:rPr>
                <w:i/>
                <w:sz w:val="20"/>
                <w:szCs w:val="20"/>
              </w:rPr>
            </w:pPr>
            <w:r w:rsidRPr="00895CF0">
              <w:rPr>
                <w:i/>
                <w:sz w:val="20"/>
                <w:szCs w:val="20"/>
              </w:rPr>
              <w:t>(Budavari, 1996)</w:t>
            </w:r>
          </w:p>
        </w:tc>
        <w:tc>
          <w:tcPr>
            <w:tcW w:w="2160" w:type="dxa"/>
            <w:vAlign w:val="center"/>
          </w:tcPr>
          <w:p w:rsidR="00223902" w:rsidRPr="00895CF0" w:rsidRDefault="00413C9F" w:rsidP="00895CF0">
            <w:pPr>
              <w:jc w:val="center"/>
              <w:rPr>
                <w:sz w:val="20"/>
                <w:szCs w:val="20"/>
              </w:rPr>
            </w:pPr>
            <w:r w:rsidRPr="00895CF0">
              <w:rPr>
                <w:sz w:val="20"/>
                <w:szCs w:val="20"/>
              </w:rPr>
              <w:t>15,000 mg/L</w:t>
            </w:r>
          </w:p>
          <w:p w:rsidR="003E6809" w:rsidRPr="00895CF0" w:rsidRDefault="009D40A2" w:rsidP="00895CF0">
            <w:pPr>
              <w:jc w:val="center"/>
              <w:rPr>
                <w:sz w:val="20"/>
                <w:szCs w:val="20"/>
              </w:rPr>
            </w:pPr>
            <w:r w:rsidRPr="00895CF0">
              <w:rPr>
                <w:sz w:val="20"/>
                <w:szCs w:val="20"/>
              </w:rPr>
              <w:t>@</w:t>
            </w:r>
            <w:r w:rsidR="00413C9F" w:rsidRPr="00895CF0">
              <w:rPr>
                <w:sz w:val="20"/>
                <w:szCs w:val="20"/>
              </w:rPr>
              <w:t xml:space="preserve"> 25 </w:t>
            </w:r>
            <w:r w:rsidR="00413C9F" w:rsidRPr="00895CF0">
              <w:rPr>
                <w:sz w:val="20"/>
                <w:szCs w:val="20"/>
                <w:vertAlign w:val="superscript"/>
              </w:rPr>
              <w:t>o</w:t>
            </w:r>
            <w:r w:rsidR="00413C9F" w:rsidRPr="00895CF0">
              <w:rPr>
                <w:sz w:val="20"/>
                <w:szCs w:val="20"/>
              </w:rPr>
              <w:t>C</w:t>
            </w:r>
          </w:p>
          <w:p w:rsidR="00413C9F" w:rsidRPr="00895CF0" w:rsidRDefault="00413C9F" w:rsidP="00895CF0">
            <w:pPr>
              <w:jc w:val="center"/>
              <w:rPr>
                <w:sz w:val="20"/>
                <w:szCs w:val="20"/>
              </w:rPr>
            </w:pPr>
            <w:r w:rsidRPr="00895CF0">
              <w:rPr>
                <w:i/>
                <w:sz w:val="20"/>
                <w:szCs w:val="20"/>
              </w:rPr>
              <w:t>(Lide, 2003)</w:t>
            </w:r>
          </w:p>
        </w:tc>
      </w:tr>
      <w:tr w:rsidR="003E6809" w:rsidTr="00895CF0">
        <w:tc>
          <w:tcPr>
            <w:tcW w:w="2235" w:type="dxa"/>
          </w:tcPr>
          <w:p w:rsidR="003E6809" w:rsidRPr="00895CF0" w:rsidRDefault="003E6809" w:rsidP="00895CF0">
            <w:pPr>
              <w:pStyle w:val="Tabletext"/>
              <w:jc w:val="center"/>
              <w:rPr>
                <w:b/>
                <w:sz w:val="20"/>
                <w:szCs w:val="20"/>
              </w:rPr>
            </w:pPr>
            <w:r w:rsidRPr="00895CF0">
              <w:rPr>
                <w:b/>
                <w:sz w:val="20"/>
                <w:szCs w:val="20"/>
              </w:rPr>
              <w:t>Partition coefficient n-octanol/water</w:t>
            </w:r>
          </w:p>
          <w:p w:rsidR="003E6809" w:rsidRPr="00895CF0" w:rsidRDefault="003E6809" w:rsidP="00895CF0">
            <w:pPr>
              <w:pStyle w:val="Tabletext"/>
              <w:jc w:val="center"/>
              <w:rPr>
                <w:b/>
                <w:sz w:val="20"/>
                <w:szCs w:val="20"/>
              </w:rPr>
            </w:pPr>
            <w:r w:rsidRPr="00895CF0">
              <w:rPr>
                <w:b/>
                <w:sz w:val="20"/>
                <w:szCs w:val="20"/>
              </w:rPr>
              <w:t>(log value)</w:t>
            </w:r>
          </w:p>
        </w:tc>
        <w:tc>
          <w:tcPr>
            <w:tcW w:w="2205" w:type="dxa"/>
            <w:vAlign w:val="center"/>
          </w:tcPr>
          <w:p w:rsidR="00542F46" w:rsidRPr="00895CF0" w:rsidRDefault="00542F46" w:rsidP="00895CF0">
            <w:pPr>
              <w:jc w:val="center"/>
              <w:rPr>
                <w:sz w:val="20"/>
                <w:szCs w:val="20"/>
              </w:rPr>
            </w:pPr>
            <w:r w:rsidRPr="00895CF0">
              <w:rPr>
                <w:sz w:val="20"/>
                <w:szCs w:val="20"/>
              </w:rPr>
              <w:t>-0.33</w:t>
            </w:r>
          </w:p>
          <w:p w:rsidR="003E6809" w:rsidRPr="00895CF0" w:rsidRDefault="00542F46" w:rsidP="00895CF0">
            <w:pPr>
              <w:jc w:val="center"/>
              <w:rPr>
                <w:i/>
                <w:sz w:val="20"/>
                <w:szCs w:val="20"/>
              </w:rPr>
            </w:pPr>
            <w:r w:rsidRPr="00895CF0">
              <w:rPr>
                <w:i/>
                <w:sz w:val="20"/>
                <w:szCs w:val="20"/>
              </w:rPr>
              <w:t>(Sanger, 1989)</w:t>
            </w:r>
          </w:p>
        </w:tc>
        <w:tc>
          <w:tcPr>
            <w:tcW w:w="2280" w:type="dxa"/>
            <w:vAlign w:val="center"/>
          </w:tcPr>
          <w:p w:rsidR="003E6809" w:rsidRPr="00895CF0" w:rsidRDefault="00EE113E" w:rsidP="00895CF0">
            <w:pPr>
              <w:jc w:val="center"/>
              <w:rPr>
                <w:sz w:val="20"/>
                <w:szCs w:val="20"/>
              </w:rPr>
            </w:pPr>
            <w:r w:rsidRPr="00895CF0">
              <w:rPr>
                <w:sz w:val="20"/>
                <w:szCs w:val="20"/>
              </w:rPr>
              <w:t>0.18</w:t>
            </w:r>
          </w:p>
          <w:p w:rsidR="00EE113E" w:rsidRPr="00895CF0" w:rsidRDefault="00EE113E" w:rsidP="00895CF0">
            <w:pPr>
              <w:jc w:val="center"/>
              <w:rPr>
                <w:i/>
                <w:sz w:val="20"/>
                <w:szCs w:val="20"/>
              </w:rPr>
            </w:pPr>
            <w:r w:rsidRPr="00895CF0">
              <w:rPr>
                <w:i/>
                <w:sz w:val="20"/>
                <w:szCs w:val="20"/>
              </w:rPr>
              <w:t>(Sanger, 1989)</w:t>
            </w:r>
          </w:p>
        </w:tc>
        <w:tc>
          <w:tcPr>
            <w:tcW w:w="2160" w:type="dxa"/>
            <w:vAlign w:val="center"/>
          </w:tcPr>
          <w:p w:rsidR="003E6809" w:rsidRPr="00895CF0" w:rsidRDefault="00413C9F" w:rsidP="00895CF0">
            <w:pPr>
              <w:jc w:val="center"/>
              <w:rPr>
                <w:sz w:val="20"/>
                <w:szCs w:val="20"/>
              </w:rPr>
            </w:pPr>
            <w:r w:rsidRPr="00895CF0">
              <w:rPr>
                <w:sz w:val="20"/>
                <w:szCs w:val="20"/>
              </w:rPr>
              <w:t>0.79</w:t>
            </w:r>
          </w:p>
          <w:p w:rsidR="00413C9F" w:rsidRPr="00895CF0" w:rsidRDefault="00413C9F" w:rsidP="00895CF0">
            <w:pPr>
              <w:jc w:val="center"/>
              <w:rPr>
                <w:i/>
                <w:sz w:val="20"/>
                <w:szCs w:val="20"/>
              </w:rPr>
            </w:pPr>
            <w:r w:rsidRPr="00895CF0">
              <w:rPr>
                <w:i/>
                <w:sz w:val="20"/>
                <w:szCs w:val="20"/>
              </w:rPr>
              <w:t>(Lumsden et al., 1994)</w:t>
            </w:r>
          </w:p>
        </w:tc>
      </w:tr>
      <w:tr w:rsidR="003E6809" w:rsidRPr="00F57817" w:rsidTr="00895CF0">
        <w:tc>
          <w:tcPr>
            <w:tcW w:w="2235" w:type="dxa"/>
          </w:tcPr>
          <w:p w:rsidR="00E15A5E" w:rsidRPr="00895CF0" w:rsidRDefault="003E6809" w:rsidP="00895CF0">
            <w:pPr>
              <w:pStyle w:val="Tabletext"/>
              <w:jc w:val="center"/>
              <w:rPr>
                <w:b/>
                <w:sz w:val="20"/>
                <w:szCs w:val="20"/>
              </w:rPr>
            </w:pPr>
            <w:r w:rsidRPr="00895CF0">
              <w:rPr>
                <w:b/>
                <w:sz w:val="20"/>
                <w:szCs w:val="20"/>
              </w:rPr>
              <w:t>Henry’s law constant</w:t>
            </w:r>
          </w:p>
        </w:tc>
        <w:tc>
          <w:tcPr>
            <w:tcW w:w="2205" w:type="dxa"/>
          </w:tcPr>
          <w:p w:rsidR="003E6809" w:rsidRPr="00895CF0" w:rsidRDefault="008C6F89" w:rsidP="00895CF0">
            <w:pPr>
              <w:jc w:val="center"/>
              <w:rPr>
                <w:sz w:val="20"/>
                <w:szCs w:val="20"/>
              </w:rPr>
            </w:pPr>
            <w:r w:rsidRPr="00895CF0">
              <w:rPr>
                <w:sz w:val="20"/>
                <w:szCs w:val="20"/>
              </w:rPr>
              <w:t>2.</w:t>
            </w:r>
            <w:r w:rsidR="00712071" w:rsidRPr="00895CF0">
              <w:rPr>
                <w:sz w:val="20"/>
                <w:szCs w:val="20"/>
              </w:rPr>
              <w:t xml:space="preserve">1 </w:t>
            </w:r>
            <w:r w:rsidRPr="00895CF0">
              <w:rPr>
                <w:sz w:val="20"/>
                <w:szCs w:val="20"/>
              </w:rPr>
              <w:t>Pa*m</w:t>
            </w:r>
            <w:r w:rsidRPr="00895CF0">
              <w:rPr>
                <w:sz w:val="20"/>
                <w:szCs w:val="20"/>
                <w:vertAlign w:val="superscript"/>
              </w:rPr>
              <w:t>3</w:t>
            </w:r>
            <w:r w:rsidRPr="00895CF0">
              <w:rPr>
                <w:sz w:val="20"/>
                <w:szCs w:val="20"/>
              </w:rPr>
              <w:t>/mol</w:t>
            </w:r>
          </w:p>
          <w:p w:rsidR="00E15A5E" w:rsidRPr="00895CF0" w:rsidRDefault="00B320DF" w:rsidP="00895CF0">
            <w:pPr>
              <w:jc w:val="center"/>
              <w:rPr>
                <w:i/>
                <w:sz w:val="20"/>
                <w:szCs w:val="20"/>
              </w:rPr>
            </w:pPr>
            <w:r w:rsidRPr="00895CF0">
              <w:rPr>
                <w:sz w:val="20"/>
                <w:szCs w:val="20"/>
                <w:lang w:val="de-DE"/>
              </w:rPr>
              <w:t>(estimated)</w:t>
            </w:r>
          </w:p>
          <w:p w:rsidR="00E15A5E" w:rsidRPr="00895CF0" w:rsidRDefault="008C6F89" w:rsidP="00895CF0">
            <w:pPr>
              <w:jc w:val="center"/>
              <w:rPr>
                <w:i/>
                <w:sz w:val="20"/>
                <w:szCs w:val="20"/>
              </w:rPr>
            </w:pPr>
            <w:r w:rsidRPr="00895CF0">
              <w:rPr>
                <w:i/>
                <w:sz w:val="20"/>
                <w:szCs w:val="20"/>
              </w:rPr>
              <w:t>(</w:t>
            </w:r>
            <w:r w:rsidR="00547314" w:rsidRPr="00895CF0">
              <w:rPr>
                <w:i/>
                <w:sz w:val="20"/>
                <w:szCs w:val="20"/>
              </w:rPr>
              <w:t xml:space="preserve">US EPA, 2010: </w:t>
            </w:r>
            <w:r w:rsidR="00C646E3" w:rsidRPr="00895CF0">
              <w:rPr>
                <w:i/>
                <w:sz w:val="20"/>
                <w:szCs w:val="20"/>
              </w:rPr>
              <w:t>EPIWIN</w:t>
            </w:r>
            <w:r w:rsidRPr="00895CF0">
              <w:rPr>
                <w:i/>
                <w:sz w:val="20"/>
                <w:szCs w:val="20"/>
              </w:rPr>
              <w:t xml:space="preserve"> )</w:t>
            </w:r>
          </w:p>
        </w:tc>
        <w:tc>
          <w:tcPr>
            <w:tcW w:w="2280" w:type="dxa"/>
          </w:tcPr>
          <w:p w:rsidR="00712071" w:rsidRPr="00895CF0" w:rsidRDefault="008C6F89" w:rsidP="00895CF0">
            <w:pPr>
              <w:jc w:val="center"/>
              <w:rPr>
                <w:sz w:val="20"/>
                <w:szCs w:val="20"/>
              </w:rPr>
            </w:pPr>
            <w:r w:rsidRPr="00895CF0">
              <w:rPr>
                <w:sz w:val="20"/>
                <w:szCs w:val="20"/>
              </w:rPr>
              <w:t>4.7 Pa*m</w:t>
            </w:r>
            <w:r w:rsidRPr="00895CF0">
              <w:rPr>
                <w:sz w:val="20"/>
                <w:szCs w:val="20"/>
                <w:vertAlign w:val="superscript"/>
              </w:rPr>
              <w:t>3</w:t>
            </w:r>
            <w:r w:rsidRPr="00895CF0">
              <w:rPr>
                <w:sz w:val="20"/>
                <w:szCs w:val="20"/>
              </w:rPr>
              <w:t>/mol</w:t>
            </w:r>
          </w:p>
          <w:p w:rsidR="00E15A5E" w:rsidRPr="00895CF0" w:rsidRDefault="00B320DF" w:rsidP="00895CF0">
            <w:pPr>
              <w:jc w:val="center"/>
              <w:rPr>
                <w:i/>
                <w:sz w:val="20"/>
                <w:szCs w:val="20"/>
              </w:rPr>
            </w:pPr>
            <w:r w:rsidRPr="00895CF0">
              <w:rPr>
                <w:sz w:val="20"/>
                <w:szCs w:val="20"/>
                <w:lang w:val="de-DE"/>
              </w:rPr>
              <w:t>(estimated)</w:t>
            </w:r>
          </w:p>
          <w:p w:rsidR="00712071" w:rsidRPr="00895CF0" w:rsidRDefault="008C6F89" w:rsidP="00895CF0">
            <w:pPr>
              <w:jc w:val="center"/>
              <w:rPr>
                <w:i/>
                <w:sz w:val="20"/>
                <w:szCs w:val="20"/>
              </w:rPr>
            </w:pPr>
            <w:r w:rsidRPr="00895CF0">
              <w:rPr>
                <w:i/>
                <w:sz w:val="20"/>
                <w:szCs w:val="20"/>
              </w:rPr>
              <w:t>(</w:t>
            </w:r>
            <w:r w:rsidR="00547314" w:rsidRPr="00895CF0">
              <w:rPr>
                <w:i/>
                <w:sz w:val="20"/>
                <w:szCs w:val="20"/>
              </w:rPr>
              <w:t>US EPA, 2010:</w:t>
            </w:r>
          </w:p>
          <w:p w:rsidR="00E15A5E" w:rsidRPr="00895CF0" w:rsidRDefault="00C646E3" w:rsidP="00895CF0">
            <w:pPr>
              <w:jc w:val="center"/>
              <w:rPr>
                <w:i/>
                <w:sz w:val="20"/>
                <w:szCs w:val="20"/>
                <w:lang w:val="es-ES"/>
              </w:rPr>
            </w:pPr>
            <w:r w:rsidRPr="00895CF0">
              <w:rPr>
                <w:i/>
                <w:sz w:val="20"/>
                <w:szCs w:val="20"/>
                <w:lang w:val="es-ES"/>
              </w:rPr>
              <w:t>EPIWIN )</w:t>
            </w:r>
          </w:p>
        </w:tc>
        <w:tc>
          <w:tcPr>
            <w:tcW w:w="2160" w:type="dxa"/>
          </w:tcPr>
          <w:p w:rsidR="008C6F89" w:rsidRPr="00895CF0" w:rsidRDefault="00712071" w:rsidP="00895CF0">
            <w:pPr>
              <w:jc w:val="center"/>
              <w:rPr>
                <w:sz w:val="20"/>
                <w:szCs w:val="20"/>
              </w:rPr>
            </w:pPr>
            <w:r w:rsidRPr="00895CF0">
              <w:rPr>
                <w:sz w:val="20"/>
                <w:szCs w:val="20"/>
              </w:rPr>
              <w:t>7.7</w:t>
            </w:r>
            <w:r w:rsidR="008C6F89" w:rsidRPr="00895CF0">
              <w:rPr>
                <w:sz w:val="20"/>
                <w:szCs w:val="20"/>
              </w:rPr>
              <w:t xml:space="preserve"> Pa*m</w:t>
            </w:r>
            <w:r w:rsidR="008C6F89" w:rsidRPr="00895CF0">
              <w:rPr>
                <w:sz w:val="20"/>
                <w:szCs w:val="20"/>
                <w:vertAlign w:val="superscript"/>
              </w:rPr>
              <w:t>3</w:t>
            </w:r>
            <w:r w:rsidR="008C6F89" w:rsidRPr="00895CF0">
              <w:rPr>
                <w:sz w:val="20"/>
                <w:szCs w:val="20"/>
              </w:rPr>
              <w:t>/mol</w:t>
            </w:r>
          </w:p>
          <w:p w:rsidR="00E15A5E" w:rsidRPr="00895CF0" w:rsidRDefault="00B320DF" w:rsidP="00895CF0">
            <w:pPr>
              <w:jc w:val="center"/>
              <w:rPr>
                <w:sz w:val="20"/>
                <w:szCs w:val="20"/>
                <w:lang w:val="de-DE"/>
              </w:rPr>
            </w:pPr>
            <w:r w:rsidRPr="00895CF0">
              <w:rPr>
                <w:sz w:val="20"/>
                <w:szCs w:val="20"/>
                <w:lang w:val="de-DE"/>
              </w:rPr>
              <w:t>(estimated)</w:t>
            </w:r>
          </w:p>
          <w:p w:rsidR="00E15A5E" w:rsidRPr="00895CF0" w:rsidRDefault="00E15A5E" w:rsidP="00895CF0">
            <w:pPr>
              <w:jc w:val="center"/>
              <w:rPr>
                <w:sz w:val="20"/>
                <w:szCs w:val="20"/>
              </w:rPr>
            </w:pPr>
            <w:r w:rsidRPr="00895CF0">
              <w:rPr>
                <w:i/>
                <w:sz w:val="20"/>
                <w:szCs w:val="20"/>
              </w:rPr>
              <w:t>(</w:t>
            </w:r>
            <w:r w:rsidR="00547314" w:rsidRPr="00895CF0">
              <w:rPr>
                <w:i/>
                <w:sz w:val="20"/>
                <w:szCs w:val="20"/>
              </w:rPr>
              <w:t xml:space="preserve">US EPA, 2010: </w:t>
            </w:r>
            <w:r w:rsidR="00C646E3" w:rsidRPr="00895CF0">
              <w:rPr>
                <w:i/>
                <w:sz w:val="20"/>
                <w:szCs w:val="20"/>
              </w:rPr>
              <w:t>EPIWIN )</w:t>
            </w:r>
          </w:p>
        </w:tc>
      </w:tr>
    </w:tbl>
    <w:p w:rsidR="00F86638" w:rsidRDefault="00F86638" w:rsidP="00F37C80">
      <w:pPr>
        <w:pStyle w:val="Heading2"/>
      </w:pPr>
      <w:r>
        <w:t>Category</w:t>
      </w:r>
      <w:r w:rsidR="00B92515">
        <w:t>/Analogue</w:t>
      </w:r>
      <w:r>
        <w:t xml:space="preserve"> Justification</w:t>
      </w:r>
    </w:p>
    <w:p w:rsidR="00B92515" w:rsidRPr="00F37C80" w:rsidRDefault="00B320DF" w:rsidP="009C4A54">
      <w:pPr>
        <w:pStyle w:val="Heading3"/>
        <w:numPr>
          <w:ilvl w:val="0"/>
          <w:numId w:val="0"/>
        </w:numPr>
      </w:pPr>
      <w:r w:rsidRPr="00F37C80">
        <w:t>1.4.1</w:t>
      </w:r>
      <w:r w:rsidRPr="00F37C80">
        <w:tab/>
        <w:t>Category Justification</w:t>
      </w:r>
    </w:p>
    <w:p w:rsidR="00EB15C3" w:rsidRDefault="00EB15C3" w:rsidP="00F37C80">
      <w:pPr>
        <w:pStyle w:val="BodyText"/>
      </w:pPr>
      <w:r>
        <w:t>The short chain nitroparaffins category consists of three (3) sponsored nitroalkanes:  nitromethane (CAS No. 72-52-5), nitroethane (CAS No. 79-24-3) and 1-nitropropane (CAS No. 108-03-2).</w:t>
      </w:r>
      <w:r w:rsidRPr="00123FB2">
        <w:t xml:space="preserve">  </w:t>
      </w:r>
      <w:r>
        <w:t xml:space="preserve">The three nitroparaffins differ only by the incremental increase of carbon on the alkane groups. </w:t>
      </w:r>
    </w:p>
    <w:p w:rsidR="00EB15C3" w:rsidRDefault="00EB15C3" w:rsidP="00F37C80">
      <w:pPr>
        <w:pStyle w:val="BodyText"/>
      </w:pPr>
      <w:r>
        <w:t xml:space="preserve">These chemicals can be included in a single category for several reasons.  </w:t>
      </w:r>
      <w:r w:rsidR="00377BCD">
        <w:t xml:space="preserve">All chemicals </w:t>
      </w:r>
      <w:r w:rsidR="006200A1">
        <w:t xml:space="preserve">are expected to have similar ecological effects based on </w:t>
      </w:r>
      <w:r>
        <w:t xml:space="preserve">comparable chemical structures and exhibit physico-chemical </w:t>
      </w:r>
      <w:r w:rsidR="00767305">
        <w:t xml:space="preserve">and toxicological </w:t>
      </w:r>
      <w:r>
        <w:t>properties that are either very similar or that reflect incremental changes expected for short</w:t>
      </w:r>
      <w:r w:rsidR="00722EBA">
        <w:t xml:space="preserve"> </w:t>
      </w:r>
      <w:r>
        <w:t>chai</w:t>
      </w:r>
      <w:r w:rsidR="00722EBA">
        <w:t>n</w:t>
      </w:r>
      <w:r>
        <w:t xml:space="preserve"> nitroparaffins</w:t>
      </w:r>
      <w:r w:rsidR="00767305">
        <w:t>.</w:t>
      </w:r>
      <w:r w:rsidR="006200A1">
        <w:t xml:space="preserve"> </w:t>
      </w:r>
      <w:r w:rsidR="00767305">
        <w:t xml:space="preserve"> </w:t>
      </w:r>
      <w:proofErr w:type="gramStart"/>
      <w:r>
        <w:t>Environmental fate characteristics</w:t>
      </w:r>
      <w:r w:rsidR="00377BCD">
        <w:t>,</w:t>
      </w:r>
      <w:r>
        <w:t xml:space="preserve"> such as </w:t>
      </w:r>
      <w:r w:rsidR="00377BCD">
        <w:t xml:space="preserve">potential for partitioning to air and photodegradation, as well as </w:t>
      </w:r>
      <w:r>
        <w:t xml:space="preserve">lack of </w:t>
      </w:r>
      <w:r w:rsidR="00377BCD">
        <w:t xml:space="preserve">certain fate processes (hydrolysis, </w:t>
      </w:r>
      <w:r>
        <w:t>biodegradation</w:t>
      </w:r>
      <w:r w:rsidR="00377BCD">
        <w:t xml:space="preserve">, and bioaccumulation), </w:t>
      </w:r>
      <w:r w:rsidR="00B92515">
        <w:t>a</w:t>
      </w:r>
      <w:r w:rsidR="00377BCD">
        <w:t>re similar</w:t>
      </w:r>
      <w:r>
        <w:t>.</w:t>
      </w:r>
      <w:proofErr w:type="gramEnd"/>
      <w:r>
        <w:t xml:space="preserve"> </w:t>
      </w:r>
    </w:p>
    <w:p w:rsidR="00EB15C3" w:rsidRDefault="00EB15C3" w:rsidP="00F37C80">
      <w:pPr>
        <w:pStyle w:val="BodyText"/>
      </w:pPr>
    </w:p>
    <w:p w:rsidR="00EB15C3" w:rsidRPr="00FF7290" w:rsidRDefault="00EB15C3" w:rsidP="00F37C80">
      <w:pPr>
        <w:pStyle w:val="BodyText"/>
      </w:pPr>
      <w:r>
        <w:t>Regarding mammalian toxicity</w:t>
      </w:r>
      <w:r w:rsidR="00B92515">
        <w:t>,</w:t>
      </w:r>
      <w:r>
        <w:t xml:space="preserve"> </w:t>
      </w:r>
      <w:r w:rsidRPr="004A6FE4">
        <w:t xml:space="preserve">these materials are expected to be absorbed, </w:t>
      </w:r>
      <w:r>
        <w:t xml:space="preserve">distributed, </w:t>
      </w:r>
      <w:r w:rsidRPr="004A6FE4">
        <w:t>metabolized, and excreted in a similar fashion, resulting in the release of respective aldehydes and nitrite</w:t>
      </w:r>
      <w:r>
        <w:t xml:space="preserve">.  The nitroalkanes have oral LD50s &gt; 500 mg/kg and dermal LD50s greater than 2000 mg/kg.  They are non-iritating to the skin, slightly irritating to the eye, and non-sensitizing.  The liver, </w:t>
      </w:r>
      <w:r w:rsidRPr="00FF7290">
        <w:t xml:space="preserve">kidney and hematopoetic system are common target organs for toxicity.   </w:t>
      </w:r>
    </w:p>
    <w:p w:rsidR="00B92515" w:rsidRPr="00895CF0" w:rsidRDefault="00895CF0" w:rsidP="009C4A54">
      <w:pPr>
        <w:pStyle w:val="Heading3"/>
        <w:numPr>
          <w:ilvl w:val="0"/>
          <w:numId w:val="0"/>
        </w:numPr>
        <w:ind w:left="839" w:hanging="839"/>
      </w:pPr>
      <w:r>
        <w:t>1.4.2</w:t>
      </w:r>
      <w:r>
        <w:tab/>
      </w:r>
      <w:r w:rsidR="00B320DF" w:rsidRPr="00895CF0">
        <w:t>Analogue Justification</w:t>
      </w:r>
    </w:p>
    <w:p w:rsidR="003F3023" w:rsidRPr="00895CF0" w:rsidRDefault="00B320DF" w:rsidP="00F37C80">
      <w:pPr>
        <w:pStyle w:val="BodyText"/>
      </w:pPr>
      <w:r w:rsidRPr="00895CF0">
        <w:t>For the ecotoxicity endpoints, 2-nitropropane can be used to support the Frietag studies on nitromethane and nitroethane due to structural similarities with the category members.</w:t>
      </w:r>
    </w:p>
    <w:p w:rsidR="00CE20DB" w:rsidRPr="00F37C80" w:rsidRDefault="000A3308" w:rsidP="00F37C80">
      <w:pPr>
        <w:pStyle w:val="BodyText"/>
        <w:spacing w:after="120"/>
        <w:rPr>
          <w:b/>
          <w:szCs w:val="22"/>
        </w:rPr>
      </w:pPr>
      <w:r>
        <w:rPr>
          <w:b/>
          <w:szCs w:val="22"/>
        </w:rPr>
        <w:t xml:space="preserve"> </w:t>
      </w:r>
      <w:proofErr w:type="gramStart"/>
      <w:r w:rsidR="00976B97" w:rsidRPr="00B92515">
        <w:rPr>
          <w:b/>
          <w:szCs w:val="22"/>
        </w:rPr>
        <w:t>Table 3.</w:t>
      </w:r>
      <w:proofErr w:type="gramEnd"/>
      <w:r w:rsidR="00B320DF" w:rsidRPr="00F37C80">
        <w:rPr>
          <w:b/>
          <w:szCs w:val="22"/>
        </w:rPr>
        <w:t xml:space="preserve"> Read-Across for Human Health Endpoints</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518"/>
        <w:gridCol w:w="813"/>
        <w:gridCol w:w="1355"/>
        <w:gridCol w:w="1265"/>
        <w:gridCol w:w="1536"/>
        <w:gridCol w:w="1536"/>
        <w:gridCol w:w="1536"/>
      </w:tblGrid>
      <w:tr w:rsidR="00C14980" w:rsidRPr="00B715B3" w:rsidTr="009C4A54">
        <w:trPr>
          <w:trHeight w:val="779"/>
        </w:trPr>
        <w:tc>
          <w:tcPr>
            <w:tcW w:w="1512" w:type="dxa"/>
            <w:tcBorders>
              <w:top w:val="single" w:sz="12" w:space="0" w:color="auto"/>
              <w:bottom w:val="single" w:sz="12" w:space="0" w:color="auto"/>
            </w:tcBorders>
          </w:tcPr>
          <w:p w:rsidR="00C14980" w:rsidRPr="00895CF0" w:rsidRDefault="00C14980" w:rsidP="00895CF0">
            <w:pPr>
              <w:pStyle w:val="BodyText"/>
              <w:jc w:val="center"/>
              <w:rPr>
                <w:b/>
                <w:snapToGrid w:val="0"/>
                <w:sz w:val="20"/>
                <w:szCs w:val="20"/>
              </w:rPr>
            </w:pPr>
            <w:r w:rsidRPr="00895CF0">
              <w:rPr>
                <w:b/>
                <w:snapToGrid w:val="0"/>
                <w:sz w:val="20"/>
                <w:szCs w:val="20"/>
              </w:rPr>
              <w:t>Substance</w:t>
            </w:r>
          </w:p>
        </w:tc>
        <w:tc>
          <w:tcPr>
            <w:tcW w:w="810" w:type="dxa"/>
            <w:tcBorders>
              <w:top w:val="single" w:sz="12" w:space="0" w:color="auto"/>
              <w:bottom w:val="single" w:sz="12" w:space="0" w:color="auto"/>
            </w:tcBorders>
          </w:tcPr>
          <w:p w:rsidR="00C14980" w:rsidRPr="00895CF0" w:rsidRDefault="00C14980" w:rsidP="00895CF0">
            <w:pPr>
              <w:pStyle w:val="BodyText"/>
              <w:jc w:val="center"/>
              <w:rPr>
                <w:b/>
                <w:snapToGrid w:val="0"/>
                <w:sz w:val="20"/>
                <w:szCs w:val="20"/>
              </w:rPr>
            </w:pPr>
            <w:r w:rsidRPr="00895CF0">
              <w:rPr>
                <w:b/>
                <w:snapToGrid w:val="0"/>
                <w:sz w:val="20"/>
                <w:szCs w:val="20"/>
              </w:rPr>
              <w:t>CAS No.</w:t>
            </w:r>
          </w:p>
        </w:tc>
        <w:tc>
          <w:tcPr>
            <w:tcW w:w="1350" w:type="dxa"/>
            <w:tcBorders>
              <w:top w:val="single" w:sz="12" w:space="0" w:color="auto"/>
              <w:bottom w:val="single" w:sz="12" w:space="0" w:color="auto"/>
            </w:tcBorders>
          </w:tcPr>
          <w:p w:rsidR="00C14980" w:rsidRPr="00895CF0" w:rsidRDefault="00C14980" w:rsidP="00895CF0">
            <w:pPr>
              <w:pStyle w:val="BodyText"/>
              <w:jc w:val="center"/>
              <w:rPr>
                <w:b/>
                <w:snapToGrid w:val="0"/>
                <w:sz w:val="20"/>
                <w:szCs w:val="20"/>
              </w:rPr>
            </w:pPr>
            <w:r w:rsidRPr="00895CF0">
              <w:rPr>
                <w:b/>
                <w:snapToGrid w:val="0"/>
                <w:sz w:val="20"/>
                <w:szCs w:val="20"/>
              </w:rPr>
              <w:t>Repeated-Dose Toxicity</w:t>
            </w:r>
          </w:p>
        </w:tc>
        <w:tc>
          <w:tcPr>
            <w:tcW w:w="1260" w:type="dxa"/>
            <w:tcBorders>
              <w:top w:val="single" w:sz="12" w:space="0" w:color="auto"/>
              <w:bottom w:val="single" w:sz="12" w:space="0" w:color="auto"/>
            </w:tcBorders>
          </w:tcPr>
          <w:p w:rsidR="00C14980" w:rsidRPr="00895CF0" w:rsidRDefault="00C14980" w:rsidP="00895CF0">
            <w:pPr>
              <w:pStyle w:val="BodyText"/>
              <w:jc w:val="center"/>
              <w:rPr>
                <w:b/>
                <w:snapToGrid w:val="0"/>
                <w:sz w:val="20"/>
                <w:szCs w:val="20"/>
              </w:rPr>
            </w:pPr>
            <w:r w:rsidRPr="00895CF0">
              <w:rPr>
                <w:b/>
                <w:snapToGrid w:val="0"/>
                <w:sz w:val="20"/>
                <w:szCs w:val="20"/>
              </w:rPr>
              <w:t>Gene Mutations</w:t>
            </w:r>
          </w:p>
        </w:tc>
        <w:tc>
          <w:tcPr>
            <w:tcW w:w="1530" w:type="dxa"/>
            <w:tcBorders>
              <w:top w:val="single" w:sz="12" w:space="0" w:color="auto"/>
              <w:bottom w:val="single" w:sz="12" w:space="0" w:color="auto"/>
            </w:tcBorders>
          </w:tcPr>
          <w:p w:rsidR="00C14980" w:rsidRPr="00895CF0" w:rsidRDefault="00C14980" w:rsidP="00895CF0">
            <w:pPr>
              <w:pStyle w:val="BodyText"/>
              <w:jc w:val="center"/>
              <w:rPr>
                <w:b/>
                <w:snapToGrid w:val="0"/>
                <w:sz w:val="20"/>
                <w:szCs w:val="20"/>
              </w:rPr>
            </w:pPr>
            <w:r w:rsidRPr="00895CF0">
              <w:rPr>
                <w:b/>
                <w:snapToGrid w:val="0"/>
                <w:sz w:val="20"/>
                <w:szCs w:val="20"/>
              </w:rPr>
              <w:t>Chromosomal Aberrations</w:t>
            </w:r>
          </w:p>
        </w:tc>
        <w:tc>
          <w:tcPr>
            <w:tcW w:w="1530" w:type="dxa"/>
            <w:tcBorders>
              <w:top w:val="single" w:sz="12" w:space="0" w:color="auto"/>
              <w:bottom w:val="single" w:sz="12" w:space="0" w:color="auto"/>
            </w:tcBorders>
          </w:tcPr>
          <w:p w:rsidR="00C14980" w:rsidRPr="00895CF0" w:rsidRDefault="00C14980" w:rsidP="00895CF0">
            <w:pPr>
              <w:pStyle w:val="BodyText"/>
              <w:jc w:val="center"/>
              <w:rPr>
                <w:b/>
                <w:snapToGrid w:val="0"/>
                <w:sz w:val="20"/>
                <w:szCs w:val="20"/>
              </w:rPr>
            </w:pPr>
            <w:r w:rsidRPr="00895CF0">
              <w:rPr>
                <w:b/>
                <w:snapToGrid w:val="0"/>
                <w:sz w:val="20"/>
                <w:szCs w:val="20"/>
              </w:rPr>
              <w:t>Effects on Fertility</w:t>
            </w:r>
          </w:p>
        </w:tc>
        <w:tc>
          <w:tcPr>
            <w:tcW w:w="1530" w:type="dxa"/>
            <w:tcBorders>
              <w:top w:val="single" w:sz="12" w:space="0" w:color="auto"/>
              <w:bottom w:val="single" w:sz="12" w:space="0" w:color="auto"/>
            </w:tcBorders>
          </w:tcPr>
          <w:p w:rsidR="00C14980" w:rsidRPr="00895CF0" w:rsidRDefault="00C14980" w:rsidP="00895CF0">
            <w:pPr>
              <w:pStyle w:val="BodyText"/>
              <w:jc w:val="center"/>
              <w:rPr>
                <w:b/>
                <w:snapToGrid w:val="0"/>
                <w:sz w:val="20"/>
                <w:szCs w:val="20"/>
              </w:rPr>
            </w:pPr>
            <w:r w:rsidRPr="00895CF0">
              <w:rPr>
                <w:b/>
                <w:snapToGrid w:val="0"/>
                <w:sz w:val="20"/>
                <w:szCs w:val="20"/>
              </w:rPr>
              <w:t>Developmental Toxicity</w:t>
            </w:r>
          </w:p>
        </w:tc>
      </w:tr>
      <w:tr w:rsidR="00C14980" w:rsidRPr="00B715B3" w:rsidTr="009C4A54">
        <w:trPr>
          <w:trHeight w:val="127"/>
        </w:trPr>
        <w:tc>
          <w:tcPr>
            <w:tcW w:w="1512" w:type="dxa"/>
            <w:tcBorders>
              <w:top w:val="single" w:sz="12" w:space="0" w:color="auto"/>
            </w:tcBorders>
            <w:vAlign w:val="center"/>
          </w:tcPr>
          <w:p w:rsidR="00C14980" w:rsidRPr="00895CF0" w:rsidRDefault="00C14980" w:rsidP="00895CF0">
            <w:pPr>
              <w:pStyle w:val="BodyText"/>
              <w:jc w:val="center"/>
              <w:rPr>
                <w:snapToGrid w:val="0"/>
                <w:sz w:val="20"/>
                <w:szCs w:val="20"/>
              </w:rPr>
            </w:pPr>
            <w:r w:rsidRPr="00895CF0">
              <w:rPr>
                <w:snapToGrid w:val="0"/>
                <w:sz w:val="20"/>
                <w:szCs w:val="20"/>
              </w:rPr>
              <w:t>Nitromethane</w:t>
            </w:r>
          </w:p>
        </w:tc>
        <w:tc>
          <w:tcPr>
            <w:tcW w:w="810" w:type="dxa"/>
            <w:tcBorders>
              <w:top w:val="single" w:sz="12" w:space="0" w:color="auto"/>
            </w:tcBorders>
            <w:vAlign w:val="center"/>
          </w:tcPr>
          <w:p w:rsidR="00C14980" w:rsidRPr="00895CF0" w:rsidRDefault="00C14980" w:rsidP="00895CF0">
            <w:pPr>
              <w:pStyle w:val="BodyText"/>
              <w:jc w:val="center"/>
              <w:rPr>
                <w:snapToGrid w:val="0"/>
                <w:sz w:val="20"/>
                <w:szCs w:val="20"/>
              </w:rPr>
            </w:pPr>
            <w:r w:rsidRPr="00895CF0">
              <w:rPr>
                <w:snapToGrid w:val="0"/>
                <w:sz w:val="20"/>
                <w:szCs w:val="20"/>
              </w:rPr>
              <w:t>75-52-5</w:t>
            </w:r>
          </w:p>
        </w:tc>
        <w:tc>
          <w:tcPr>
            <w:tcW w:w="1350" w:type="dxa"/>
            <w:tcBorders>
              <w:top w:val="single" w:sz="12" w:space="0" w:color="auto"/>
            </w:tcBorders>
            <w:vAlign w:val="center"/>
          </w:tcPr>
          <w:p w:rsidR="00C14980" w:rsidRPr="00895CF0" w:rsidRDefault="00C14980" w:rsidP="00895CF0">
            <w:pPr>
              <w:pStyle w:val="BodyText"/>
              <w:jc w:val="center"/>
              <w:rPr>
                <w:caps/>
                <w:snapToGrid w:val="0"/>
                <w:sz w:val="20"/>
                <w:szCs w:val="20"/>
              </w:rPr>
            </w:pPr>
            <w:r w:rsidRPr="00895CF0">
              <w:rPr>
                <w:caps/>
                <w:snapToGrid w:val="0"/>
                <w:sz w:val="20"/>
                <w:szCs w:val="20"/>
              </w:rPr>
              <w:t>X</w:t>
            </w:r>
          </w:p>
        </w:tc>
        <w:tc>
          <w:tcPr>
            <w:tcW w:w="1260" w:type="dxa"/>
            <w:tcBorders>
              <w:top w:val="single" w:sz="12" w:space="0" w:color="auto"/>
            </w:tcBorders>
            <w:vAlign w:val="center"/>
          </w:tcPr>
          <w:p w:rsidR="00C14980" w:rsidRPr="00895CF0" w:rsidRDefault="00EB7D01" w:rsidP="00895CF0">
            <w:pPr>
              <w:pStyle w:val="BodyText"/>
              <w:jc w:val="center"/>
              <w:rPr>
                <w:caps/>
                <w:noProof/>
                <w:snapToGrid w:val="0"/>
                <w:sz w:val="20"/>
                <w:szCs w:val="20"/>
              </w:rPr>
            </w:pPr>
            <w:r w:rsidRPr="00895CF0">
              <w:rPr>
                <w:caps/>
                <w:snapToGrid w:val="0"/>
                <w:sz w:val="20"/>
                <w:szCs w:val="20"/>
              </w:rPr>
              <w:t>X</w:t>
            </w:r>
          </w:p>
        </w:tc>
        <w:tc>
          <w:tcPr>
            <w:tcW w:w="1530" w:type="dxa"/>
            <w:tcBorders>
              <w:top w:val="single" w:sz="12" w:space="0" w:color="auto"/>
            </w:tcBorders>
            <w:vAlign w:val="center"/>
          </w:tcPr>
          <w:p w:rsidR="00C14980" w:rsidRPr="00895CF0" w:rsidRDefault="00EB7D01" w:rsidP="00895CF0">
            <w:pPr>
              <w:pStyle w:val="BodyText"/>
              <w:jc w:val="center"/>
              <w:rPr>
                <w:caps/>
                <w:noProof/>
                <w:snapToGrid w:val="0"/>
                <w:sz w:val="20"/>
                <w:szCs w:val="20"/>
              </w:rPr>
            </w:pPr>
            <w:r w:rsidRPr="00895CF0">
              <w:rPr>
                <w:caps/>
                <w:snapToGrid w:val="0"/>
                <w:sz w:val="20"/>
                <w:szCs w:val="20"/>
              </w:rPr>
              <w:t>X</w:t>
            </w:r>
          </w:p>
        </w:tc>
        <w:tc>
          <w:tcPr>
            <w:tcW w:w="1530" w:type="dxa"/>
            <w:tcBorders>
              <w:top w:val="single" w:sz="12" w:space="0" w:color="auto"/>
            </w:tcBorders>
            <w:vAlign w:val="center"/>
          </w:tcPr>
          <w:p w:rsidR="00C14980" w:rsidRPr="00895CF0" w:rsidRDefault="00C14980" w:rsidP="00895CF0">
            <w:pPr>
              <w:pStyle w:val="BodyText"/>
              <w:jc w:val="center"/>
              <w:rPr>
                <w:caps/>
                <w:snapToGrid w:val="0"/>
                <w:sz w:val="20"/>
                <w:szCs w:val="20"/>
              </w:rPr>
            </w:pPr>
            <w:r w:rsidRPr="00895CF0">
              <w:rPr>
                <w:caps/>
                <w:snapToGrid w:val="0"/>
                <w:sz w:val="20"/>
                <w:szCs w:val="20"/>
              </w:rPr>
              <w:t>o</w:t>
            </w:r>
          </w:p>
        </w:tc>
        <w:tc>
          <w:tcPr>
            <w:tcW w:w="1530" w:type="dxa"/>
            <w:tcBorders>
              <w:top w:val="single" w:sz="12" w:space="0" w:color="auto"/>
            </w:tcBorders>
            <w:vAlign w:val="center"/>
          </w:tcPr>
          <w:p w:rsidR="00C14980" w:rsidRPr="00895CF0" w:rsidRDefault="00C14980" w:rsidP="00895CF0">
            <w:pPr>
              <w:pStyle w:val="BodyText"/>
              <w:jc w:val="center"/>
              <w:rPr>
                <w:caps/>
                <w:snapToGrid w:val="0"/>
                <w:sz w:val="20"/>
                <w:szCs w:val="20"/>
              </w:rPr>
            </w:pPr>
            <w:r w:rsidRPr="00895CF0">
              <w:rPr>
                <w:caps/>
                <w:snapToGrid w:val="0"/>
                <w:sz w:val="20"/>
                <w:szCs w:val="20"/>
              </w:rPr>
              <w:t>o</w:t>
            </w:r>
          </w:p>
        </w:tc>
      </w:tr>
      <w:tr w:rsidR="00C14980" w:rsidRPr="00B715B3" w:rsidTr="00895CF0">
        <w:trPr>
          <w:trHeight w:val="127"/>
        </w:trPr>
        <w:tc>
          <w:tcPr>
            <w:tcW w:w="1512" w:type="dxa"/>
            <w:vAlign w:val="center"/>
          </w:tcPr>
          <w:p w:rsidR="00C14980" w:rsidRPr="00895CF0" w:rsidRDefault="00C14980" w:rsidP="00895CF0">
            <w:pPr>
              <w:pStyle w:val="BodyText"/>
              <w:jc w:val="center"/>
              <w:rPr>
                <w:snapToGrid w:val="0"/>
                <w:sz w:val="20"/>
                <w:szCs w:val="20"/>
              </w:rPr>
            </w:pPr>
            <w:r w:rsidRPr="00895CF0">
              <w:rPr>
                <w:snapToGrid w:val="0"/>
                <w:sz w:val="20"/>
                <w:szCs w:val="20"/>
              </w:rPr>
              <w:t>Nitroethane</w:t>
            </w:r>
          </w:p>
        </w:tc>
        <w:tc>
          <w:tcPr>
            <w:tcW w:w="810" w:type="dxa"/>
            <w:vAlign w:val="center"/>
          </w:tcPr>
          <w:p w:rsidR="00C14980" w:rsidRPr="00895CF0" w:rsidRDefault="00C14980" w:rsidP="00895CF0">
            <w:pPr>
              <w:pStyle w:val="BodyText"/>
              <w:jc w:val="center"/>
              <w:rPr>
                <w:snapToGrid w:val="0"/>
                <w:sz w:val="20"/>
                <w:szCs w:val="20"/>
              </w:rPr>
            </w:pPr>
            <w:r w:rsidRPr="00895CF0">
              <w:rPr>
                <w:snapToGrid w:val="0"/>
                <w:sz w:val="20"/>
                <w:szCs w:val="20"/>
              </w:rPr>
              <w:t>79-24-3</w:t>
            </w:r>
          </w:p>
        </w:tc>
        <w:tc>
          <w:tcPr>
            <w:tcW w:w="1350" w:type="dxa"/>
            <w:vAlign w:val="center"/>
          </w:tcPr>
          <w:p w:rsidR="00C14980" w:rsidRPr="00895CF0" w:rsidRDefault="00C14980" w:rsidP="00895CF0">
            <w:pPr>
              <w:pStyle w:val="BodyText"/>
              <w:jc w:val="center"/>
              <w:rPr>
                <w:caps/>
                <w:snapToGrid w:val="0"/>
                <w:sz w:val="20"/>
                <w:szCs w:val="20"/>
              </w:rPr>
            </w:pPr>
            <w:r w:rsidRPr="00895CF0">
              <w:rPr>
                <w:caps/>
                <w:snapToGrid w:val="0"/>
                <w:sz w:val="20"/>
                <w:szCs w:val="20"/>
              </w:rPr>
              <w:t>X</w:t>
            </w:r>
          </w:p>
        </w:tc>
        <w:tc>
          <w:tcPr>
            <w:tcW w:w="1260" w:type="dxa"/>
            <w:vAlign w:val="center"/>
          </w:tcPr>
          <w:p w:rsidR="00C14980" w:rsidRPr="00895CF0" w:rsidRDefault="002E753B" w:rsidP="00895CF0">
            <w:pPr>
              <w:pStyle w:val="BodyText"/>
              <w:jc w:val="center"/>
              <w:rPr>
                <w:caps/>
                <w:snapToGrid w:val="0"/>
                <w:sz w:val="20"/>
                <w:szCs w:val="20"/>
              </w:rPr>
            </w:pPr>
            <w:r w:rsidRPr="00895CF0">
              <w:rPr>
                <w:caps/>
                <w:snapToGrid w:val="0"/>
                <w:sz w:val="20"/>
                <w:szCs w:val="20"/>
              </w:rPr>
              <w:t>X</w:t>
            </w:r>
          </w:p>
        </w:tc>
        <w:tc>
          <w:tcPr>
            <w:tcW w:w="1530" w:type="dxa"/>
            <w:vAlign w:val="center"/>
          </w:tcPr>
          <w:p w:rsidR="00C14980" w:rsidRPr="00895CF0" w:rsidRDefault="00EB7D01" w:rsidP="00895CF0">
            <w:pPr>
              <w:pStyle w:val="BodyText"/>
              <w:jc w:val="center"/>
              <w:rPr>
                <w:caps/>
                <w:snapToGrid w:val="0"/>
                <w:sz w:val="20"/>
                <w:szCs w:val="20"/>
              </w:rPr>
            </w:pPr>
            <w:r w:rsidRPr="00895CF0">
              <w:rPr>
                <w:caps/>
                <w:snapToGrid w:val="0"/>
                <w:sz w:val="20"/>
                <w:szCs w:val="20"/>
              </w:rPr>
              <w:t>O</w:t>
            </w:r>
          </w:p>
        </w:tc>
        <w:tc>
          <w:tcPr>
            <w:tcW w:w="1530" w:type="dxa"/>
            <w:vAlign w:val="center"/>
          </w:tcPr>
          <w:p w:rsidR="00C14980" w:rsidRPr="00895CF0" w:rsidRDefault="00C14980" w:rsidP="00895CF0">
            <w:pPr>
              <w:pStyle w:val="BodyText"/>
              <w:jc w:val="center"/>
              <w:rPr>
                <w:caps/>
                <w:snapToGrid w:val="0"/>
                <w:sz w:val="20"/>
                <w:szCs w:val="20"/>
              </w:rPr>
            </w:pPr>
            <w:r w:rsidRPr="00895CF0">
              <w:rPr>
                <w:caps/>
                <w:snapToGrid w:val="0"/>
                <w:sz w:val="20"/>
                <w:szCs w:val="20"/>
              </w:rPr>
              <w:t>O</w:t>
            </w:r>
          </w:p>
        </w:tc>
        <w:tc>
          <w:tcPr>
            <w:tcW w:w="1530" w:type="dxa"/>
            <w:vAlign w:val="center"/>
          </w:tcPr>
          <w:p w:rsidR="00C14980" w:rsidRPr="00895CF0" w:rsidRDefault="00C14980" w:rsidP="00895CF0">
            <w:pPr>
              <w:pStyle w:val="BodyText"/>
              <w:jc w:val="center"/>
              <w:rPr>
                <w:caps/>
                <w:snapToGrid w:val="0"/>
                <w:sz w:val="20"/>
                <w:szCs w:val="20"/>
              </w:rPr>
            </w:pPr>
            <w:r w:rsidRPr="00895CF0">
              <w:rPr>
                <w:caps/>
                <w:snapToGrid w:val="0"/>
                <w:sz w:val="20"/>
                <w:szCs w:val="20"/>
              </w:rPr>
              <w:t>O</w:t>
            </w:r>
          </w:p>
        </w:tc>
      </w:tr>
      <w:tr w:rsidR="00C14980" w:rsidRPr="00B715B3" w:rsidTr="00895CF0">
        <w:trPr>
          <w:trHeight w:val="127"/>
        </w:trPr>
        <w:tc>
          <w:tcPr>
            <w:tcW w:w="1512" w:type="dxa"/>
            <w:vAlign w:val="center"/>
          </w:tcPr>
          <w:p w:rsidR="00C14980" w:rsidRPr="00895CF0" w:rsidRDefault="00C14980" w:rsidP="00895CF0">
            <w:pPr>
              <w:pStyle w:val="BodyText"/>
              <w:jc w:val="center"/>
              <w:rPr>
                <w:snapToGrid w:val="0"/>
                <w:sz w:val="20"/>
                <w:szCs w:val="20"/>
              </w:rPr>
            </w:pPr>
            <w:r w:rsidRPr="00895CF0">
              <w:rPr>
                <w:snapToGrid w:val="0"/>
                <w:sz w:val="20"/>
                <w:szCs w:val="20"/>
              </w:rPr>
              <w:t>1-Nitropropane</w:t>
            </w:r>
          </w:p>
        </w:tc>
        <w:tc>
          <w:tcPr>
            <w:tcW w:w="810" w:type="dxa"/>
            <w:vAlign w:val="center"/>
          </w:tcPr>
          <w:p w:rsidR="00C14980" w:rsidRPr="00895CF0" w:rsidRDefault="00C14980" w:rsidP="00895CF0">
            <w:pPr>
              <w:pStyle w:val="BodyText"/>
              <w:jc w:val="center"/>
              <w:rPr>
                <w:snapToGrid w:val="0"/>
                <w:sz w:val="20"/>
                <w:szCs w:val="20"/>
              </w:rPr>
            </w:pPr>
            <w:r w:rsidRPr="00895CF0">
              <w:rPr>
                <w:snapToGrid w:val="0"/>
                <w:sz w:val="20"/>
                <w:szCs w:val="20"/>
              </w:rPr>
              <w:t>108-03-2</w:t>
            </w:r>
          </w:p>
        </w:tc>
        <w:tc>
          <w:tcPr>
            <w:tcW w:w="1350" w:type="dxa"/>
            <w:vAlign w:val="center"/>
          </w:tcPr>
          <w:p w:rsidR="00C14980" w:rsidRPr="00895CF0" w:rsidRDefault="00C14980" w:rsidP="00895CF0">
            <w:pPr>
              <w:pStyle w:val="BodyText"/>
              <w:jc w:val="center"/>
              <w:rPr>
                <w:caps/>
                <w:snapToGrid w:val="0"/>
                <w:sz w:val="20"/>
                <w:szCs w:val="20"/>
              </w:rPr>
            </w:pPr>
            <w:r w:rsidRPr="00895CF0">
              <w:rPr>
                <w:caps/>
                <w:snapToGrid w:val="0"/>
                <w:sz w:val="20"/>
                <w:szCs w:val="20"/>
              </w:rPr>
              <w:t>X</w:t>
            </w:r>
          </w:p>
        </w:tc>
        <w:tc>
          <w:tcPr>
            <w:tcW w:w="1260" w:type="dxa"/>
            <w:vAlign w:val="center"/>
          </w:tcPr>
          <w:p w:rsidR="00C14980" w:rsidRPr="00895CF0" w:rsidRDefault="002E753B" w:rsidP="00895CF0">
            <w:pPr>
              <w:pStyle w:val="BodyText"/>
              <w:jc w:val="center"/>
              <w:rPr>
                <w:caps/>
                <w:snapToGrid w:val="0"/>
                <w:sz w:val="20"/>
                <w:szCs w:val="20"/>
              </w:rPr>
            </w:pPr>
            <w:r w:rsidRPr="00895CF0">
              <w:rPr>
                <w:caps/>
                <w:snapToGrid w:val="0"/>
                <w:sz w:val="20"/>
                <w:szCs w:val="20"/>
              </w:rPr>
              <w:t>X</w:t>
            </w:r>
          </w:p>
        </w:tc>
        <w:tc>
          <w:tcPr>
            <w:tcW w:w="1530" w:type="dxa"/>
            <w:vAlign w:val="center"/>
          </w:tcPr>
          <w:p w:rsidR="00C14980" w:rsidRPr="00895CF0" w:rsidRDefault="00EB7D01" w:rsidP="00895CF0">
            <w:pPr>
              <w:pStyle w:val="BodyText"/>
              <w:jc w:val="center"/>
              <w:rPr>
                <w:caps/>
                <w:snapToGrid w:val="0"/>
                <w:sz w:val="20"/>
                <w:szCs w:val="20"/>
              </w:rPr>
            </w:pPr>
            <w:r w:rsidRPr="00895CF0">
              <w:rPr>
                <w:caps/>
                <w:snapToGrid w:val="0"/>
                <w:sz w:val="20"/>
                <w:szCs w:val="20"/>
              </w:rPr>
              <w:t>O</w:t>
            </w:r>
          </w:p>
        </w:tc>
        <w:tc>
          <w:tcPr>
            <w:tcW w:w="1530" w:type="dxa"/>
            <w:vAlign w:val="center"/>
          </w:tcPr>
          <w:p w:rsidR="00C14980" w:rsidRPr="00895CF0" w:rsidRDefault="00F70271" w:rsidP="00895CF0">
            <w:pPr>
              <w:pStyle w:val="BodyText"/>
              <w:jc w:val="center"/>
              <w:rPr>
                <w:caps/>
                <w:snapToGrid w:val="0"/>
                <w:sz w:val="20"/>
                <w:szCs w:val="20"/>
              </w:rPr>
            </w:pPr>
            <w:r w:rsidRPr="00895CF0">
              <w:rPr>
                <w:caps/>
                <w:snapToGrid w:val="0"/>
                <w:sz w:val="20"/>
                <w:szCs w:val="20"/>
              </w:rPr>
              <w:t>X</w:t>
            </w:r>
          </w:p>
        </w:tc>
        <w:tc>
          <w:tcPr>
            <w:tcW w:w="1530" w:type="dxa"/>
            <w:vAlign w:val="center"/>
          </w:tcPr>
          <w:p w:rsidR="00C14980" w:rsidRPr="00895CF0" w:rsidRDefault="00C14980" w:rsidP="00895CF0">
            <w:pPr>
              <w:pStyle w:val="BodyText"/>
              <w:jc w:val="center"/>
              <w:rPr>
                <w:caps/>
                <w:snapToGrid w:val="0"/>
                <w:sz w:val="20"/>
                <w:szCs w:val="20"/>
              </w:rPr>
            </w:pPr>
            <w:r w:rsidRPr="00895CF0">
              <w:rPr>
                <w:caps/>
                <w:snapToGrid w:val="0"/>
                <w:sz w:val="20"/>
                <w:szCs w:val="20"/>
              </w:rPr>
              <w:t>X</w:t>
            </w:r>
          </w:p>
        </w:tc>
      </w:tr>
    </w:tbl>
    <w:p w:rsidR="00976B97" w:rsidRPr="00895CF0" w:rsidRDefault="00976B97" w:rsidP="00F37C80">
      <w:pPr>
        <w:pStyle w:val="BodyText"/>
        <w:rPr>
          <w:b/>
          <w:snapToGrid w:val="0"/>
          <w:sz w:val="20"/>
        </w:rPr>
      </w:pPr>
      <w:r>
        <w:rPr>
          <w:lang w:val="en-US"/>
        </w:rPr>
        <w:tab/>
      </w:r>
      <w:r w:rsidRPr="00895CF0">
        <w:rPr>
          <w:b/>
          <w:snapToGrid w:val="0"/>
          <w:sz w:val="20"/>
        </w:rPr>
        <w:t>X = data available; O = read across</w:t>
      </w:r>
    </w:p>
    <w:p w:rsidR="00976B97" w:rsidRPr="00223561" w:rsidRDefault="00976B97" w:rsidP="00F37C80">
      <w:pPr>
        <w:pStyle w:val="BodyText"/>
        <w:rPr>
          <w:b/>
          <w:snapToGrid w:val="0"/>
          <w:sz w:val="20"/>
        </w:rPr>
      </w:pPr>
    </w:p>
    <w:p w:rsidR="00784194" w:rsidRDefault="000A3308" w:rsidP="00F37C80">
      <w:pPr>
        <w:pStyle w:val="BodyText"/>
        <w:spacing w:after="120"/>
        <w:rPr>
          <w:b/>
          <w:szCs w:val="22"/>
        </w:rPr>
      </w:pPr>
      <w:r>
        <w:rPr>
          <w:b/>
          <w:szCs w:val="22"/>
        </w:rPr>
        <w:t xml:space="preserve"> </w:t>
      </w:r>
      <w:r w:rsidR="00976B97" w:rsidRPr="00B92515">
        <w:rPr>
          <w:b/>
          <w:szCs w:val="22"/>
        </w:rPr>
        <w:t>Table 4</w:t>
      </w:r>
      <w:r w:rsidR="00B320DF" w:rsidRPr="00F37C80">
        <w:rPr>
          <w:b/>
          <w:szCs w:val="22"/>
        </w:rPr>
        <w:t xml:space="preserve">  </w:t>
      </w:r>
      <w:r w:rsidR="00895CF0">
        <w:rPr>
          <w:b/>
          <w:szCs w:val="22"/>
        </w:rPr>
        <w:t xml:space="preserve"> </w:t>
      </w:r>
      <w:r w:rsidR="00B320DF" w:rsidRPr="00F37C80">
        <w:rPr>
          <w:b/>
          <w:szCs w:val="22"/>
        </w:rPr>
        <w:t>Ecotoxicity Endpoints</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103"/>
        <w:gridCol w:w="1414"/>
        <w:gridCol w:w="2057"/>
        <w:gridCol w:w="2057"/>
        <w:gridCol w:w="1928"/>
      </w:tblGrid>
      <w:tr w:rsidR="00976B97" w:rsidRPr="00895CF0" w:rsidTr="00895CF0">
        <w:trPr>
          <w:trHeight w:val="779"/>
        </w:trPr>
        <w:tc>
          <w:tcPr>
            <w:tcW w:w="1472" w:type="dxa"/>
            <w:tcBorders>
              <w:top w:val="single" w:sz="12" w:space="0" w:color="auto"/>
              <w:bottom w:val="single" w:sz="12" w:space="0" w:color="auto"/>
            </w:tcBorders>
          </w:tcPr>
          <w:p w:rsidR="00976B97" w:rsidRPr="00895CF0" w:rsidRDefault="00976B97" w:rsidP="00895CF0">
            <w:pPr>
              <w:pStyle w:val="BodyText"/>
              <w:jc w:val="center"/>
              <w:rPr>
                <w:b/>
                <w:snapToGrid w:val="0"/>
                <w:sz w:val="20"/>
              </w:rPr>
            </w:pPr>
            <w:r w:rsidRPr="00895CF0">
              <w:rPr>
                <w:b/>
                <w:snapToGrid w:val="0"/>
                <w:sz w:val="20"/>
              </w:rPr>
              <w:t>Substance</w:t>
            </w:r>
          </w:p>
        </w:tc>
        <w:tc>
          <w:tcPr>
            <w:tcW w:w="990" w:type="dxa"/>
            <w:tcBorders>
              <w:top w:val="single" w:sz="12" w:space="0" w:color="auto"/>
              <w:bottom w:val="single" w:sz="12" w:space="0" w:color="auto"/>
            </w:tcBorders>
          </w:tcPr>
          <w:p w:rsidR="00976B97" w:rsidRPr="00895CF0" w:rsidRDefault="00976B97" w:rsidP="00895CF0">
            <w:pPr>
              <w:pStyle w:val="BodyText"/>
              <w:jc w:val="center"/>
              <w:rPr>
                <w:b/>
                <w:snapToGrid w:val="0"/>
                <w:sz w:val="20"/>
              </w:rPr>
            </w:pPr>
            <w:r w:rsidRPr="00895CF0">
              <w:rPr>
                <w:b/>
                <w:snapToGrid w:val="0"/>
                <w:sz w:val="20"/>
              </w:rPr>
              <w:t>CAS No.</w:t>
            </w:r>
          </w:p>
        </w:tc>
        <w:tc>
          <w:tcPr>
            <w:tcW w:w="1440" w:type="dxa"/>
            <w:tcBorders>
              <w:top w:val="single" w:sz="12" w:space="0" w:color="auto"/>
              <w:bottom w:val="single" w:sz="12" w:space="0" w:color="auto"/>
            </w:tcBorders>
          </w:tcPr>
          <w:p w:rsidR="00976B97" w:rsidRPr="00895CF0" w:rsidRDefault="00976B97" w:rsidP="00895CF0">
            <w:pPr>
              <w:pStyle w:val="BodyText"/>
              <w:jc w:val="center"/>
              <w:rPr>
                <w:b/>
                <w:snapToGrid w:val="0"/>
                <w:sz w:val="20"/>
              </w:rPr>
            </w:pPr>
            <w:r w:rsidRPr="00895CF0">
              <w:rPr>
                <w:b/>
                <w:snapToGrid w:val="0"/>
                <w:sz w:val="20"/>
              </w:rPr>
              <w:t>Acute Toxicity to Fish</w:t>
            </w:r>
          </w:p>
        </w:tc>
        <w:tc>
          <w:tcPr>
            <w:tcW w:w="1440" w:type="dxa"/>
            <w:tcBorders>
              <w:top w:val="single" w:sz="12" w:space="0" w:color="auto"/>
              <w:bottom w:val="single" w:sz="12" w:space="0" w:color="auto"/>
            </w:tcBorders>
          </w:tcPr>
          <w:p w:rsidR="00976B97" w:rsidRPr="00895CF0" w:rsidRDefault="00976B97" w:rsidP="00895CF0">
            <w:pPr>
              <w:pStyle w:val="BodyText"/>
              <w:jc w:val="center"/>
              <w:rPr>
                <w:b/>
                <w:snapToGrid w:val="0"/>
                <w:sz w:val="20"/>
              </w:rPr>
            </w:pPr>
            <w:r w:rsidRPr="00895CF0">
              <w:rPr>
                <w:b/>
                <w:snapToGrid w:val="0"/>
                <w:sz w:val="20"/>
              </w:rPr>
              <w:t>Acute Toxicity to Aquatic Invertebrates</w:t>
            </w:r>
          </w:p>
        </w:tc>
        <w:tc>
          <w:tcPr>
            <w:tcW w:w="1350" w:type="dxa"/>
            <w:tcBorders>
              <w:top w:val="single" w:sz="12" w:space="0" w:color="auto"/>
              <w:bottom w:val="single" w:sz="12" w:space="0" w:color="auto"/>
            </w:tcBorders>
          </w:tcPr>
          <w:p w:rsidR="00976B97" w:rsidRPr="00895CF0" w:rsidRDefault="00976B97" w:rsidP="00895CF0">
            <w:pPr>
              <w:pStyle w:val="BodyText"/>
              <w:jc w:val="center"/>
              <w:rPr>
                <w:b/>
                <w:snapToGrid w:val="0"/>
                <w:sz w:val="20"/>
              </w:rPr>
            </w:pPr>
            <w:r w:rsidRPr="00895CF0">
              <w:rPr>
                <w:b/>
                <w:snapToGrid w:val="0"/>
                <w:sz w:val="20"/>
              </w:rPr>
              <w:t>Toxicity to Aquatic Plants</w:t>
            </w:r>
          </w:p>
        </w:tc>
      </w:tr>
      <w:tr w:rsidR="00976B97" w:rsidRPr="00B715B3" w:rsidTr="00895CF0">
        <w:trPr>
          <w:trHeight w:val="127"/>
        </w:trPr>
        <w:tc>
          <w:tcPr>
            <w:tcW w:w="1472" w:type="dxa"/>
            <w:tcBorders>
              <w:top w:val="single" w:sz="12" w:space="0" w:color="auto"/>
            </w:tcBorders>
            <w:vAlign w:val="center"/>
          </w:tcPr>
          <w:p w:rsidR="00976B97" w:rsidRPr="00895CF0" w:rsidRDefault="00976B97" w:rsidP="00895CF0">
            <w:pPr>
              <w:pStyle w:val="BodyText"/>
              <w:jc w:val="center"/>
              <w:rPr>
                <w:snapToGrid w:val="0"/>
                <w:sz w:val="18"/>
                <w:szCs w:val="18"/>
              </w:rPr>
            </w:pPr>
            <w:r w:rsidRPr="00895CF0">
              <w:rPr>
                <w:snapToGrid w:val="0"/>
                <w:sz w:val="18"/>
                <w:szCs w:val="18"/>
              </w:rPr>
              <w:t>Nitromethane</w:t>
            </w:r>
          </w:p>
        </w:tc>
        <w:tc>
          <w:tcPr>
            <w:tcW w:w="990" w:type="dxa"/>
            <w:tcBorders>
              <w:top w:val="single" w:sz="12" w:space="0" w:color="auto"/>
            </w:tcBorders>
            <w:vAlign w:val="center"/>
          </w:tcPr>
          <w:p w:rsidR="00976B97" w:rsidRPr="00895CF0" w:rsidRDefault="00976B97" w:rsidP="00895CF0">
            <w:pPr>
              <w:pStyle w:val="BodyText"/>
              <w:jc w:val="center"/>
              <w:rPr>
                <w:snapToGrid w:val="0"/>
                <w:sz w:val="18"/>
                <w:szCs w:val="18"/>
              </w:rPr>
            </w:pPr>
            <w:r w:rsidRPr="00895CF0">
              <w:rPr>
                <w:snapToGrid w:val="0"/>
                <w:sz w:val="18"/>
                <w:szCs w:val="18"/>
              </w:rPr>
              <w:t>75-52-5</w:t>
            </w:r>
          </w:p>
        </w:tc>
        <w:tc>
          <w:tcPr>
            <w:tcW w:w="1440" w:type="dxa"/>
            <w:tcBorders>
              <w:top w:val="single" w:sz="12" w:space="0" w:color="auto"/>
            </w:tcBorders>
            <w:vAlign w:val="center"/>
          </w:tcPr>
          <w:p w:rsidR="00976B97" w:rsidRPr="00895CF0" w:rsidRDefault="002E753B" w:rsidP="00895CF0">
            <w:pPr>
              <w:pStyle w:val="BodyText"/>
              <w:jc w:val="center"/>
              <w:rPr>
                <w:caps/>
                <w:snapToGrid w:val="0"/>
                <w:sz w:val="18"/>
                <w:szCs w:val="18"/>
              </w:rPr>
            </w:pPr>
            <w:r w:rsidRPr="00895CF0">
              <w:rPr>
                <w:caps/>
                <w:snapToGrid w:val="0"/>
                <w:sz w:val="18"/>
                <w:szCs w:val="18"/>
              </w:rPr>
              <w:t>X</w:t>
            </w:r>
          </w:p>
        </w:tc>
        <w:tc>
          <w:tcPr>
            <w:tcW w:w="1440" w:type="dxa"/>
            <w:tcBorders>
              <w:top w:val="single" w:sz="12" w:space="0" w:color="auto"/>
            </w:tcBorders>
            <w:vAlign w:val="center"/>
          </w:tcPr>
          <w:p w:rsidR="00976B97" w:rsidRPr="00895CF0" w:rsidRDefault="00EB7D01" w:rsidP="00895CF0">
            <w:pPr>
              <w:pStyle w:val="BodyText"/>
              <w:jc w:val="center"/>
              <w:rPr>
                <w:caps/>
                <w:snapToGrid w:val="0"/>
                <w:sz w:val="18"/>
                <w:szCs w:val="18"/>
              </w:rPr>
            </w:pPr>
            <w:r w:rsidRPr="00895CF0">
              <w:rPr>
                <w:caps/>
                <w:snapToGrid w:val="0"/>
                <w:sz w:val="18"/>
                <w:szCs w:val="18"/>
              </w:rPr>
              <w:t>X</w:t>
            </w:r>
          </w:p>
        </w:tc>
        <w:tc>
          <w:tcPr>
            <w:tcW w:w="1350" w:type="dxa"/>
            <w:tcBorders>
              <w:top w:val="single" w:sz="12" w:space="0" w:color="auto"/>
            </w:tcBorders>
            <w:vAlign w:val="center"/>
          </w:tcPr>
          <w:p w:rsidR="00976B97" w:rsidRPr="00895CF0" w:rsidRDefault="00EB7D01" w:rsidP="00895CF0">
            <w:pPr>
              <w:pStyle w:val="BodyText"/>
              <w:jc w:val="center"/>
              <w:rPr>
                <w:caps/>
                <w:snapToGrid w:val="0"/>
                <w:sz w:val="18"/>
                <w:szCs w:val="18"/>
              </w:rPr>
            </w:pPr>
            <w:r w:rsidRPr="00895CF0">
              <w:rPr>
                <w:caps/>
                <w:snapToGrid w:val="0"/>
                <w:sz w:val="18"/>
                <w:szCs w:val="18"/>
              </w:rPr>
              <w:t>X</w:t>
            </w:r>
          </w:p>
        </w:tc>
      </w:tr>
      <w:tr w:rsidR="00976B97" w:rsidRPr="00B715B3" w:rsidTr="00895CF0">
        <w:trPr>
          <w:trHeight w:val="127"/>
        </w:trPr>
        <w:tc>
          <w:tcPr>
            <w:tcW w:w="1472" w:type="dxa"/>
            <w:vAlign w:val="center"/>
          </w:tcPr>
          <w:p w:rsidR="00976B97" w:rsidRPr="00895CF0" w:rsidRDefault="00976B97" w:rsidP="00895CF0">
            <w:pPr>
              <w:pStyle w:val="BodyText"/>
              <w:jc w:val="center"/>
              <w:rPr>
                <w:snapToGrid w:val="0"/>
                <w:sz w:val="18"/>
                <w:szCs w:val="18"/>
              </w:rPr>
            </w:pPr>
            <w:r w:rsidRPr="00895CF0">
              <w:rPr>
                <w:snapToGrid w:val="0"/>
                <w:sz w:val="18"/>
                <w:szCs w:val="18"/>
              </w:rPr>
              <w:t>Nitroethane</w:t>
            </w:r>
          </w:p>
        </w:tc>
        <w:tc>
          <w:tcPr>
            <w:tcW w:w="990" w:type="dxa"/>
            <w:vAlign w:val="center"/>
          </w:tcPr>
          <w:p w:rsidR="00976B97" w:rsidRPr="00895CF0" w:rsidRDefault="00976B97" w:rsidP="00895CF0">
            <w:pPr>
              <w:pStyle w:val="BodyText"/>
              <w:jc w:val="center"/>
              <w:rPr>
                <w:snapToGrid w:val="0"/>
                <w:sz w:val="18"/>
                <w:szCs w:val="18"/>
              </w:rPr>
            </w:pPr>
            <w:r w:rsidRPr="00895CF0">
              <w:rPr>
                <w:snapToGrid w:val="0"/>
                <w:sz w:val="18"/>
                <w:szCs w:val="18"/>
              </w:rPr>
              <w:t>79-24-3</w:t>
            </w:r>
          </w:p>
        </w:tc>
        <w:tc>
          <w:tcPr>
            <w:tcW w:w="1440" w:type="dxa"/>
            <w:vAlign w:val="center"/>
          </w:tcPr>
          <w:p w:rsidR="00976B97" w:rsidRPr="00895CF0" w:rsidRDefault="00B320DF" w:rsidP="00895CF0">
            <w:pPr>
              <w:pStyle w:val="BodyText"/>
              <w:jc w:val="center"/>
              <w:rPr>
                <w:caps/>
                <w:snapToGrid w:val="0"/>
                <w:sz w:val="18"/>
                <w:szCs w:val="18"/>
              </w:rPr>
            </w:pPr>
            <w:r w:rsidRPr="00895CF0">
              <w:rPr>
                <w:caps/>
                <w:snapToGrid w:val="0"/>
                <w:sz w:val="18"/>
                <w:szCs w:val="18"/>
              </w:rPr>
              <w:t>x</w:t>
            </w:r>
          </w:p>
        </w:tc>
        <w:tc>
          <w:tcPr>
            <w:tcW w:w="1440" w:type="dxa"/>
            <w:vAlign w:val="center"/>
          </w:tcPr>
          <w:p w:rsidR="00976B97" w:rsidRPr="00895CF0" w:rsidRDefault="00B320DF" w:rsidP="00895CF0">
            <w:pPr>
              <w:pStyle w:val="BodyText"/>
              <w:jc w:val="center"/>
              <w:rPr>
                <w:caps/>
                <w:snapToGrid w:val="0"/>
                <w:sz w:val="18"/>
                <w:szCs w:val="18"/>
              </w:rPr>
            </w:pPr>
            <w:r w:rsidRPr="00895CF0">
              <w:rPr>
                <w:caps/>
                <w:snapToGrid w:val="0"/>
                <w:sz w:val="18"/>
                <w:szCs w:val="18"/>
              </w:rPr>
              <w:t>x</w:t>
            </w:r>
          </w:p>
        </w:tc>
        <w:tc>
          <w:tcPr>
            <w:tcW w:w="1350" w:type="dxa"/>
            <w:vAlign w:val="center"/>
          </w:tcPr>
          <w:p w:rsidR="00976B97" w:rsidRPr="00895CF0" w:rsidRDefault="00B320DF" w:rsidP="00895CF0">
            <w:pPr>
              <w:pStyle w:val="BodyText"/>
              <w:jc w:val="center"/>
              <w:rPr>
                <w:caps/>
                <w:snapToGrid w:val="0"/>
                <w:sz w:val="18"/>
                <w:szCs w:val="18"/>
              </w:rPr>
            </w:pPr>
            <w:r w:rsidRPr="00895CF0">
              <w:rPr>
                <w:caps/>
                <w:snapToGrid w:val="0"/>
                <w:sz w:val="18"/>
                <w:szCs w:val="18"/>
              </w:rPr>
              <w:t>x</w:t>
            </w:r>
          </w:p>
        </w:tc>
      </w:tr>
      <w:tr w:rsidR="00976B97" w:rsidRPr="00B715B3" w:rsidTr="00895CF0">
        <w:trPr>
          <w:trHeight w:val="127"/>
        </w:trPr>
        <w:tc>
          <w:tcPr>
            <w:tcW w:w="1472" w:type="dxa"/>
            <w:vAlign w:val="center"/>
          </w:tcPr>
          <w:p w:rsidR="00976B97" w:rsidRPr="00895CF0" w:rsidRDefault="00976B97" w:rsidP="00895CF0">
            <w:pPr>
              <w:pStyle w:val="BodyText"/>
              <w:jc w:val="center"/>
              <w:rPr>
                <w:snapToGrid w:val="0"/>
                <w:sz w:val="18"/>
                <w:szCs w:val="18"/>
              </w:rPr>
            </w:pPr>
            <w:r w:rsidRPr="00895CF0">
              <w:rPr>
                <w:snapToGrid w:val="0"/>
                <w:sz w:val="18"/>
                <w:szCs w:val="18"/>
              </w:rPr>
              <w:t>1-Nitropropane</w:t>
            </w:r>
          </w:p>
        </w:tc>
        <w:tc>
          <w:tcPr>
            <w:tcW w:w="990" w:type="dxa"/>
            <w:vAlign w:val="center"/>
          </w:tcPr>
          <w:p w:rsidR="00976B97" w:rsidRPr="00895CF0" w:rsidRDefault="00976B97" w:rsidP="00895CF0">
            <w:pPr>
              <w:pStyle w:val="BodyText"/>
              <w:jc w:val="center"/>
              <w:rPr>
                <w:snapToGrid w:val="0"/>
                <w:sz w:val="18"/>
                <w:szCs w:val="18"/>
              </w:rPr>
            </w:pPr>
            <w:r w:rsidRPr="00895CF0">
              <w:rPr>
                <w:snapToGrid w:val="0"/>
                <w:sz w:val="18"/>
                <w:szCs w:val="18"/>
              </w:rPr>
              <w:t>108-03-2</w:t>
            </w:r>
          </w:p>
        </w:tc>
        <w:tc>
          <w:tcPr>
            <w:tcW w:w="1440" w:type="dxa"/>
            <w:vAlign w:val="center"/>
          </w:tcPr>
          <w:p w:rsidR="00976B97" w:rsidRPr="00895CF0" w:rsidRDefault="00B320DF" w:rsidP="00895CF0">
            <w:pPr>
              <w:pStyle w:val="BodyText"/>
              <w:jc w:val="center"/>
              <w:rPr>
                <w:caps/>
                <w:snapToGrid w:val="0"/>
                <w:sz w:val="18"/>
                <w:szCs w:val="18"/>
              </w:rPr>
            </w:pPr>
            <w:r w:rsidRPr="00895CF0">
              <w:rPr>
                <w:caps/>
                <w:snapToGrid w:val="0"/>
                <w:sz w:val="18"/>
                <w:szCs w:val="18"/>
              </w:rPr>
              <w:t>x</w:t>
            </w:r>
          </w:p>
        </w:tc>
        <w:tc>
          <w:tcPr>
            <w:tcW w:w="1440" w:type="dxa"/>
            <w:vAlign w:val="center"/>
          </w:tcPr>
          <w:p w:rsidR="00976B97" w:rsidRPr="00895CF0" w:rsidRDefault="00EB7D01" w:rsidP="00895CF0">
            <w:pPr>
              <w:pStyle w:val="BodyText"/>
              <w:jc w:val="center"/>
              <w:rPr>
                <w:caps/>
                <w:snapToGrid w:val="0"/>
                <w:sz w:val="18"/>
                <w:szCs w:val="18"/>
              </w:rPr>
            </w:pPr>
            <w:r w:rsidRPr="00895CF0">
              <w:rPr>
                <w:caps/>
                <w:snapToGrid w:val="0"/>
                <w:sz w:val="18"/>
                <w:szCs w:val="18"/>
              </w:rPr>
              <w:t>X</w:t>
            </w:r>
          </w:p>
        </w:tc>
        <w:tc>
          <w:tcPr>
            <w:tcW w:w="1350" w:type="dxa"/>
            <w:vAlign w:val="center"/>
          </w:tcPr>
          <w:p w:rsidR="00976B97" w:rsidRPr="00895CF0" w:rsidRDefault="00EB7D01" w:rsidP="00895CF0">
            <w:pPr>
              <w:pStyle w:val="BodyText"/>
              <w:jc w:val="center"/>
              <w:rPr>
                <w:caps/>
                <w:snapToGrid w:val="0"/>
                <w:sz w:val="18"/>
                <w:szCs w:val="18"/>
              </w:rPr>
            </w:pPr>
            <w:r w:rsidRPr="00895CF0">
              <w:rPr>
                <w:caps/>
                <w:snapToGrid w:val="0"/>
                <w:sz w:val="18"/>
                <w:szCs w:val="18"/>
              </w:rPr>
              <w:t>X</w:t>
            </w:r>
          </w:p>
        </w:tc>
      </w:tr>
    </w:tbl>
    <w:p w:rsidR="00976B97" w:rsidRPr="00895CF0" w:rsidRDefault="00895CF0" w:rsidP="00F37C80">
      <w:pPr>
        <w:pStyle w:val="BodyText"/>
        <w:rPr>
          <w:sz w:val="20"/>
          <w:szCs w:val="20"/>
          <w:lang w:val="en-US"/>
        </w:rPr>
      </w:pPr>
      <w:r>
        <w:rPr>
          <w:lang w:val="en-US"/>
        </w:rPr>
        <w:tab/>
      </w:r>
      <w:r w:rsidR="00976B97" w:rsidRPr="00895CF0">
        <w:rPr>
          <w:b/>
          <w:snapToGrid w:val="0"/>
          <w:sz w:val="20"/>
          <w:szCs w:val="20"/>
        </w:rPr>
        <w:t>X = data available</w:t>
      </w:r>
      <w:r w:rsidR="003F3D0F" w:rsidRPr="00895CF0">
        <w:rPr>
          <w:b/>
          <w:snapToGrid w:val="0"/>
          <w:sz w:val="20"/>
          <w:szCs w:val="20"/>
        </w:rPr>
        <w:t xml:space="preserve"> (measured or calculated)</w:t>
      </w:r>
    </w:p>
    <w:p w:rsidR="00204A39" w:rsidRDefault="00204A39" w:rsidP="00F37C80">
      <w:pPr>
        <w:pStyle w:val="Heading1"/>
        <w:jc w:val="both"/>
      </w:pPr>
      <w:bookmarkStart w:id="19" w:name="_Toc32726016"/>
      <w:bookmarkStart w:id="20" w:name="_Toc32727199"/>
      <w:bookmarkStart w:id="21" w:name="_Toc147824528"/>
      <w:r>
        <w:t>general information on exposure</w:t>
      </w:r>
      <w:bookmarkEnd w:id="19"/>
      <w:bookmarkEnd w:id="20"/>
      <w:bookmarkEnd w:id="21"/>
    </w:p>
    <w:p w:rsidR="00204A39" w:rsidRDefault="00204A39" w:rsidP="00F37C80">
      <w:pPr>
        <w:pStyle w:val="Heading2"/>
      </w:pPr>
      <w:bookmarkStart w:id="22" w:name="_Toc147824529"/>
      <w:r>
        <w:t>Production Volumes and Use Pattern</w:t>
      </w:r>
      <w:bookmarkEnd w:id="22"/>
    </w:p>
    <w:p w:rsidR="00DC2FF7" w:rsidRDefault="00204A39" w:rsidP="00F37C80">
      <w:pPr>
        <w:jc w:val="both"/>
        <w:rPr>
          <w:highlight w:val="cyan"/>
        </w:rPr>
      </w:pPr>
      <w:r w:rsidRPr="00DC2FF7">
        <w:t xml:space="preserve">The production volumes for the sponsor </w:t>
      </w:r>
      <w:r w:rsidR="001239E7">
        <w:t xml:space="preserve">company in the sponsor </w:t>
      </w:r>
      <w:r w:rsidRPr="00DC2FF7">
        <w:t xml:space="preserve">country </w:t>
      </w:r>
      <w:r w:rsidR="001239E7">
        <w:t>for</w:t>
      </w:r>
      <w:r w:rsidRPr="00DC2FF7">
        <w:t xml:space="preserve"> 200</w:t>
      </w:r>
      <w:r w:rsidR="00DC2FF7" w:rsidRPr="00DC2FF7">
        <w:t>5</w:t>
      </w:r>
      <w:r w:rsidRPr="00DC2FF7">
        <w:t xml:space="preserve"> were</w:t>
      </w:r>
      <w:r w:rsidR="001239E7">
        <w:t xml:space="preserve"> each over </w:t>
      </w:r>
      <w:r w:rsidR="00CB6D90">
        <w:t xml:space="preserve">5 </w:t>
      </w:r>
      <w:r w:rsidR="00646A5E">
        <w:t xml:space="preserve">x </w:t>
      </w:r>
      <w:r w:rsidR="00CB6D90">
        <w:t>10</w:t>
      </w:r>
      <w:r w:rsidR="00CB6D90">
        <w:rPr>
          <w:vertAlign w:val="superscript"/>
        </w:rPr>
        <w:t>6</w:t>
      </w:r>
      <w:r w:rsidR="00CB6D90">
        <w:t xml:space="preserve"> </w:t>
      </w:r>
      <w:r w:rsidR="00646A5E" w:rsidRPr="00646A5E">
        <w:t>pounds</w:t>
      </w:r>
      <w:r w:rsidR="00C92F5D">
        <w:t xml:space="preserve"> </w:t>
      </w:r>
      <w:r w:rsidR="00DC2DD3" w:rsidRPr="00CB6D90">
        <w:t>(</w:t>
      </w:r>
      <w:proofErr w:type="gramStart"/>
      <w:r w:rsidR="00CB6D90">
        <w:t>2268</w:t>
      </w:r>
      <w:r w:rsidR="00E04EE8">
        <w:t xml:space="preserve"> </w:t>
      </w:r>
      <w:r w:rsidR="00DC2DD3" w:rsidRPr="00E04EE8">
        <w:t xml:space="preserve"> tonnes</w:t>
      </w:r>
      <w:proofErr w:type="gramEnd"/>
      <w:r w:rsidR="00DC2DD3">
        <w:t>)</w:t>
      </w:r>
      <w:r w:rsidR="00646A5E" w:rsidRPr="00646A5E">
        <w:t>.</w:t>
      </w:r>
    </w:p>
    <w:p w:rsidR="00DC2FF7" w:rsidRPr="00123FB2" w:rsidRDefault="00DC2FF7" w:rsidP="00F37C80">
      <w:pPr>
        <w:jc w:val="both"/>
        <w:rPr>
          <w:highlight w:val="cyan"/>
        </w:rPr>
      </w:pPr>
    </w:p>
    <w:p w:rsidR="00DC2FF7" w:rsidRPr="00DC2FF7" w:rsidRDefault="00DC2FF7" w:rsidP="00F37C80">
      <w:pPr>
        <w:jc w:val="both"/>
        <w:rPr>
          <w:rStyle w:val="BodyText3Char"/>
          <w:i/>
        </w:rPr>
      </w:pPr>
      <w:bookmarkStart w:id="23" w:name="_Toc32726017"/>
      <w:bookmarkStart w:id="24" w:name="_Toc32727200"/>
      <w:r w:rsidRPr="00DC2FF7">
        <w:rPr>
          <w:rStyle w:val="BodyText3Char"/>
          <w:i/>
        </w:rPr>
        <w:t>Nitromethane</w:t>
      </w:r>
    </w:p>
    <w:p w:rsidR="001239E7" w:rsidRDefault="001239E7" w:rsidP="00F37C80">
      <w:pPr>
        <w:jc w:val="both"/>
        <w:rPr>
          <w:rStyle w:val="BodyText3Char"/>
        </w:rPr>
      </w:pPr>
      <w:r>
        <w:rPr>
          <w:rStyle w:val="BodyText3Char"/>
        </w:rPr>
        <w:t xml:space="preserve">Nitromethane has historically been used as a rocket and engine fuel, synthesis intermediate for agricultural fumigants, biocides and other products, solvent, and an explosive in mining, oil well drilling, and seismic exploration (U.S. National Library of Medicine, 2005).  The primary uses for nitromethane today are as a biocide intermediate, agricultural intermediate, industrial solvent and as a racing and hobby fuel.  Nitromethane is no longer sold into explosive applications.  It has been detected in air, surface and drinking water and in cigarette smoke (Bureau of National Affairs, 1995).  The predominant route of occupational and consumer exposure for nitromethane is inhalation.  </w:t>
      </w:r>
    </w:p>
    <w:p w:rsidR="00DC2FF7" w:rsidRDefault="00DC2FF7" w:rsidP="00F37C80">
      <w:pPr>
        <w:jc w:val="both"/>
        <w:rPr>
          <w:rStyle w:val="BodyText3Char"/>
        </w:rPr>
      </w:pPr>
    </w:p>
    <w:p w:rsidR="00DC2FF7" w:rsidRDefault="00DC2FF7" w:rsidP="00F37C80">
      <w:pPr>
        <w:jc w:val="both"/>
        <w:rPr>
          <w:rStyle w:val="BodyText3Char"/>
          <w:i/>
        </w:rPr>
      </w:pPr>
      <w:r w:rsidRPr="00DC2FF7">
        <w:rPr>
          <w:rStyle w:val="BodyText3Char"/>
          <w:i/>
        </w:rPr>
        <w:t>Nitroethane</w:t>
      </w:r>
    </w:p>
    <w:p w:rsidR="001239E7" w:rsidRDefault="001239E7" w:rsidP="00F37C80">
      <w:pPr>
        <w:jc w:val="both"/>
        <w:rPr>
          <w:rStyle w:val="BodyText3Char"/>
        </w:rPr>
      </w:pPr>
      <w:r>
        <w:t xml:space="preserve">Reported uses of nitroethane are as a solvent for nitrocellulose, cellulose esters (cellulose acetate, cellulose acetopropionate, </w:t>
      </w:r>
      <w:r w:rsidR="00E04EE8">
        <w:t>and cellulose</w:t>
      </w:r>
      <w:r>
        <w:t xml:space="preserve"> acetobutyrate), </w:t>
      </w:r>
      <w:r w:rsidRPr="006B51EC">
        <w:t>vinyl, alkyd and</w:t>
      </w:r>
      <w:r>
        <w:t xml:space="preserve"> other resins and waxes, a solvent in organic synthesis, a propellant for military use, a chemical intermediate to manufacture nitroalcohols, and as a fuel additive (HSDB, 2005; ACGIH, 1986; Budavari, 1996; Lewis, 1993).  Today nitroethane is primarily used in paints and coatings, as an industrial solvent, as a fuel additive, and as a chemical intermediate.  </w:t>
      </w:r>
    </w:p>
    <w:p w:rsidR="001239E7" w:rsidRDefault="001239E7" w:rsidP="00F37C80">
      <w:pPr>
        <w:jc w:val="both"/>
        <w:rPr>
          <w:rStyle w:val="BodyText3Char"/>
        </w:rPr>
      </w:pPr>
    </w:p>
    <w:p w:rsidR="001239E7" w:rsidRDefault="001239E7" w:rsidP="00F37C80">
      <w:pPr>
        <w:jc w:val="both"/>
        <w:rPr>
          <w:rStyle w:val="BodyText3Char"/>
        </w:rPr>
      </w:pPr>
      <w:r>
        <w:rPr>
          <w:rStyle w:val="BodyText3Char"/>
        </w:rPr>
        <w:t xml:space="preserve">Nitroethane’s use as an industrial solvent or intermediate may result in release to the environment through various waste streams.  Its industrial uses may result in occupational exposure.  The principal routes of </w:t>
      </w:r>
      <w:r w:rsidR="005E7146">
        <w:rPr>
          <w:rStyle w:val="BodyText3Char"/>
        </w:rPr>
        <w:t xml:space="preserve">human </w:t>
      </w:r>
      <w:r>
        <w:rPr>
          <w:rStyle w:val="BodyText3Char"/>
        </w:rPr>
        <w:t>exposure are expected to be by inhalation and dermal route</w:t>
      </w:r>
      <w:r w:rsidR="00646A5E">
        <w:rPr>
          <w:rStyle w:val="BodyText3Char"/>
        </w:rPr>
        <w:t>s</w:t>
      </w:r>
      <w:r>
        <w:rPr>
          <w:rStyle w:val="BodyText3Char"/>
        </w:rPr>
        <w:t xml:space="preserve">.  The general population may be exposed to concentrations of nitroethane in the environment (e.g., near plants using the substances for industrial applications).  Nitroethane has been reported to be present in stain sealer used in home maintenance at a concentration of 2.4% (NIH, 2005).  Nitroethane has also reportedly been used in </w:t>
      </w:r>
      <w:r>
        <w:t xml:space="preserve">artificial fingernail removers (Osterhoudt </w:t>
      </w:r>
      <w:r w:rsidRPr="009D40A2">
        <w:rPr>
          <w:i/>
        </w:rPr>
        <w:t>et al</w:t>
      </w:r>
      <w:r>
        <w:t xml:space="preserve">., 1995).  Consumer exposure to nitroethane from these products could occur by inhalation, or via dermal contact. </w:t>
      </w:r>
      <w:r>
        <w:rPr>
          <w:rStyle w:val="BodyText3Char"/>
        </w:rPr>
        <w:t xml:space="preserve"> </w:t>
      </w:r>
    </w:p>
    <w:p w:rsidR="00DC2FF7" w:rsidRDefault="00DC2FF7" w:rsidP="00F37C80">
      <w:pPr>
        <w:jc w:val="both"/>
        <w:rPr>
          <w:rStyle w:val="BodyText3Char"/>
        </w:rPr>
      </w:pPr>
    </w:p>
    <w:p w:rsidR="00DC2FF7" w:rsidRDefault="00DC2FF7" w:rsidP="00F37C80">
      <w:pPr>
        <w:jc w:val="both"/>
        <w:rPr>
          <w:rStyle w:val="BodyText3Char"/>
          <w:i/>
        </w:rPr>
      </w:pPr>
      <w:r w:rsidRPr="00DC2FF7">
        <w:rPr>
          <w:rStyle w:val="BodyText3Char"/>
          <w:i/>
        </w:rPr>
        <w:t>1-Nitropropane</w:t>
      </w:r>
    </w:p>
    <w:p w:rsidR="001239E7" w:rsidRDefault="001239E7" w:rsidP="00F37C80">
      <w:pPr>
        <w:jc w:val="both"/>
      </w:pPr>
      <w:r>
        <w:rPr>
          <w:rStyle w:val="BodyText3Char"/>
        </w:rPr>
        <w:t xml:space="preserve">1-Nitropropane is used as a propellant fuel, gasoline additive, solvent and a chemical intermediate in the manufacture of pharmaceutical products, pesticides, surfactants and resins (Griffin </w:t>
      </w:r>
      <w:r w:rsidRPr="009D40A2">
        <w:rPr>
          <w:rStyle w:val="BodyText3Char"/>
          <w:i/>
        </w:rPr>
        <w:t>et al</w:t>
      </w:r>
      <w:r>
        <w:rPr>
          <w:rStyle w:val="BodyText3Char"/>
        </w:rPr>
        <w:t>., 1982; Parekh, 1981c).  The predominant route of occupational exposure for 1-nitropropane is inhalation.  Products containing 1-nitropropane are not widely used by consumers.</w:t>
      </w:r>
    </w:p>
    <w:p w:rsidR="00204A39" w:rsidRDefault="00204A39" w:rsidP="00F37C80">
      <w:pPr>
        <w:pStyle w:val="Heading2"/>
      </w:pPr>
      <w:bookmarkStart w:id="25" w:name="_Toc147824530"/>
      <w:r>
        <w:t>Environmental Exposure and Fate</w:t>
      </w:r>
      <w:bookmarkEnd w:id="23"/>
      <w:bookmarkEnd w:id="24"/>
      <w:bookmarkEnd w:id="25"/>
    </w:p>
    <w:p w:rsidR="00204A39" w:rsidRDefault="00204A39" w:rsidP="00F37C80">
      <w:pPr>
        <w:pStyle w:val="Heading3"/>
        <w:jc w:val="both"/>
      </w:pPr>
      <w:bookmarkStart w:id="26" w:name="_Toc147824531"/>
      <w:r>
        <w:t>Sources of Environmental Exposure</w:t>
      </w:r>
      <w:bookmarkEnd w:id="26"/>
    </w:p>
    <w:p w:rsidR="001239E7" w:rsidRDefault="001239E7" w:rsidP="00F37C80">
      <w:pPr>
        <w:pStyle w:val="BodyText"/>
      </w:pPr>
      <w:bookmarkStart w:id="27" w:name="_Toc32726018"/>
      <w:bookmarkStart w:id="28" w:name="_Toc32727201"/>
      <w:r w:rsidRPr="00180E6C">
        <w:t>In production, these materials are handled in closed systems. Engineering controls during production include proper ventilation, containment, safety equipment and actual hardware designed to minimize exposure from splashing, or exposure to the air.  Transfer of these materials is in closed pipe syst</w:t>
      </w:r>
      <w:r>
        <w:t>ems rather than in open systems</w:t>
      </w:r>
      <w:r w:rsidRPr="00180E6C">
        <w:t>.  There may be low level losses in process waste waters, which are discharged to a w</w:t>
      </w:r>
      <w:r>
        <w:t xml:space="preserve">aste water treatment system.  </w:t>
      </w:r>
      <w:r w:rsidRPr="00180E6C">
        <w:t xml:space="preserve">Some limited potential exists for release of material to the Publicly Owned Treatment Works (POTW) after primary biological treatment on site.  Industrial </w:t>
      </w:r>
      <w:r w:rsidR="000C522D">
        <w:t>customers</w:t>
      </w:r>
      <w:r w:rsidR="000C522D" w:rsidRPr="00180E6C">
        <w:t xml:space="preserve"> </w:t>
      </w:r>
      <w:r w:rsidRPr="00180E6C">
        <w:t>may have on-site biological treatment facilities but general consumers may only have access to</w:t>
      </w:r>
      <w:r>
        <w:t xml:space="preserve"> POTW’s without pre-treatment.  </w:t>
      </w:r>
      <w:r w:rsidRPr="00180E6C">
        <w:t xml:space="preserve">These chemicals are stored in closed tanks and transported in tank cars and tank trucks, and smaller amounts are transported in drums or Intermediate Bulk Containers (IBCs), with the exception of &gt;96% pure nitromethane which is not transported in containers larger than 55-gallon </w:t>
      </w:r>
      <w:r>
        <w:t xml:space="preserve">drums. </w:t>
      </w:r>
      <w:r w:rsidRPr="00180E6C">
        <w:t xml:space="preserve"> Environmental release during transport is possible in the event of a spill or transportation accident. </w:t>
      </w:r>
      <w:r>
        <w:t xml:space="preserve"> These materials will rapidly dissipate in air and have a low potential to bioaccumulate or have toxic impact to aquatic organisms in the event of an environmental release.</w:t>
      </w:r>
    </w:p>
    <w:p w:rsidR="00204A39" w:rsidRDefault="00204A39" w:rsidP="00F37C80">
      <w:pPr>
        <w:pStyle w:val="Heading3"/>
        <w:jc w:val="both"/>
      </w:pPr>
      <w:bookmarkStart w:id="29" w:name="_Toc147824532"/>
      <w:r>
        <w:t>Photodegradation</w:t>
      </w:r>
      <w:bookmarkEnd w:id="27"/>
      <w:bookmarkEnd w:id="28"/>
      <w:bookmarkEnd w:id="29"/>
    </w:p>
    <w:p w:rsidR="001B6188" w:rsidRDefault="001B6188" w:rsidP="00F37C80">
      <w:pPr>
        <w:pStyle w:val="MSDS-TZeile"/>
        <w:ind w:left="0"/>
        <w:jc w:val="both"/>
        <w:rPr>
          <w:rFonts w:ascii="Times New Roman" w:hAnsi="Times New Roman" w:cs="Times New Roman"/>
          <w:sz w:val="24"/>
          <w:lang w:val="en-US"/>
        </w:rPr>
      </w:pPr>
      <w:r>
        <w:rPr>
          <w:rFonts w:ascii="Times New Roman" w:hAnsi="Times New Roman" w:cs="Times New Roman"/>
          <w:sz w:val="24"/>
          <w:lang w:val="en-US"/>
        </w:rPr>
        <w:t xml:space="preserve">Experimental </w:t>
      </w:r>
      <w:r w:rsidR="00CF042B">
        <w:rPr>
          <w:rFonts w:ascii="Times New Roman" w:hAnsi="Times New Roman" w:cs="Times New Roman"/>
          <w:sz w:val="24"/>
          <w:lang w:val="en-US"/>
        </w:rPr>
        <w:t xml:space="preserve">aqueous </w:t>
      </w:r>
      <w:r>
        <w:rPr>
          <w:rFonts w:ascii="Times New Roman" w:hAnsi="Times New Roman" w:cs="Times New Roman"/>
          <w:sz w:val="24"/>
          <w:lang w:val="en-US"/>
        </w:rPr>
        <w:t xml:space="preserve">photolysis data </w:t>
      </w:r>
      <w:r w:rsidR="00E430D0">
        <w:rPr>
          <w:rFonts w:ascii="Times New Roman" w:hAnsi="Times New Roman" w:cs="Times New Roman"/>
          <w:sz w:val="24"/>
          <w:lang w:val="en-US"/>
        </w:rPr>
        <w:t xml:space="preserve">are </w:t>
      </w:r>
      <w:r>
        <w:rPr>
          <w:rFonts w:ascii="Times New Roman" w:hAnsi="Times New Roman" w:cs="Times New Roman"/>
          <w:sz w:val="24"/>
          <w:lang w:val="en-US"/>
        </w:rPr>
        <w:t xml:space="preserve">available for nitromethane, nitroethane, and 1-nitropropane using radiolabeled test material irradiated by a mercury vapor lamp.  Results </w:t>
      </w:r>
      <w:r w:rsidR="00AC0B97">
        <w:rPr>
          <w:rFonts w:ascii="Times New Roman" w:hAnsi="Times New Roman" w:cs="Times New Roman"/>
          <w:sz w:val="24"/>
          <w:lang w:val="en-US"/>
        </w:rPr>
        <w:t xml:space="preserve">after 17 hours </w:t>
      </w:r>
      <w:r>
        <w:rPr>
          <w:rFonts w:ascii="Times New Roman" w:hAnsi="Times New Roman" w:cs="Times New Roman"/>
          <w:sz w:val="24"/>
          <w:lang w:val="en-US"/>
        </w:rPr>
        <w:t xml:space="preserve">indicate 35.2% degradation </w:t>
      </w:r>
      <w:r w:rsidR="00AC0B97">
        <w:rPr>
          <w:rFonts w:ascii="Times New Roman" w:hAnsi="Times New Roman" w:cs="Times New Roman"/>
          <w:sz w:val="24"/>
          <w:lang w:val="en-US"/>
        </w:rPr>
        <w:t>of nitromethane, 23.9% degradation of nitroethane,</w:t>
      </w:r>
      <w:r>
        <w:rPr>
          <w:rFonts w:ascii="Times New Roman" w:hAnsi="Times New Roman" w:cs="Times New Roman"/>
          <w:sz w:val="24"/>
          <w:lang w:val="en-US"/>
        </w:rPr>
        <w:t xml:space="preserve"> </w:t>
      </w:r>
      <w:r w:rsidR="00AC0B97">
        <w:rPr>
          <w:rFonts w:ascii="Times New Roman" w:hAnsi="Times New Roman" w:cs="Times New Roman"/>
          <w:sz w:val="24"/>
          <w:lang w:val="en-US"/>
        </w:rPr>
        <w:t xml:space="preserve">and 54.8% degradation of 1-nitropropane </w:t>
      </w:r>
      <w:r>
        <w:rPr>
          <w:rFonts w:ascii="Times New Roman" w:hAnsi="Times New Roman" w:cs="Times New Roman"/>
          <w:sz w:val="24"/>
          <w:lang w:val="en-US"/>
        </w:rPr>
        <w:t>(</w:t>
      </w:r>
      <w:r w:rsidR="009836BA">
        <w:rPr>
          <w:rFonts w:ascii="Times New Roman" w:hAnsi="Times New Roman" w:cs="Times New Roman"/>
          <w:sz w:val="24"/>
          <w:lang w:val="en-US"/>
        </w:rPr>
        <w:t>Freitag</w:t>
      </w:r>
      <w:r>
        <w:rPr>
          <w:rFonts w:ascii="Times New Roman" w:hAnsi="Times New Roman" w:cs="Times New Roman"/>
          <w:sz w:val="24"/>
          <w:lang w:val="en-US"/>
        </w:rPr>
        <w:t xml:space="preserve"> </w:t>
      </w:r>
      <w:r w:rsidRPr="001B6188">
        <w:rPr>
          <w:rFonts w:ascii="Times New Roman" w:hAnsi="Times New Roman" w:cs="Times New Roman"/>
          <w:i/>
          <w:sz w:val="24"/>
          <w:lang w:val="en-US"/>
        </w:rPr>
        <w:t>et al</w:t>
      </w:r>
      <w:r>
        <w:rPr>
          <w:rFonts w:ascii="Times New Roman" w:hAnsi="Times New Roman" w:cs="Times New Roman"/>
          <w:sz w:val="24"/>
          <w:lang w:val="en-US"/>
        </w:rPr>
        <w:t xml:space="preserve">., 1988). </w:t>
      </w:r>
    </w:p>
    <w:p w:rsidR="001B6188" w:rsidRDefault="001B6188" w:rsidP="00F37C80">
      <w:pPr>
        <w:pStyle w:val="MSDS-TZeile"/>
        <w:ind w:left="0"/>
        <w:jc w:val="both"/>
        <w:rPr>
          <w:rFonts w:ascii="Times New Roman" w:hAnsi="Times New Roman" w:cs="Times New Roman"/>
          <w:sz w:val="24"/>
          <w:lang w:val="en-US"/>
        </w:rPr>
      </w:pPr>
    </w:p>
    <w:p w:rsidR="00204A39" w:rsidRPr="005F10B6" w:rsidRDefault="001B6188" w:rsidP="00F37C80">
      <w:pPr>
        <w:pStyle w:val="MSDS-TZeile"/>
        <w:ind w:left="0"/>
        <w:jc w:val="both"/>
        <w:rPr>
          <w:rFonts w:ascii="Times New Roman" w:hAnsi="Times New Roman" w:cs="Times New Roman"/>
          <w:sz w:val="24"/>
          <w:lang w:val="en-US"/>
        </w:rPr>
      </w:pPr>
      <w:r>
        <w:rPr>
          <w:rFonts w:ascii="Times New Roman" w:hAnsi="Times New Roman" w:cs="Times New Roman"/>
          <w:sz w:val="24"/>
          <w:lang w:val="en-US"/>
        </w:rPr>
        <w:t xml:space="preserve">Indirect photolysis </w:t>
      </w:r>
      <w:r w:rsidR="00204A39" w:rsidRPr="005F10B6">
        <w:rPr>
          <w:rFonts w:ascii="Times New Roman" w:hAnsi="Times New Roman" w:cs="Times New Roman"/>
          <w:sz w:val="24"/>
          <w:lang w:val="en-US"/>
        </w:rPr>
        <w:t xml:space="preserve">half-lives for the </w:t>
      </w:r>
      <w:r w:rsidR="005F10B6" w:rsidRPr="005F10B6">
        <w:rPr>
          <w:rFonts w:ascii="Times New Roman" w:hAnsi="Times New Roman" w:cs="Times New Roman"/>
          <w:sz w:val="24"/>
          <w:lang w:val="en-US"/>
        </w:rPr>
        <w:t>three nitroparaffins</w:t>
      </w:r>
      <w:r w:rsidR="00204A39" w:rsidRPr="005F10B6">
        <w:rPr>
          <w:rFonts w:ascii="Times New Roman" w:hAnsi="Times New Roman" w:cs="Times New Roman"/>
          <w:sz w:val="24"/>
          <w:lang w:val="en-US"/>
        </w:rPr>
        <w:t xml:space="preserve"> </w:t>
      </w:r>
      <w:r w:rsidR="000C522D">
        <w:rPr>
          <w:rFonts w:ascii="Times New Roman" w:hAnsi="Times New Roman" w:cs="Times New Roman"/>
          <w:sz w:val="24"/>
          <w:lang w:val="en-US"/>
        </w:rPr>
        <w:t xml:space="preserve">are estimated to </w:t>
      </w:r>
      <w:r w:rsidR="00204A39" w:rsidRPr="005F10B6">
        <w:rPr>
          <w:rFonts w:ascii="Times New Roman" w:hAnsi="Times New Roman" w:cs="Times New Roman"/>
          <w:sz w:val="24"/>
          <w:lang w:val="en-US"/>
        </w:rPr>
        <w:t xml:space="preserve">range from (approximately) </w:t>
      </w:r>
      <w:r w:rsidR="005F10B6" w:rsidRPr="005F10B6">
        <w:rPr>
          <w:rFonts w:ascii="Times New Roman" w:hAnsi="Times New Roman" w:cs="Times New Roman"/>
          <w:sz w:val="24"/>
          <w:lang w:val="en-US"/>
        </w:rPr>
        <w:t>25-82.3</w:t>
      </w:r>
      <w:r w:rsidR="00204A39" w:rsidRPr="005F10B6">
        <w:rPr>
          <w:rFonts w:ascii="Times New Roman" w:hAnsi="Times New Roman" w:cs="Times New Roman"/>
          <w:sz w:val="24"/>
          <w:lang w:val="en-US"/>
        </w:rPr>
        <w:t xml:space="preserve"> </w:t>
      </w:r>
      <w:r w:rsidR="005F10B6" w:rsidRPr="005F10B6">
        <w:rPr>
          <w:rFonts w:ascii="Times New Roman" w:hAnsi="Times New Roman" w:cs="Times New Roman"/>
          <w:sz w:val="24"/>
          <w:lang w:val="en-US"/>
        </w:rPr>
        <w:t>days</w:t>
      </w:r>
      <w:r w:rsidR="00204A39" w:rsidRPr="005F10B6">
        <w:rPr>
          <w:rFonts w:ascii="Times New Roman" w:hAnsi="Times New Roman" w:cs="Times New Roman"/>
          <w:sz w:val="24"/>
          <w:lang w:val="en-US"/>
        </w:rPr>
        <w:t xml:space="preserve"> (</w:t>
      </w:r>
      <w:r w:rsidR="000C522D">
        <w:rPr>
          <w:rFonts w:ascii="Times New Roman" w:hAnsi="Times New Roman" w:cs="Times New Roman"/>
          <w:sz w:val="24"/>
          <w:lang w:val="en-US"/>
        </w:rPr>
        <w:t xml:space="preserve">US EPA, 2010; </w:t>
      </w:r>
      <w:r w:rsidR="005F10B6" w:rsidRPr="005F10B6">
        <w:rPr>
          <w:rFonts w:ascii="Times New Roman" w:hAnsi="Times New Roman" w:cs="Times New Roman"/>
          <w:sz w:val="24"/>
          <w:lang w:val="en-US"/>
        </w:rPr>
        <w:t>EPIWIN</w:t>
      </w:r>
      <w:r w:rsidR="00204A39" w:rsidRPr="005F10B6">
        <w:rPr>
          <w:rFonts w:ascii="Times New Roman" w:hAnsi="Times New Roman" w:cs="Times New Roman"/>
          <w:snapToGrid w:val="0"/>
          <w:sz w:val="24"/>
          <w:lang w:val="en-US"/>
        </w:rPr>
        <w:t>)</w:t>
      </w:r>
      <w:r w:rsidR="00204A39" w:rsidRPr="005F10B6">
        <w:rPr>
          <w:rFonts w:ascii="Times New Roman" w:hAnsi="Times New Roman" w:cs="Times New Roman"/>
          <w:sz w:val="24"/>
          <w:lang w:val="en-US"/>
        </w:rPr>
        <w:t xml:space="preserve">.  </w:t>
      </w:r>
    </w:p>
    <w:p w:rsidR="00204A39" w:rsidRPr="001F1851" w:rsidRDefault="000A3308" w:rsidP="00457F0D">
      <w:pPr>
        <w:pStyle w:val="Caption"/>
        <w:ind w:hanging="839"/>
        <w:jc w:val="both"/>
        <w:rPr>
          <w:b w:val="0"/>
        </w:rPr>
      </w:pPr>
      <w:bookmarkStart w:id="30" w:name="_Toc264544909"/>
      <w:bookmarkStart w:id="31" w:name="_Toc266716146"/>
      <w:r>
        <w:t xml:space="preserve"> </w:t>
      </w:r>
      <w:r w:rsidR="008105BE">
        <w:t xml:space="preserve">Table </w:t>
      </w:r>
      <w:r w:rsidR="00B320DF">
        <w:fldChar w:fldCharType="begin"/>
      </w:r>
      <w:r w:rsidR="008105BE">
        <w:instrText xml:space="preserve"> SEQ Table \* ARABIC </w:instrText>
      </w:r>
      <w:r w:rsidR="00B320DF">
        <w:fldChar w:fldCharType="separate"/>
      </w:r>
      <w:r w:rsidR="006263B7">
        <w:rPr>
          <w:noProof/>
        </w:rPr>
        <w:t>3</w:t>
      </w:r>
      <w:r w:rsidR="00B320DF">
        <w:fldChar w:fldCharType="end"/>
      </w:r>
      <w:r w:rsidR="00457F0D">
        <w:t xml:space="preserve">   </w:t>
      </w:r>
      <w:r w:rsidR="008105BE">
        <w:t>Summary of photodegradation data</w:t>
      </w:r>
      <w:bookmarkEnd w:id="30"/>
      <w:bookmarkEnd w:id="31"/>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558"/>
        <w:gridCol w:w="2429"/>
        <w:gridCol w:w="2172"/>
        <w:gridCol w:w="2400"/>
      </w:tblGrid>
      <w:tr w:rsidR="001F1851" w:rsidRPr="00895CF0" w:rsidTr="00457F0D">
        <w:trPr>
          <w:trHeight w:val="347"/>
        </w:trPr>
        <w:tc>
          <w:tcPr>
            <w:tcW w:w="2148" w:type="dxa"/>
            <w:tcBorders>
              <w:top w:val="single" w:sz="12" w:space="0" w:color="auto"/>
              <w:bottom w:val="single" w:sz="12" w:space="0" w:color="auto"/>
            </w:tcBorders>
            <w:vAlign w:val="center"/>
          </w:tcPr>
          <w:p w:rsidR="001F1851" w:rsidRPr="00895CF0" w:rsidRDefault="001F1851" w:rsidP="00895CF0">
            <w:pPr>
              <w:pStyle w:val="MSDS-TUZeile"/>
              <w:ind w:left="0"/>
              <w:jc w:val="center"/>
              <w:rPr>
                <w:rFonts w:ascii="Times New Roman" w:hAnsi="Times New Roman" w:cs="Times New Roman"/>
                <w:b/>
                <w:szCs w:val="20"/>
                <w:lang w:val="en-US"/>
              </w:rPr>
            </w:pPr>
          </w:p>
        </w:tc>
        <w:tc>
          <w:tcPr>
            <w:tcW w:w="2040" w:type="dxa"/>
            <w:tcBorders>
              <w:top w:val="single" w:sz="12" w:space="0" w:color="auto"/>
              <w:bottom w:val="single" w:sz="12" w:space="0" w:color="auto"/>
            </w:tcBorders>
            <w:vAlign w:val="center"/>
          </w:tcPr>
          <w:p w:rsidR="001F1851" w:rsidRPr="00895CF0" w:rsidRDefault="001F1851" w:rsidP="00895CF0">
            <w:pPr>
              <w:pStyle w:val="MSDS-TUZeile"/>
              <w:ind w:left="0"/>
              <w:jc w:val="center"/>
              <w:rPr>
                <w:rFonts w:ascii="Times New Roman" w:hAnsi="Times New Roman" w:cs="Times New Roman"/>
                <w:b/>
                <w:szCs w:val="20"/>
                <w:lang w:val="en-US"/>
              </w:rPr>
            </w:pPr>
            <w:r w:rsidRPr="00895CF0">
              <w:rPr>
                <w:rFonts w:ascii="Times New Roman" w:hAnsi="Times New Roman" w:cs="Times New Roman"/>
                <w:b/>
                <w:szCs w:val="20"/>
              </w:rPr>
              <w:t>Nitromethane</w:t>
            </w:r>
          </w:p>
        </w:tc>
        <w:tc>
          <w:tcPr>
            <w:tcW w:w="1824" w:type="dxa"/>
            <w:tcBorders>
              <w:top w:val="single" w:sz="12" w:space="0" w:color="auto"/>
              <w:bottom w:val="single" w:sz="12" w:space="0" w:color="auto"/>
            </w:tcBorders>
            <w:vAlign w:val="center"/>
          </w:tcPr>
          <w:p w:rsidR="001F1851" w:rsidRPr="00895CF0" w:rsidRDefault="001F1851" w:rsidP="00895CF0">
            <w:pPr>
              <w:pStyle w:val="MSDS-TUZeile"/>
              <w:ind w:left="0"/>
              <w:jc w:val="center"/>
              <w:rPr>
                <w:rFonts w:ascii="Times New Roman" w:hAnsi="Times New Roman" w:cs="Times New Roman"/>
                <w:b/>
                <w:szCs w:val="20"/>
                <w:lang w:val="en-US"/>
              </w:rPr>
            </w:pPr>
            <w:r w:rsidRPr="00895CF0">
              <w:rPr>
                <w:rFonts w:ascii="Times New Roman" w:hAnsi="Times New Roman" w:cs="Times New Roman"/>
                <w:b/>
                <w:szCs w:val="20"/>
              </w:rPr>
              <w:t>Nitroethane</w:t>
            </w:r>
          </w:p>
        </w:tc>
        <w:tc>
          <w:tcPr>
            <w:tcW w:w="2016" w:type="dxa"/>
            <w:tcBorders>
              <w:top w:val="single" w:sz="12" w:space="0" w:color="auto"/>
              <w:bottom w:val="single" w:sz="12" w:space="0" w:color="auto"/>
            </w:tcBorders>
            <w:vAlign w:val="center"/>
          </w:tcPr>
          <w:p w:rsidR="001F1851" w:rsidRPr="00895CF0" w:rsidRDefault="001F1851" w:rsidP="00895CF0">
            <w:pPr>
              <w:pStyle w:val="MSDS-TUZeile"/>
              <w:ind w:left="0"/>
              <w:jc w:val="center"/>
              <w:rPr>
                <w:rFonts w:ascii="Times New Roman" w:hAnsi="Times New Roman" w:cs="Times New Roman"/>
                <w:b/>
                <w:szCs w:val="20"/>
                <w:lang w:val="en-US"/>
              </w:rPr>
            </w:pPr>
            <w:r w:rsidRPr="00895CF0">
              <w:rPr>
                <w:rFonts w:ascii="Times New Roman" w:hAnsi="Times New Roman" w:cs="Times New Roman"/>
                <w:b/>
                <w:szCs w:val="20"/>
              </w:rPr>
              <w:t>1-Nitropropane</w:t>
            </w:r>
          </w:p>
        </w:tc>
      </w:tr>
      <w:tr w:rsidR="00AC0B97" w:rsidRPr="00895CF0" w:rsidTr="00457F0D">
        <w:trPr>
          <w:trHeight w:val="347"/>
        </w:trPr>
        <w:tc>
          <w:tcPr>
            <w:tcW w:w="8028" w:type="dxa"/>
            <w:gridSpan w:val="4"/>
            <w:tcBorders>
              <w:top w:val="single" w:sz="12" w:space="0" w:color="auto"/>
            </w:tcBorders>
            <w:vAlign w:val="center"/>
          </w:tcPr>
          <w:p w:rsidR="00AC0B97" w:rsidRPr="00457F0D" w:rsidRDefault="00AC0B97" w:rsidP="00895CF0">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Direct Photolysis</w:t>
            </w:r>
          </w:p>
        </w:tc>
      </w:tr>
      <w:tr w:rsidR="00AC0B97" w:rsidRPr="00895CF0" w:rsidTr="00895CF0">
        <w:trPr>
          <w:trHeight w:val="347"/>
        </w:trPr>
        <w:tc>
          <w:tcPr>
            <w:tcW w:w="2148" w:type="dxa"/>
            <w:vAlign w:val="center"/>
          </w:tcPr>
          <w:p w:rsidR="00AC0B97" w:rsidRPr="00457F0D" w:rsidRDefault="00AC0B97" w:rsidP="00895CF0">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Degradation after 17 hours</w:t>
            </w:r>
          </w:p>
        </w:tc>
        <w:tc>
          <w:tcPr>
            <w:tcW w:w="2040" w:type="dxa"/>
            <w:vAlign w:val="center"/>
          </w:tcPr>
          <w:p w:rsidR="00AC0B97" w:rsidRPr="00457F0D" w:rsidRDefault="00AC0B97" w:rsidP="00895CF0">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35.2%</w:t>
            </w:r>
          </w:p>
        </w:tc>
        <w:tc>
          <w:tcPr>
            <w:tcW w:w="1824" w:type="dxa"/>
            <w:vAlign w:val="center"/>
          </w:tcPr>
          <w:p w:rsidR="00AC0B97" w:rsidRPr="00457F0D" w:rsidRDefault="00AC0B97" w:rsidP="00895CF0">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23.9%</w:t>
            </w:r>
          </w:p>
        </w:tc>
        <w:tc>
          <w:tcPr>
            <w:tcW w:w="2016" w:type="dxa"/>
            <w:vAlign w:val="center"/>
          </w:tcPr>
          <w:p w:rsidR="00AC0B97" w:rsidRPr="00457F0D" w:rsidRDefault="00AC0B97" w:rsidP="00895CF0">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54.8%</w:t>
            </w:r>
          </w:p>
        </w:tc>
      </w:tr>
      <w:tr w:rsidR="00AC0B97" w:rsidRPr="00895CF0" w:rsidTr="00895CF0">
        <w:trPr>
          <w:trHeight w:val="347"/>
        </w:trPr>
        <w:tc>
          <w:tcPr>
            <w:tcW w:w="8028" w:type="dxa"/>
            <w:gridSpan w:val="4"/>
            <w:vAlign w:val="center"/>
          </w:tcPr>
          <w:p w:rsidR="00AC0B97" w:rsidRPr="00457F0D" w:rsidRDefault="00AC0B97" w:rsidP="00895CF0">
            <w:pPr>
              <w:pStyle w:val="MSDS-TUZeile"/>
              <w:ind w:left="0"/>
              <w:jc w:val="center"/>
              <w:rPr>
                <w:rFonts w:ascii="Times New Roman" w:hAnsi="Times New Roman" w:cs="Times New Roman"/>
                <w:szCs w:val="20"/>
                <w:lang w:val="en-US"/>
              </w:rPr>
            </w:pPr>
            <w:r w:rsidRPr="00457F0D">
              <w:rPr>
                <w:rFonts w:ascii="Times New Roman" w:hAnsi="Times New Roman" w:cs="Times New Roman"/>
                <w:b/>
                <w:szCs w:val="20"/>
                <w:lang w:val="en-US"/>
              </w:rPr>
              <w:t>Indirect Photolysis</w:t>
            </w:r>
          </w:p>
        </w:tc>
      </w:tr>
      <w:tr w:rsidR="001F1851" w:rsidRPr="00895CF0" w:rsidTr="00895CF0">
        <w:trPr>
          <w:trHeight w:val="347"/>
        </w:trPr>
        <w:tc>
          <w:tcPr>
            <w:tcW w:w="2148" w:type="dxa"/>
            <w:vAlign w:val="center"/>
          </w:tcPr>
          <w:p w:rsidR="001F1851" w:rsidRPr="00457F0D" w:rsidRDefault="001F1851" w:rsidP="00895CF0">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Half-life</w:t>
            </w:r>
          </w:p>
        </w:tc>
        <w:tc>
          <w:tcPr>
            <w:tcW w:w="2040" w:type="dxa"/>
            <w:vAlign w:val="center"/>
          </w:tcPr>
          <w:p w:rsidR="001F1851" w:rsidRPr="00457F0D" w:rsidRDefault="001F1851" w:rsidP="00895CF0">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82.3 days</w:t>
            </w:r>
          </w:p>
        </w:tc>
        <w:tc>
          <w:tcPr>
            <w:tcW w:w="1824" w:type="dxa"/>
            <w:vAlign w:val="center"/>
          </w:tcPr>
          <w:p w:rsidR="001F1851" w:rsidRPr="00457F0D" w:rsidRDefault="0030020D" w:rsidP="00895CF0">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71.8 days</w:t>
            </w:r>
          </w:p>
        </w:tc>
        <w:tc>
          <w:tcPr>
            <w:tcW w:w="2016" w:type="dxa"/>
            <w:vAlign w:val="center"/>
          </w:tcPr>
          <w:p w:rsidR="001F1851" w:rsidRPr="00457F0D" w:rsidRDefault="00BB6FCB" w:rsidP="00895CF0">
            <w:pPr>
              <w:pStyle w:val="MSDS-TUZeile"/>
              <w:ind w:left="0"/>
              <w:jc w:val="center"/>
              <w:rPr>
                <w:rFonts w:ascii="Times New Roman" w:hAnsi="Times New Roman" w:cs="Times New Roman"/>
                <w:szCs w:val="20"/>
                <w:highlight w:val="cyan"/>
                <w:lang w:val="en-US"/>
              </w:rPr>
            </w:pPr>
            <w:r w:rsidRPr="00457F0D">
              <w:rPr>
                <w:rFonts w:ascii="Times New Roman" w:hAnsi="Times New Roman" w:cs="Times New Roman"/>
                <w:szCs w:val="20"/>
                <w:lang w:val="en-US"/>
              </w:rPr>
              <w:t>25 days</w:t>
            </w:r>
          </w:p>
        </w:tc>
      </w:tr>
      <w:tr w:rsidR="001F1851" w:rsidRPr="00895CF0" w:rsidTr="00895CF0">
        <w:tc>
          <w:tcPr>
            <w:tcW w:w="2148" w:type="dxa"/>
          </w:tcPr>
          <w:p w:rsidR="001F1851" w:rsidRPr="00457F0D" w:rsidRDefault="001F1851" w:rsidP="00895CF0">
            <w:pPr>
              <w:pStyle w:val="MSDS-TUZeile"/>
              <w:ind w:left="0"/>
              <w:jc w:val="center"/>
              <w:rPr>
                <w:rFonts w:ascii="Times New Roman" w:hAnsi="Times New Roman" w:cs="Times New Roman"/>
                <w:b/>
                <w:szCs w:val="20"/>
                <w:lang w:val="fr-FR"/>
              </w:rPr>
            </w:pPr>
            <w:r w:rsidRPr="00457F0D">
              <w:rPr>
                <w:rFonts w:ascii="Times New Roman" w:hAnsi="Times New Roman" w:cs="Times New Roman"/>
                <w:b/>
                <w:szCs w:val="20"/>
                <w:lang w:val="fr-FR"/>
              </w:rPr>
              <w:t xml:space="preserve">Rate constant </w:t>
            </w:r>
            <w:r w:rsidRPr="00457F0D">
              <w:rPr>
                <w:rFonts w:ascii="Times New Roman" w:hAnsi="Times New Roman" w:cs="Times New Roman"/>
                <w:szCs w:val="20"/>
                <w:lang w:val="fr-FR"/>
              </w:rPr>
              <w:t>(cm³</w:t>
            </w:r>
            <w:proofErr w:type="gramStart"/>
            <w:r w:rsidRPr="00457F0D">
              <w:rPr>
                <w:rFonts w:ascii="Times New Roman" w:hAnsi="Times New Roman" w:cs="Times New Roman"/>
                <w:szCs w:val="20"/>
                <w:lang w:val="fr-FR"/>
              </w:rPr>
              <w:t>/(</w:t>
            </w:r>
            <w:proofErr w:type="gramEnd"/>
            <w:r w:rsidRPr="00457F0D">
              <w:rPr>
                <w:rFonts w:ascii="Times New Roman" w:hAnsi="Times New Roman" w:cs="Times New Roman"/>
                <w:szCs w:val="20"/>
                <w:lang w:val="fr-FR"/>
              </w:rPr>
              <w:t>molecule*sec)</w:t>
            </w:r>
          </w:p>
        </w:tc>
        <w:tc>
          <w:tcPr>
            <w:tcW w:w="2040" w:type="dxa"/>
            <w:vAlign w:val="center"/>
          </w:tcPr>
          <w:p w:rsidR="001F1851" w:rsidRPr="00457F0D" w:rsidRDefault="001F1851" w:rsidP="00895CF0">
            <w:pPr>
              <w:pStyle w:val="MSDS-TUZeile"/>
              <w:ind w:left="0"/>
              <w:jc w:val="center"/>
              <w:rPr>
                <w:rFonts w:ascii="Times New Roman" w:hAnsi="Times New Roman" w:cs="Times New Roman"/>
                <w:szCs w:val="20"/>
                <w:lang w:val="fr-FR"/>
              </w:rPr>
            </w:pPr>
            <w:r w:rsidRPr="00457F0D">
              <w:rPr>
                <w:rFonts w:ascii="Times New Roman" w:hAnsi="Times New Roman" w:cs="Times New Roman"/>
                <w:szCs w:val="20"/>
              </w:rPr>
              <w:t>1.3 x 10</w:t>
            </w:r>
            <w:r w:rsidRPr="00457F0D">
              <w:rPr>
                <w:rFonts w:ascii="Times New Roman" w:hAnsi="Times New Roman" w:cs="Times New Roman"/>
                <w:szCs w:val="20"/>
                <w:vertAlign w:val="superscript"/>
              </w:rPr>
              <w:t>-13</w:t>
            </w:r>
          </w:p>
        </w:tc>
        <w:tc>
          <w:tcPr>
            <w:tcW w:w="1824" w:type="dxa"/>
            <w:vAlign w:val="center"/>
          </w:tcPr>
          <w:p w:rsidR="001F1851" w:rsidRPr="00457F0D" w:rsidRDefault="0030020D" w:rsidP="00895CF0">
            <w:pPr>
              <w:pStyle w:val="MSDS-TUZeile"/>
              <w:ind w:left="0"/>
              <w:jc w:val="center"/>
              <w:rPr>
                <w:rFonts w:ascii="Times New Roman" w:hAnsi="Times New Roman" w:cs="Times New Roman"/>
                <w:szCs w:val="20"/>
                <w:lang w:val="fr-FR"/>
              </w:rPr>
            </w:pPr>
            <w:r w:rsidRPr="00457F0D">
              <w:rPr>
                <w:rFonts w:ascii="Times New Roman" w:hAnsi="Times New Roman" w:cs="Times New Roman"/>
                <w:szCs w:val="20"/>
              </w:rPr>
              <w:t>1.49 x 10</w:t>
            </w:r>
            <w:r w:rsidRPr="00457F0D">
              <w:rPr>
                <w:rFonts w:ascii="Times New Roman" w:hAnsi="Times New Roman" w:cs="Times New Roman"/>
                <w:szCs w:val="20"/>
                <w:vertAlign w:val="superscript"/>
              </w:rPr>
              <w:t>-13</w:t>
            </w:r>
          </w:p>
        </w:tc>
        <w:tc>
          <w:tcPr>
            <w:tcW w:w="2016" w:type="dxa"/>
            <w:vAlign w:val="center"/>
          </w:tcPr>
          <w:p w:rsidR="001F1851" w:rsidRPr="00457F0D" w:rsidRDefault="00BB6FCB" w:rsidP="00895CF0">
            <w:pPr>
              <w:pStyle w:val="MSDS-TUZeile"/>
              <w:ind w:left="0"/>
              <w:jc w:val="center"/>
              <w:rPr>
                <w:rFonts w:ascii="Times New Roman" w:hAnsi="Times New Roman" w:cs="Times New Roman"/>
                <w:szCs w:val="20"/>
                <w:highlight w:val="cyan"/>
                <w:lang w:val="fr-FR"/>
              </w:rPr>
            </w:pPr>
            <w:r w:rsidRPr="00457F0D">
              <w:rPr>
                <w:rFonts w:ascii="Times New Roman" w:hAnsi="Times New Roman" w:cs="Times New Roman"/>
                <w:szCs w:val="20"/>
              </w:rPr>
              <w:t>4.28 x 10</w:t>
            </w:r>
            <w:r w:rsidRPr="00457F0D">
              <w:rPr>
                <w:rFonts w:ascii="Times New Roman" w:hAnsi="Times New Roman" w:cs="Times New Roman"/>
                <w:szCs w:val="20"/>
                <w:vertAlign w:val="superscript"/>
              </w:rPr>
              <w:t>-13</w:t>
            </w:r>
          </w:p>
        </w:tc>
      </w:tr>
    </w:tbl>
    <w:p w:rsidR="00204A39" w:rsidRPr="00895CF0" w:rsidRDefault="00204A39" w:rsidP="00895CF0">
      <w:pPr>
        <w:pStyle w:val="MSDS-TUZeile"/>
        <w:jc w:val="center"/>
        <w:rPr>
          <w:szCs w:val="20"/>
          <w:highlight w:val="cyan"/>
          <w:lang w:val="fr-FR"/>
        </w:rPr>
      </w:pPr>
    </w:p>
    <w:p w:rsidR="00204A39" w:rsidRPr="00952A80" w:rsidRDefault="00204A39" w:rsidP="00F37C80">
      <w:pPr>
        <w:pStyle w:val="Heading3"/>
        <w:jc w:val="both"/>
      </w:pPr>
      <w:bookmarkStart w:id="32" w:name="_Toc32726019"/>
      <w:bookmarkStart w:id="33" w:name="_Toc32727202"/>
      <w:bookmarkStart w:id="34" w:name="_Toc147824533"/>
      <w:r w:rsidRPr="00952A80">
        <w:t>Stability in Water</w:t>
      </w:r>
      <w:bookmarkEnd w:id="32"/>
      <w:bookmarkEnd w:id="33"/>
      <w:bookmarkEnd w:id="34"/>
    </w:p>
    <w:p w:rsidR="00952A80" w:rsidRDefault="00204A39" w:rsidP="00F37C80">
      <w:pPr>
        <w:pStyle w:val="Caption"/>
        <w:ind w:left="0"/>
        <w:jc w:val="both"/>
        <w:rPr>
          <w:rStyle w:val="BodyTextChar"/>
          <w:rFonts w:ascii="Times New Roman" w:hAnsi="Times New Roman"/>
          <w:b w:val="0"/>
          <w:bCs w:val="0"/>
        </w:rPr>
      </w:pPr>
      <w:bookmarkStart w:id="35" w:name="_Toc264544910"/>
      <w:r w:rsidRPr="00952A80">
        <w:rPr>
          <w:rStyle w:val="BodyTextChar"/>
          <w:rFonts w:ascii="Times New Roman" w:hAnsi="Times New Roman"/>
          <w:b w:val="0"/>
          <w:bCs w:val="0"/>
        </w:rPr>
        <w:t xml:space="preserve">Abiotic hydrolysis of these materials is </w:t>
      </w:r>
      <w:r w:rsidR="00952A80" w:rsidRPr="00952A80">
        <w:rPr>
          <w:rStyle w:val="BodyTextChar"/>
          <w:rFonts w:ascii="Times New Roman" w:hAnsi="Times New Roman"/>
          <w:b w:val="0"/>
          <w:bCs w:val="0"/>
        </w:rPr>
        <w:t>unlikely.  These nitroparaffins have no functional groups that are subject to hydrolysis or degrade in water at room temperature and neutral pH’s.  The organo-nitro group is stable in water under these conditions.</w:t>
      </w:r>
      <w:bookmarkEnd w:id="35"/>
      <w:r w:rsidRPr="00952A80">
        <w:rPr>
          <w:rStyle w:val="BodyTextChar"/>
          <w:rFonts w:ascii="Times New Roman" w:hAnsi="Times New Roman"/>
          <w:b w:val="0"/>
          <w:bCs w:val="0"/>
        </w:rPr>
        <w:t xml:space="preserve">  </w:t>
      </w:r>
    </w:p>
    <w:p w:rsidR="00204A39" w:rsidRPr="00952A80" w:rsidRDefault="00952A80" w:rsidP="00F37C80">
      <w:pPr>
        <w:pStyle w:val="Caption"/>
        <w:ind w:left="0"/>
        <w:jc w:val="both"/>
        <w:rPr>
          <w:rStyle w:val="BodyTextChar"/>
          <w:rFonts w:ascii="Times New Roman" w:hAnsi="Times New Roman"/>
          <w:b w:val="0"/>
          <w:bCs w:val="0"/>
        </w:rPr>
      </w:pPr>
      <w:bookmarkStart w:id="36" w:name="_Toc264544911"/>
      <w:r>
        <w:rPr>
          <w:rStyle w:val="BodyTextChar"/>
          <w:rFonts w:ascii="Times New Roman" w:hAnsi="Times New Roman"/>
          <w:b w:val="0"/>
          <w:bCs w:val="0"/>
        </w:rPr>
        <w:t xml:space="preserve">No experimental </w:t>
      </w:r>
      <w:r w:rsidR="00E430D0">
        <w:rPr>
          <w:rStyle w:val="BodyTextChar"/>
          <w:rFonts w:ascii="Times New Roman" w:hAnsi="Times New Roman"/>
          <w:b w:val="0"/>
          <w:bCs w:val="0"/>
        </w:rPr>
        <w:t>data are</w:t>
      </w:r>
      <w:r>
        <w:rPr>
          <w:rStyle w:val="BodyTextChar"/>
          <w:rFonts w:ascii="Times New Roman" w:hAnsi="Times New Roman"/>
          <w:b w:val="0"/>
          <w:bCs w:val="0"/>
        </w:rPr>
        <w:t xml:space="preserve"> available for any of the category members.  In addition, these compounds are outside the </w:t>
      </w:r>
      <w:r w:rsidR="00927856">
        <w:rPr>
          <w:rStyle w:val="BodyTextChar"/>
          <w:rFonts w:ascii="Times New Roman" w:hAnsi="Times New Roman"/>
          <w:b w:val="0"/>
          <w:bCs w:val="0"/>
        </w:rPr>
        <w:t xml:space="preserve">predictive </w:t>
      </w:r>
      <w:r>
        <w:rPr>
          <w:rStyle w:val="BodyTextChar"/>
          <w:rFonts w:ascii="Times New Roman" w:hAnsi="Times New Roman"/>
          <w:b w:val="0"/>
          <w:bCs w:val="0"/>
        </w:rPr>
        <w:t>domain of the EPIWIN Hydrowin Program (v1.67).</w:t>
      </w:r>
      <w:bookmarkEnd w:id="36"/>
      <w:r w:rsidR="00204A39" w:rsidRPr="00952A80">
        <w:rPr>
          <w:rStyle w:val="BodyTextChar"/>
          <w:rFonts w:ascii="Times New Roman" w:hAnsi="Times New Roman"/>
          <w:b w:val="0"/>
          <w:bCs w:val="0"/>
        </w:rPr>
        <w:t xml:space="preserve">  </w:t>
      </w:r>
    </w:p>
    <w:p w:rsidR="00204A39" w:rsidRPr="009741F5" w:rsidRDefault="00204A39" w:rsidP="00F37C80">
      <w:pPr>
        <w:pStyle w:val="Heading3"/>
        <w:jc w:val="both"/>
      </w:pPr>
      <w:bookmarkStart w:id="37" w:name="_Toc32726020"/>
      <w:bookmarkStart w:id="38" w:name="_Toc32727203"/>
      <w:bookmarkStart w:id="39" w:name="_Toc147824534"/>
      <w:r w:rsidRPr="009741F5">
        <w:t>Transport between Environmental Compartments</w:t>
      </w:r>
      <w:bookmarkEnd w:id="37"/>
      <w:bookmarkEnd w:id="38"/>
      <w:bookmarkEnd w:id="39"/>
    </w:p>
    <w:p w:rsidR="00204A39" w:rsidRPr="00476F80" w:rsidRDefault="00204A39" w:rsidP="00F37C80">
      <w:pPr>
        <w:pStyle w:val="MSDS-TZeile"/>
        <w:ind w:left="0"/>
        <w:jc w:val="both"/>
        <w:rPr>
          <w:rFonts w:ascii="Times New Roman" w:hAnsi="Times New Roman" w:cs="Times New Roman"/>
          <w:b/>
          <w:bCs/>
          <w:sz w:val="24"/>
          <w:lang w:val="en-US"/>
        </w:rPr>
      </w:pPr>
      <w:r w:rsidRPr="00476F80">
        <w:rPr>
          <w:rFonts w:ascii="Times New Roman" w:hAnsi="Times New Roman" w:cs="Times New Roman"/>
          <w:sz w:val="24"/>
          <w:lang w:val="en-US"/>
        </w:rPr>
        <w:t xml:space="preserve">Level III Fugacity modeling, using </w:t>
      </w:r>
      <w:r w:rsidR="00F6157A" w:rsidRPr="00476F80">
        <w:rPr>
          <w:rFonts w:ascii="Times New Roman" w:hAnsi="Times New Roman" w:cs="Times New Roman"/>
          <w:sz w:val="24"/>
          <w:lang w:val="en-US"/>
        </w:rPr>
        <w:t>the most likely emission scenario, 1000 kg/hr to air.  The model (</w:t>
      </w:r>
      <w:r w:rsidR="000C522D">
        <w:rPr>
          <w:rFonts w:ascii="Times New Roman" w:hAnsi="Times New Roman" w:cs="Times New Roman"/>
          <w:sz w:val="24"/>
          <w:lang w:val="en-US"/>
        </w:rPr>
        <w:t xml:space="preserve">US EPA, 2010; </w:t>
      </w:r>
      <w:r w:rsidR="00C646E3">
        <w:rPr>
          <w:rFonts w:ascii="Times New Roman" w:hAnsi="Times New Roman" w:cs="Times New Roman"/>
          <w:snapToGrid w:val="0"/>
          <w:sz w:val="24"/>
          <w:lang w:val="en-US"/>
        </w:rPr>
        <w:t>EPIWIN</w:t>
      </w:r>
      <w:r w:rsidR="00F6157A" w:rsidRPr="00476F80">
        <w:rPr>
          <w:rFonts w:ascii="Times New Roman" w:hAnsi="Times New Roman" w:cs="Times New Roman"/>
          <w:snapToGrid w:val="0"/>
          <w:sz w:val="24"/>
          <w:lang w:val="en-US"/>
        </w:rPr>
        <w:t>) s</w:t>
      </w:r>
      <w:r w:rsidRPr="00476F80">
        <w:rPr>
          <w:rFonts w:ascii="Times New Roman" w:hAnsi="Times New Roman" w:cs="Times New Roman"/>
          <w:sz w:val="24"/>
          <w:lang w:val="en-US"/>
        </w:rPr>
        <w:t xml:space="preserve">hows the following percent distribution: </w:t>
      </w:r>
      <w:r w:rsidRPr="00476F80">
        <w:rPr>
          <w:rFonts w:ascii="Times New Roman" w:hAnsi="Times New Roman" w:cs="Times New Roman"/>
          <w:b/>
          <w:bCs/>
          <w:sz w:val="24"/>
          <w:lang w:val="en-US"/>
        </w:rPr>
        <w:t xml:space="preserve">  </w:t>
      </w:r>
    </w:p>
    <w:p w:rsidR="00204A39" w:rsidRPr="008F2EDE" w:rsidRDefault="000A3308" w:rsidP="00457F0D">
      <w:pPr>
        <w:pStyle w:val="Caption"/>
        <w:ind w:hanging="839"/>
        <w:jc w:val="both"/>
        <w:rPr>
          <w:rFonts w:ascii="Times New Roman" w:hAnsi="Times New Roman"/>
          <w:b w:val="0"/>
          <w:bCs w:val="0"/>
        </w:rPr>
      </w:pPr>
      <w:bookmarkStart w:id="40" w:name="_Toc264544912"/>
      <w:bookmarkStart w:id="41" w:name="_Toc266716147"/>
      <w:r>
        <w:t xml:space="preserve"> </w:t>
      </w:r>
      <w:r w:rsidR="008105BE">
        <w:t xml:space="preserve">Table </w:t>
      </w:r>
      <w:r w:rsidR="00B320DF">
        <w:fldChar w:fldCharType="begin"/>
      </w:r>
      <w:r w:rsidR="008105BE">
        <w:instrText xml:space="preserve"> SEQ Table \* ARABIC </w:instrText>
      </w:r>
      <w:r w:rsidR="00B320DF">
        <w:fldChar w:fldCharType="separate"/>
      </w:r>
      <w:r w:rsidR="006263B7">
        <w:rPr>
          <w:noProof/>
        </w:rPr>
        <w:t>4</w:t>
      </w:r>
      <w:r w:rsidR="00B320DF">
        <w:fldChar w:fldCharType="end"/>
      </w:r>
      <w:r w:rsidR="009C4A54">
        <w:t xml:space="preserve">  </w:t>
      </w:r>
      <w:r w:rsidR="008105BE">
        <w:t>Summary of level III fugacity modeling</w:t>
      </w:r>
      <w:bookmarkEnd w:id="40"/>
      <w:bookmarkEnd w:id="41"/>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64"/>
        <w:gridCol w:w="2552"/>
        <w:gridCol w:w="2578"/>
        <w:gridCol w:w="2565"/>
      </w:tblGrid>
      <w:tr w:rsidR="008F2EDE" w:rsidRPr="008F2EDE" w:rsidTr="00457F0D">
        <w:trPr>
          <w:trHeight w:val="350"/>
        </w:trPr>
        <w:tc>
          <w:tcPr>
            <w:tcW w:w="1308" w:type="dxa"/>
            <w:tcBorders>
              <w:top w:val="single" w:sz="12" w:space="0" w:color="auto"/>
              <w:bottom w:val="single" w:sz="12" w:space="0" w:color="auto"/>
            </w:tcBorders>
            <w:vAlign w:val="center"/>
          </w:tcPr>
          <w:p w:rsidR="008F2EDE" w:rsidRPr="00457F0D" w:rsidRDefault="008F2EDE" w:rsidP="00457F0D">
            <w:pPr>
              <w:pStyle w:val="MSDS-TUZeile"/>
              <w:ind w:left="0"/>
              <w:jc w:val="center"/>
              <w:rPr>
                <w:rFonts w:ascii="Times New Roman" w:hAnsi="Times New Roman" w:cs="Times New Roman"/>
                <w:szCs w:val="20"/>
                <w:lang w:val="en-US"/>
              </w:rPr>
            </w:pPr>
          </w:p>
        </w:tc>
        <w:tc>
          <w:tcPr>
            <w:tcW w:w="1791" w:type="dxa"/>
            <w:tcBorders>
              <w:top w:val="single" w:sz="12" w:space="0" w:color="auto"/>
              <w:bottom w:val="single" w:sz="12" w:space="0" w:color="auto"/>
            </w:tcBorders>
            <w:vAlign w:val="center"/>
          </w:tcPr>
          <w:p w:rsidR="008F2EDE" w:rsidRPr="00457F0D" w:rsidRDefault="008F2EDE"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rPr>
              <w:t>Nitromethane</w:t>
            </w:r>
          </w:p>
        </w:tc>
        <w:tc>
          <w:tcPr>
            <w:tcW w:w="1809" w:type="dxa"/>
            <w:tcBorders>
              <w:top w:val="single" w:sz="12" w:space="0" w:color="auto"/>
              <w:bottom w:val="single" w:sz="12" w:space="0" w:color="auto"/>
            </w:tcBorders>
            <w:vAlign w:val="center"/>
          </w:tcPr>
          <w:p w:rsidR="008F2EDE" w:rsidRPr="00457F0D" w:rsidRDefault="008F2EDE"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rPr>
              <w:t>Nitroethane</w:t>
            </w:r>
          </w:p>
        </w:tc>
        <w:tc>
          <w:tcPr>
            <w:tcW w:w="1800" w:type="dxa"/>
            <w:tcBorders>
              <w:top w:val="single" w:sz="12" w:space="0" w:color="auto"/>
              <w:bottom w:val="single" w:sz="12" w:space="0" w:color="auto"/>
            </w:tcBorders>
            <w:vAlign w:val="center"/>
          </w:tcPr>
          <w:p w:rsidR="008F2EDE" w:rsidRPr="00457F0D" w:rsidRDefault="008F2EDE"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rPr>
              <w:t>1-Nitropropane</w:t>
            </w:r>
          </w:p>
        </w:tc>
      </w:tr>
      <w:tr w:rsidR="008F2EDE" w:rsidRPr="008F2EDE" w:rsidTr="00457F0D">
        <w:trPr>
          <w:trHeight w:val="350"/>
        </w:trPr>
        <w:tc>
          <w:tcPr>
            <w:tcW w:w="1308" w:type="dxa"/>
            <w:tcBorders>
              <w:top w:val="single" w:sz="12" w:space="0" w:color="auto"/>
            </w:tcBorders>
            <w:vAlign w:val="center"/>
          </w:tcPr>
          <w:p w:rsidR="008F2EDE" w:rsidRPr="00457F0D" w:rsidRDefault="008F2EDE"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Air</w:t>
            </w:r>
          </w:p>
        </w:tc>
        <w:tc>
          <w:tcPr>
            <w:tcW w:w="1791" w:type="dxa"/>
            <w:tcBorders>
              <w:top w:val="single" w:sz="12" w:space="0" w:color="auto"/>
            </w:tcBorders>
            <w:vAlign w:val="center"/>
          </w:tcPr>
          <w:p w:rsidR="008F2EDE" w:rsidRPr="00457F0D" w:rsidRDefault="00F6157A"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69.1%</w:t>
            </w:r>
          </w:p>
          <w:p w:rsidR="00F6157A" w:rsidRPr="00457F0D" w:rsidRDefault="00F6157A"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1997 kg</w:t>
            </w:r>
          </w:p>
        </w:tc>
        <w:tc>
          <w:tcPr>
            <w:tcW w:w="1809" w:type="dxa"/>
            <w:tcBorders>
              <w:top w:val="single" w:sz="12" w:space="0" w:color="auto"/>
            </w:tcBorders>
            <w:vAlign w:val="center"/>
          </w:tcPr>
          <w:p w:rsidR="008F2EDE" w:rsidRPr="00457F0D" w:rsidRDefault="00050BB5"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81.2%</w:t>
            </w:r>
          </w:p>
          <w:p w:rsidR="00050BB5" w:rsidRPr="00457F0D" w:rsidRDefault="00050BB5"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2000 kg</w:t>
            </w:r>
          </w:p>
        </w:tc>
        <w:tc>
          <w:tcPr>
            <w:tcW w:w="1800" w:type="dxa"/>
            <w:tcBorders>
              <w:top w:val="single" w:sz="12" w:space="0" w:color="auto"/>
            </w:tcBorders>
            <w:vAlign w:val="center"/>
          </w:tcPr>
          <w:p w:rsidR="008F2EDE" w:rsidRPr="00457F0D" w:rsidRDefault="00476F80"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88.7%</w:t>
            </w:r>
          </w:p>
          <w:p w:rsidR="00476F80" w:rsidRPr="00457F0D" w:rsidRDefault="00476F80"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2000 kg</w:t>
            </w:r>
          </w:p>
        </w:tc>
      </w:tr>
      <w:tr w:rsidR="008F2EDE" w:rsidRPr="008F2EDE" w:rsidTr="00457F0D">
        <w:trPr>
          <w:trHeight w:val="350"/>
        </w:trPr>
        <w:tc>
          <w:tcPr>
            <w:tcW w:w="1308" w:type="dxa"/>
            <w:vAlign w:val="center"/>
          </w:tcPr>
          <w:p w:rsidR="008F2EDE" w:rsidRPr="00457F0D" w:rsidRDefault="008F2EDE"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Water</w:t>
            </w:r>
          </w:p>
        </w:tc>
        <w:tc>
          <w:tcPr>
            <w:tcW w:w="1791" w:type="dxa"/>
            <w:vAlign w:val="center"/>
          </w:tcPr>
          <w:p w:rsidR="008F2EDE" w:rsidRPr="00457F0D" w:rsidRDefault="00F6157A"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19.1%</w:t>
            </w:r>
          </w:p>
          <w:p w:rsidR="00F6157A" w:rsidRPr="00457F0D" w:rsidRDefault="00F6157A"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552 kg</w:t>
            </w:r>
          </w:p>
        </w:tc>
        <w:tc>
          <w:tcPr>
            <w:tcW w:w="1809" w:type="dxa"/>
            <w:vAlign w:val="center"/>
          </w:tcPr>
          <w:p w:rsidR="008F2EDE" w:rsidRPr="00457F0D" w:rsidRDefault="00050BB5"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12.0%</w:t>
            </w:r>
          </w:p>
          <w:p w:rsidR="00050BB5" w:rsidRPr="00457F0D" w:rsidRDefault="00050BB5"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290 kg</w:t>
            </w:r>
          </w:p>
        </w:tc>
        <w:tc>
          <w:tcPr>
            <w:tcW w:w="1800" w:type="dxa"/>
            <w:vAlign w:val="center"/>
          </w:tcPr>
          <w:p w:rsidR="008F2EDE" w:rsidRPr="00457F0D" w:rsidRDefault="00476F80"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7.3%</w:t>
            </w:r>
          </w:p>
          <w:p w:rsidR="00476F80" w:rsidRPr="00457F0D" w:rsidRDefault="00476F80"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160 kg</w:t>
            </w:r>
          </w:p>
        </w:tc>
      </w:tr>
      <w:tr w:rsidR="008F2EDE" w:rsidRPr="008F2EDE" w:rsidTr="00457F0D">
        <w:trPr>
          <w:trHeight w:val="350"/>
        </w:trPr>
        <w:tc>
          <w:tcPr>
            <w:tcW w:w="1308" w:type="dxa"/>
            <w:vAlign w:val="center"/>
          </w:tcPr>
          <w:p w:rsidR="008F2EDE" w:rsidRPr="00457F0D" w:rsidRDefault="008F2EDE"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Soil</w:t>
            </w:r>
          </w:p>
        </w:tc>
        <w:tc>
          <w:tcPr>
            <w:tcW w:w="1791" w:type="dxa"/>
            <w:vAlign w:val="center"/>
          </w:tcPr>
          <w:p w:rsidR="008F2EDE" w:rsidRPr="00457F0D" w:rsidRDefault="00F6157A"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11.8%</w:t>
            </w:r>
          </w:p>
          <w:p w:rsidR="00F6157A" w:rsidRPr="00457F0D" w:rsidRDefault="00F6157A"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340 kg</w:t>
            </w:r>
          </w:p>
        </w:tc>
        <w:tc>
          <w:tcPr>
            <w:tcW w:w="1809" w:type="dxa"/>
            <w:vAlign w:val="center"/>
          </w:tcPr>
          <w:p w:rsidR="008F2EDE" w:rsidRPr="00457F0D" w:rsidRDefault="00050BB5"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6.8%</w:t>
            </w:r>
          </w:p>
          <w:p w:rsidR="00050BB5" w:rsidRPr="00457F0D" w:rsidRDefault="00050BB5"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170 kg</w:t>
            </w:r>
          </w:p>
        </w:tc>
        <w:tc>
          <w:tcPr>
            <w:tcW w:w="1800" w:type="dxa"/>
            <w:vAlign w:val="center"/>
          </w:tcPr>
          <w:p w:rsidR="008F2EDE" w:rsidRPr="00457F0D" w:rsidRDefault="00476F80"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4.1%</w:t>
            </w:r>
          </w:p>
          <w:p w:rsidR="00476F80" w:rsidRPr="00457F0D" w:rsidRDefault="00476F80"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91 kg</w:t>
            </w:r>
          </w:p>
        </w:tc>
      </w:tr>
      <w:tr w:rsidR="008F2EDE" w:rsidRPr="008F2EDE" w:rsidTr="00457F0D">
        <w:trPr>
          <w:trHeight w:val="350"/>
        </w:trPr>
        <w:tc>
          <w:tcPr>
            <w:tcW w:w="1308" w:type="dxa"/>
            <w:vAlign w:val="center"/>
          </w:tcPr>
          <w:p w:rsidR="008F2EDE" w:rsidRPr="00457F0D" w:rsidRDefault="008F2EDE"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Sediment</w:t>
            </w:r>
          </w:p>
        </w:tc>
        <w:tc>
          <w:tcPr>
            <w:tcW w:w="1791" w:type="dxa"/>
            <w:vAlign w:val="center"/>
          </w:tcPr>
          <w:p w:rsidR="008F2EDE" w:rsidRPr="00457F0D" w:rsidRDefault="00F6157A"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&lt;0.1%</w:t>
            </w:r>
          </w:p>
          <w:p w:rsidR="00F6157A" w:rsidRPr="00457F0D" w:rsidRDefault="00F6157A"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&lt;1 kg</w:t>
            </w:r>
          </w:p>
        </w:tc>
        <w:tc>
          <w:tcPr>
            <w:tcW w:w="1809" w:type="dxa"/>
            <w:vAlign w:val="center"/>
          </w:tcPr>
          <w:p w:rsidR="008F2EDE" w:rsidRPr="00457F0D" w:rsidRDefault="00050BB5"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&lt;0.1%</w:t>
            </w:r>
          </w:p>
          <w:p w:rsidR="00050BB5" w:rsidRPr="00457F0D" w:rsidRDefault="00050BB5"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&lt;1 kg</w:t>
            </w:r>
          </w:p>
        </w:tc>
        <w:tc>
          <w:tcPr>
            <w:tcW w:w="1800" w:type="dxa"/>
            <w:vAlign w:val="center"/>
          </w:tcPr>
          <w:p w:rsidR="008F2EDE" w:rsidRPr="00457F0D" w:rsidRDefault="00476F80"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&lt;0.1%</w:t>
            </w:r>
          </w:p>
          <w:p w:rsidR="00476F80" w:rsidRPr="00457F0D" w:rsidRDefault="00476F80"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&lt;1 kg</w:t>
            </w:r>
          </w:p>
        </w:tc>
      </w:tr>
    </w:tbl>
    <w:p w:rsidR="00204A39" w:rsidRPr="009741F5" w:rsidRDefault="00204A39" w:rsidP="00F37C80">
      <w:pPr>
        <w:pStyle w:val="Heading3"/>
        <w:jc w:val="both"/>
      </w:pPr>
      <w:bookmarkStart w:id="42" w:name="_Toc32726021"/>
      <w:bookmarkStart w:id="43" w:name="_Toc32727204"/>
      <w:bookmarkStart w:id="44" w:name="_Toc147824535"/>
      <w:r w:rsidRPr="009741F5">
        <w:t>Biodegradation</w:t>
      </w:r>
      <w:bookmarkEnd w:id="42"/>
      <w:bookmarkEnd w:id="43"/>
      <w:bookmarkEnd w:id="44"/>
    </w:p>
    <w:p w:rsidR="00204A39" w:rsidRDefault="00204A39" w:rsidP="00F37C80">
      <w:pPr>
        <w:pStyle w:val="MSDS-TZeile"/>
        <w:ind w:left="0"/>
        <w:jc w:val="both"/>
        <w:rPr>
          <w:rFonts w:ascii="Times New Roman" w:hAnsi="Times New Roman" w:cs="Times New Roman"/>
          <w:sz w:val="24"/>
          <w:lang w:val="en-US"/>
        </w:rPr>
      </w:pPr>
      <w:r w:rsidRPr="007A2924">
        <w:rPr>
          <w:rFonts w:ascii="Times New Roman" w:hAnsi="Times New Roman" w:cs="Times New Roman"/>
          <w:sz w:val="24"/>
          <w:lang w:val="en-US"/>
        </w:rPr>
        <w:t xml:space="preserve">Biodegradation studies </w:t>
      </w:r>
      <w:r w:rsidR="009741F5" w:rsidRPr="007A2924">
        <w:rPr>
          <w:rFonts w:ascii="Times New Roman" w:hAnsi="Times New Roman" w:cs="Times New Roman"/>
          <w:sz w:val="24"/>
          <w:lang w:val="en-US"/>
        </w:rPr>
        <w:t xml:space="preserve">have been conducted </w:t>
      </w:r>
      <w:r w:rsidRPr="007A2924">
        <w:rPr>
          <w:rFonts w:ascii="Times New Roman" w:hAnsi="Times New Roman" w:cs="Times New Roman"/>
          <w:sz w:val="24"/>
          <w:lang w:val="en-US"/>
        </w:rPr>
        <w:t xml:space="preserve">with </w:t>
      </w:r>
      <w:r w:rsidR="009741F5" w:rsidRPr="007A2924">
        <w:rPr>
          <w:rFonts w:ascii="Times New Roman" w:hAnsi="Times New Roman" w:cs="Times New Roman"/>
          <w:sz w:val="24"/>
          <w:lang w:val="en-US"/>
        </w:rPr>
        <w:t xml:space="preserve">the three nitroparaffins in the category. </w:t>
      </w:r>
      <w:r w:rsidR="00F1457A" w:rsidRPr="007A2924">
        <w:rPr>
          <w:rFonts w:ascii="Times New Roman" w:hAnsi="Times New Roman" w:cs="Times New Roman"/>
          <w:sz w:val="24"/>
          <w:lang w:val="en-US"/>
        </w:rPr>
        <w:t xml:space="preserve"> All three compounds were evaluated in an OECD 301D Closed Bottle Test.  Results for nitromethane indicated that some biodegradation was possible (9.9% after 28 days), but did not pass the criteria for “readily biodegradable”</w:t>
      </w:r>
      <w:r w:rsidR="007A2924">
        <w:rPr>
          <w:rFonts w:ascii="Times New Roman" w:hAnsi="Times New Roman" w:cs="Times New Roman"/>
          <w:sz w:val="24"/>
          <w:lang w:val="en-US"/>
        </w:rPr>
        <w:t xml:space="preserve"> (Freitag </w:t>
      </w:r>
      <w:r w:rsidR="007A2924" w:rsidRPr="007A2924">
        <w:rPr>
          <w:rFonts w:ascii="Times New Roman" w:hAnsi="Times New Roman" w:cs="Times New Roman"/>
          <w:i/>
          <w:sz w:val="24"/>
          <w:lang w:val="en-US"/>
        </w:rPr>
        <w:t>et al</w:t>
      </w:r>
      <w:r w:rsidR="007A2924">
        <w:rPr>
          <w:rFonts w:ascii="Times New Roman" w:hAnsi="Times New Roman" w:cs="Times New Roman"/>
          <w:sz w:val="24"/>
          <w:lang w:val="en-US"/>
        </w:rPr>
        <w:t>., 1990)</w:t>
      </w:r>
      <w:r w:rsidR="00F1457A" w:rsidRPr="007A2924">
        <w:rPr>
          <w:rFonts w:ascii="Times New Roman" w:hAnsi="Times New Roman" w:cs="Times New Roman"/>
          <w:sz w:val="24"/>
          <w:lang w:val="en-US"/>
        </w:rPr>
        <w:t>.  Nitroethane was not reported to biodegrade, with &lt;0.1% degradation noted in 28 days</w:t>
      </w:r>
      <w:r w:rsidR="007A2924">
        <w:rPr>
          <w:rFonts w:ascii="Times New Roman" w:hAnsi="Times New Roman" w:cs="Times New Roman"/>
          <w:sz w:val="24"/>
          <w:lang w:val="en-US"/>
        </w:rPr>
        <w:t xml:space="preserve"> (Freitag </w:t>
      </w:r>
      <w:r w:rsidR="007A2924" w:rsidRPr="007A2924">
        <w:rPr>
          <w:rFonts w:ascii="Times New Roman" w:hAnsi="Times New Roman" w:cs="Times New Roman"/>
          <w:i/>
          <w:sz w:val="24"/>
          <w:lang w:val="en-US"/>
        </w:rPr>
        <w:t>et al</w:t>
      </w:r>
      <w:r w:rsidR="007A2924">
        <w:rPr>
          <w:rFonts w:ascii="Times New Roman" w:hAnsi="Times New Roman" w:cs="Times New Roman"/>
          <w:sz w:val="24"/>
          <w:lang w:val="en-US"/>
        </w:rPr>
        <w:t>., 1990)</w:t>
      </w:r>
      <w:r w:rsidR="00F1457A" w:rsidRPr="007A2924">
        <w:rPr>
          <w:rFonts w:ascii="Times New Roman" w:hAnsi="Times New Roman" w:cs="Times New Roman"/>
          <w:sz w:val="24"/>
          <w:lang w:val="en-US"/>
        </w:rPr>
        <w:t xml:space="preserve">.  </w:t>
      </w:r>
      <w:r w:rsidR="007A2924">
        <w:rPr>
          <w:rFonts w:ascii="Times New Roman" w:hAnsi="Times New Roman" w:cs="Times New Roman"/>
          <w:sz w:val="24"/>
          <w:lang w:val="en-US"/>
        </w:rPr>
        <w:t>One</w:t>
      </w:r>
      <w:r w:rsidR="007A2924" w:rsidRPr="007A2924">
        <w:rPr>
          <w:rFonts w:ascii="Times New Roman" w:hAnsi="Times New Roman" w:cs="Times New Roman"/>
          <w:sz w:val="24"/>
          <w:lang w:val="en-US"/>
        </w:rPr>
        <w:t xml:space="preserve"> study with</w:t>
      </w:r>
      <w:r w:rsidR="00F1457A" w:rsidRPr="007A2924">
        <w:rPr>
          <w:rFonts w:ascii="Times New Roman" w:hAnsi="Times New Roman" w:cs="Times New Roman"/>
          <w:sz w:val="24"/>
          <w:lang w:val="en-US"/>
        </w:rPr>
        <w:t xml:space="preserve"> 1-nitropropane showed the most biodegradation of the three nitroparaffins, at 45.1% after 28 days</w:t>
      </w:r>
      <w:r w:rsidR="007A2924">
        <w:rPr>
          <w:rFonts w:ascii="Times New Roman" w:hAnsi="Times New Roman" w:cs="Times New Roman"/>
          <w:sz w:val="24"/>
          <w:lang w:val="en-US"/>
        </w:rPr>
        <w:t xml:space="preserve"> (Freitag </w:t>
      </w:r>
      <w:r w:rsidR="007A2924" w:rsidRPr="007A2924">
        <w:rPr>
          <w:rFonts w:ascii="Times New Roman" w:hAnsi="Times New Roman" w:cs="Times New Roman"/>
          <w:i/>
          <w:sz w:val="24"/>
          <w:lang w:val="en-US"/>
        </w:rPr>
        <w:t>et al</w:t>
      </w:r>
      <w:r w:rsidR="007A2924">
        <w:rPr>
          <w:rFonts w:ascii="Times New Roman" w:hAnsi="Times New Roman" w:cs="Times New Roman"/>
          <w:sz w:val="24"/>
          <w:lang w:val="en-US"/>
        </w:rPr>
        <w:t>., 1990)</w:t>
      </w:r>
      <w:r w:rsidR="00F1457A" w:rsidRPr="007A2924">
        <w:rPr>
          <w:rFonts w:ascii="Times New Roman" w:hAnsi="Times New Roman" w:cs="Times New Roman"/>
          <w:sz w:val="24"/>
          <w:lang w:val="en-US"/>
        </w:rPr>
        <w:t>.</w:t>
      </w:r>
      <w:r w:rsidR="009741F5" w:rsidRPr="007A2924">
        <w:rPr>
          <w:rFonts w:ascii="Times New Roman" w:hAnsi="Times New Roman" w:cs="Times New Roman"/>
          <w:sz w:val="24"/>
          <w:lang w:val="en-US"/>
        </w:rPr>
        <w:t xml:space="preserve"> </w:t>
      </w:r>
      <w:r w:rsidR="007A2924">
        <w:rPr>
          <w:rFonts w:ascii="Times New Roman" w:hAnsi="Times New Roman" w:cs="Times New Roman"/>
          <w:sz w:val="24"/>
          <w:lang w:val="en-US"/>
        </w:rPr>
        <w:t xml:space="preserve"> A more recent study with 1-nitropropane, however, noted only 9-18% biodegradation in an OECD 301D test (Krume, 1993).  While none of the </w:t>
      </w:r>
      <w:r w:rsidR="00430890">
        <w:rPr>
          <w:rFonts w:ascii="Times New Roman" w:hAnsi="Times New Roman" w:cs="Times New Roman"/>
          <w:sz w:val="24"/>
          <w:lang w:val="en-US"/>
        </w:rPr>
        <w:t xml:space="preserve">short chain </w:t>
      </w:r>
      <w:r w:rsidR="007A2924">
        <w:rPr>
          <w:rFonts w:ascii="Times New Roman" w:hAnsi="Times New Roman" w:cs="Times New Roman"/>
          <w:sz w:val="24"/>
          <w:lang w:val="en-US"/>
        </w:rPr>
        <w:t>nitroparaffins can be considered readily biodegradable, data indicate that nitromethane and 1-nitropropane will not persist indefinitely in the environment.</w:t>
      </w:r>
    </w:p>
    <w:p w:rsidR="00204A39" w:rsidRDefault="000A3308" w:rsidP="00457F0D">
      <w:pPr>
        <w:pStyle w:val="Caption"/>
        <w:ind w:hanging="839"/>
        <w:jc w:val="both"/>
      </w:pPr>
      <w:bookmarkStart w:id="45" w:name="_Toc264544913"/>
      <w:bookmarkStart w:id="46" w:name="_Toc266716148"/>
      <w:r>
        <w:t xml:space="preserve"> </w:t>
      </w:r>
      <w:r w:rsidR="008105BE">
        <w:t xml:space="preserve">Table </w:t>
      </w:r>
      <w:r w:rsidR="00B320DF">
        <w:fldChar w:fldCharType="begin"/>
      </w:r>
      <w:r w:rsidR="008105BE">
        <w:instrText xml:space="preserve"> SEQ Table \* ARABIC </w:instrText>
      </w:r>
      <w:r w:rsidR="00B320DF">
        <w:fldChar w:fldCharType="separate"/>
      </w:r>
      <w:r w:rsidR="006263B7">
        <w:rPr>
          <w:noProof/>
        </w:rPr>
        <w:t>5</w:t>
      </w:r>
      <w:r w:rsidR="00B320DF">
        <w:fldChar w:fldCharType="end"/>
      </w:r>
      <w:r w:rsidR="008105BE">
        <w:t xml:space="preserve">  Summary of biodegradation studies</w:t>
      </w:r>
      <w:bookmarkEnd w:id="45"/>
      <w:bookmarkEnd w:id="46"/>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65"/>
        <w:gridCol w:w="1827"/>
        <w:gridCol w:w="2098"/>
        <w:gridCol w:w="1875"/>
        <w:gridCol w:w="1694"/>
      </w:tblGrid>
      <w:tr w:rsidR="000D6098" w:rsidRPr="00457F0D" w:rsidTr="00457F0D">
        <w:tc>
          <w:tcPr>
            <w:tcW w:w="1945" w:type="dxa"/>
            <w:tcBorders>
              <w:top w:val="single" w:sz="12" w:space="0" w:color="auto"/>
              <w:bottom w:val="single" w:sz="12" w:space="0" w:color="auto"/>
            </w:tcBorders>
          </w:tcPr>
          <w:p w:rsidR="000D6098" w:rsidRPr="00457F0D" w:rsidRDefault="000D6098" w:rsidP="00457F0D">
            <w:pPr>
              <w:pStyle w:val="BodyText"/>
              <w:jc w:val="center"/>
              <w:rPr>
                <w:b/>
                <w:sz w:val="20"/>
                <w:szCs w:val="20"/>
                <w:lang w:val="en-US"/>
              </w:rPr>
            </w:pPr>
          </w:p>
        </w:tc>
        <w:tc>
          <w:tcPr>
            <w:tcW w:w="1720" w:type="dxa"/>
            <w:tcBorders>
              <w:top w:val="single" w:sz="12" w:space="0" w:color="auto"/>
              <w:bottom w:val="single" w:sz="12" w:space="0" w:color="auto"/>
            </w:tcBorders>
          </w:tcPr>
          <w:p w:rsidR="000D6098" w:rsidRPr="00457F0D" w:rsidRDefault="000D6098" w:rsidP="00457F0D">
            <w:pPr>
              <w:pStyle w:val="BodyText"/>
              <w:jc w:val="center"/>
              <w:rPr>
                <w:b/>
                <w:sz w:val="20"/>
                <w:szCs w:val="20"/>
                <w:lang w:val="en-US"/>
              </w:rPr>
            </w:pPr>
            <w:r w:rsidRPr="00457F0D">
              <w:rPr>
                <w:b/>
                <w:sz w:val="20"/>
                <w:szCs w:val="20"/>
                <w:lang w:val="en-US"/>
              </w:rPr>
              <w:t>Test Method</w:t>
            </w:r>
          </w:p>
        </w:tc>
        <w:tc>
          <w:tcPr>
            <w:tcW w:w="1975" w:type="dxa"/>
            <w:tcBorders>
              <w:top w:val="single" w:sz="12" w:space="0" w:color="auto"/>
              <w:bottom w:val="single" w:sz="12" w:space="0" w:color="auto"/>
            </w:tcBorders>
          </w:tcPr>
          <w:p w:rsidR="000D6098" w:rsidRPr="00457F0D" w:rsidRDefault="000D6098" w:rsidP="00457F0D">
            <w:pPr>
              <w:pStyle w:val="BodyText"/>
              <w:jc w:val="center"/>
              <w:rPr>
                <w:b/>
                <w:sz w:val="20"/>
                <w:szCs w:val="20"/>
                <w:lang w:val="en-US"/>
              </w:rPr>
            </w:pPr>
            <w:r w:rsidRPr="00457F0D">
              <w:rPr>
                <w:b/>
                <w:sz w:val="20"/>
                <w:szCs w:val="20"/>
                <w:lang w:val="en-US"/>
              </w:rPr>
              <w:t>Degradation Observed</w:t>
            </w:r>
          </w:p>
        </w:tc>
        <w:tc>
          <w:tcPr>
            <w:tcW w:w="1765" w:type="dxa"/>
            <w:tcBorders>
              <w:top w:val="single" w:sz="12" w:space="0" w:color="auto"/>
              <w:bottom w:val="single" w:sz="12" w:space="0" w:color="auto"/>
            </w:tcBorders>
          </w:tcPr>
          <w:p w:rsidR="000D6098" w:rsidRPr="00457F0D" w:rsidRDefault="000D6098" w:rsidP="00457F0D">
            <w:pPr>
              <w:pStyle w:val="BodyText"/>
              <w:jc w:val="center"/>
              <w:rPr>
                <w:b/>
                <w:sz w:val="20"/>
                <w:szCs w:val="20"/>
                <w:lang w:val="en-US"/>
              </w:rPr>
            </w:pPr>
            <w:r w:rsidRPr="00457F0D">
              <w:rPr>
                <w:b/>
                <w:sz w:val="20"/>
                <w:szCs w:val="20"/>
                <w:lang w:val="en-US"/>
              </w:rPr>
              <w:t>Result</w:t>
            </w:r>
          </w:p>
        </w:tc>
        <w:tc>
          <w:tcPr>
            <w:tcW w:w="1595" w:type="dxa"/>
            <w:tcBorders>
              <w:top w:val="single" w:sz="12" w:space="0" w:color="auto"/>
              <w:bottom w:val="single" w:sz="12" w:space="0" w:color="auto"/>
            </w:tcBorders>
          </w:tcPr>
          <w:p w:rsidR="000D6098" w:rsidRPr="00457F0D" w:rsidRDefault="000D6098" w:rsidP="00457F0D">
            <w:pPr>
              <w:pStyle w:val="BodyText"/>
              <w:jc w:val="center"/>
              <w:rPr>
                <w:b/>
                <w:sz w:val="20"/>
                <w:szCs w:val="20"/>
                <w:lang w:val="en-US"/>
              </w:rPr>
            </w:pPr>
            <w:r w:rsidRPr="00457F0D">
              <w:rPr>
                <w:b/>
                <w:sz w:val="20"/>
                <w:szCs w:val="20"/>
                <w:lang w:val="en-US"/>
              </w:rPr>
              <w:t>Reference</w:t>
            </w:r>
          </w:p>
        </w:tc>
      </w:tr>
      <w:tr w:rsidR="000D6098" w:rsidTr="00457F0D">
        <w:tc>
          <w:tcPr>
            <w:tcW w:w="1945" w:type="dxa"/>
            <w:vMerge w:val="restart"/>
            <w:tcBorders>
              <w:top w:val="single" w:sz="12" w:space="0" w:color="auto"/>
            </w:tcBorders>
          </w:tcPr>
          <w:p w:rsidR="000D6098" w:rsidRPr="00457F0D" w:rsidRDefault="000D6098" w:rsidP="00457F0D">
            <w:pPr>
              <w:jc w:val="center"/>
              <w:rPr>
                <w:b/>
                <w:sz w:val="20"/>
                <w:szCs w:val="20"/>
              </w:rPr>
            </w:pPr>
            <w:r w:rsidRPr="00457F0D">
              <w:rPr>
                <w:b/>
                <w:sz w:val="20"/>
                <w:szCs w:val="20"/>
              </w:rPr>
              <w:t>Nitromethane</w:t>
            </w:r>
          </w:p>
        </w:tc>
        <w:tc>
          <w:tcPr>
            <w:tcW w:w="1720" w:type="dxa"/>
            <w:tcBorders>
              <w:top w:val="single" w:sz="12" w:space="0" w:color="auto"/>
            </w:tcBorders>
          </w:tcPr>
          <w:p w:rsidR="0038396E" w:rsidRPr="00457F0D" w:rsidRDefault="000D6098" w:rsidP="00457F0D">
            <w:pPr>
              <w:jc w:val="center"/>
              <w:rPr>
                <w:sz w:val="20"/>
                <w:szCs w:val="20"/>
              </w:rPr>
            </w:pPr>
            <w:r w:rsidRPr="00457F0D">
              <w:rPr>
                <w:sz w:val="20"/>
                <w:szCs w:val="20"/>
              </w:rPr>
              <w:t>OECD</w:t>
            </w:r>
          </w:p>
          <w:p w:rsidR="000D6098" w:rsidRPr="00457F0D" w:rsidRDefault="0038396E" w:rsidP="00457F0D">
            <w:pPr>
              <w:jc w:val="center"/>
              <w:rPr>
                <w:sz w:val="20"/>
                <w:szCs w:val="20"/>
              </w:rPr>
            </w:pPr>
            <w:r w:rsidRPr="00457F0D">
              <w:rPr>
                <w:sz w:val="20"/>
                <w:szCs w:val="20"/>
              </w:rPr>
              <w:t xml:space="preserve">TG </w:t>
            </w:r>
            <w:r w:rsidR="000D6098" w:rsidRPr="00457F0D">
              <w:rPr>
                <w:sz w:val="20"/>
                <w:szCs w:val="20"/>
              </w:rPr>
              <w:t>301D</w:t>
            </w:r>
          </w:p>
          <w:p w:rsidR="000D6098" w:rsidRPr="00457F0D" w:rsidRDefault="000D6098" w:rsidP="00457F0D">
            <w:pPr>
              <w:jc w:val="center"/>
              <w:rPr>
                <w:sz w:val="20"/>
                <w:szCs w:val="20"/>
              </w:rPr>
            </w:pPr>
            <w:r w:rsidRPr="00457F0D">
              <w:rPr>
                <w:sz w:val="20"/>
                <w:szCs w:val="20"/>
              </w:rPr>
              <w:t>Closed Bottle Test</w:t>
            </w:r>
          </w:p>
        </w:tc>
        <w:tc>
          <w:tcPr>
            <w:tcW w:w="1975" w:type="dxa"/>
            <w:tcBorders>
              <w:top w:val="single" w:sz="12" w:space="0" w:color="auto"/>
            </w:tcBorders>
          </w:tcPr>
          <w:p w:rsidR="000D6098" w:rsidRPr="00457F0D" w:rsidRDefault="000D6098" w:rsidP="00457F0D">
            <w:pPr>
              <w:jc w:val="center"/>
              <w:rPr>
                <w:sz w:val="20"/>
                <w:szCs w:val="20"/>
              </w:rPr>
            </w:pPr>
            <w:r w:rsidRPr="00457F0D">
              <w:rPr>
                <w:sz w:val="20"/>
                <w:szCs w:val="20"/>
              </w:rPr>
              <w:t>9.9% after 28 days</w:t>
            </w:r>
          </w:p>
        </w:tc>
        <w:tc>
          <w:tcPr>
            <w:tcW w:w="1765" w:type="dxa"/>
            <w:tcBorders>
              <w:top w:val="single" w:sz="12" w:space="0" w:color="auto"/>
            </w:tcBorders>
          </w:tcPr>
          <w:p w:rsidR="000D6098" w:rsidRPr="00457F0D" w:rsidRDefault="00362FF6" w:rsidP="00457F0D">
            <w:pPr>
              <w:jc w:val="center"/>
              <w:rPr>
                <w:sz w:val="20"/>
                <w:szCs w:val="20"/>
              </w:rPr>
            </w:pPr>
            <w:r w:rsidRPr="00457F0D">
              <w:rPr>
                <w:sz w:val="20"/>
                <w:szCs w:val="20"/>
              </w:rPr>
              <w:t>Some degradation observed</w:t>
            </w:r>
          </w:p>
        </w:tc>
        <w:tc>
          <w:tcPr>
            <w:tcW w:w="1595" w:type="dxa"/>
            <w:tcBorders>
              <w:top w:val="single" w:sz="12" w:space="0" w:color="auto"/>
            </w:tcBorders>
          </w:tcPr>
          <w:p w:rsidR="000D6098" w:rsidRPr="00457F0D" w:rsidRDefault="000D6098" w:rsidP="00457F0D">
            <w:pPr>
              <w:jc w:val="center"/>
              <w:rPr>
                <w:sz w:val="20"/>
                <w:szCs w:val="20"/>
              </w:rPr>
            </w:pPr>
            <w:r w:rsidRPr="00457F0D">
              <w:rPr>
                <w:sz w:val="20"/>
                <w:szCs w:val="20"/>
              </w:rPr>
              <w:t xml:space="preserve">Freitag </w:t>
            </w:r>
            <w:r w:rsidRPr="00457F0D">
              <w:rPr>
                <w:i/>
                <w:sz w:val="20"/>
                <w:szCs w:val="20"/>
              </w:rPr>
              <w:t>et al.</w:t>
            </w:r>
            <w:r w:rsidRPr="00457F0D">
              <w:rPr>
                <w:sz w:val="20"/>
                <w:szCs w:val="20"/>
              </w:rPr>
              <w:t>, 1990</w:t>
            </w:r>
          </w:p>
        </w:tc>
      </w:tr>
      <w:tr w:rsidR="000D6098" w:rsidTr="00457F0D">
        <w:tc>
          <w:tcPr>
            <w:tcW w:w="1945" w:type="dxa"/>
            <w:vMerge/>
          </w:tcPr>
          <w:p w:rsidR="000D6098" w:rsidRPr="00457F0D" w:rsidRDefault="000D6098" w:rsidP="00457F0D">
            <w:pPr>
              <w:jc w:val="center"/>
              <w:rPr>
                <w:b/>
                <w:sz w:val="20"/>
                <w:szCs w:val="20"/>
              </w:rPr>
            </w:pPr>
          </w:p>
        </w:tc>
        <w:tc>
          <w:tcPr>
            <w:tcW w:w="1720" w:type="dxa"/>
          </w:tcPr>
          <w:p w:rsidR="000D6098" w:rsidRPr="00457F0D" w:rsidRDefault="000D6098" w:rsidP="00457F0D">
            <w:pPr>
              <w:jc w:val="center"/>
              <w:rPr>
                <w:sz w:val="20"/>
                <w:szCs w:val="20"/>
              </w:rPr>
            </w:pPr>
          </w:p>
        </w:tc>
        <w:tc>
          <w:tcPr>
            <w:tcW w:w="1975" w:type="dxa"/>
          </w:tcPr>
          <w:p w:rsidR="000D6098" w:rsidRPr="00457F0D" w:rsidRDefault="000D6098" w:rsidP="00457F0D">
            <w:pPr>
              <w:jc w:val="center"/>
              <w:rPr>
                <w:sz w:val="20"/>
                <w:szCs w:val="20"/>
              </w:rPr>
            </w:pPr>
          </w:p>
        </w:tc>
        <w:tc>
          <w:tcPr>
            <w:tcW w:w="1765" w:type="dxa"/>
          </w:tcPr>
          <w:p w:rsidR="000D6098" w:rsidRPr="00457F0D" w:rsidRDefault="000D6098" w:rsidP="00457F0D">
            <w:pPr>
              <w:jc w:val="center"/>
              <w:rPr>
                <w:sz w:val="20"/>
                <w:szCs w:val="20"/>
              </w:rPr>
            </w:pPr>
          </w:p>
        </w:tc>
        <w:tc>
          <w:tcPr>
            <w:tcW w:w="1595" w:type="dxa"/>
          </w:tcPr>
          <w:p w:rsidR="000D6098" w:rsidRPr="00457F0D" w:rsidRDefault="000D6098" w:rsidP="00457F0D">
            <w:pPr>
              <w:jc w:val="center"/>
              <w:rPr>
                <w:sz w:val="20"/>
                <w:szCs w:val="20"/>
              </w:rPr>
            </w:pPr>
          </w:p>
        </w:tc>
      </w:tr>
      <w:tr w:rsidR="00E63FC3" w:rsidTr="00457F0D">
        <w:tc>
          <w:tcPr>
            <w:tcW w:w="1945" w:type="dxa"/>
            <w:vMerge w:val="restart"/>
          </w:tcPr>
          <w:p w:rsidR="00E63FC3" w:rsidRPr="00457F0D" w:rsidRDefault="00E63FC3" w:rsidP="00457F0D">
            <w:pPr>
              <w:jc w:val="center"/>
              <w:rPr>
                <w:b/>
                <w:sz w:val="20"/>
                <w:szCs w:val="20"/>
              </w:rPr>
            </w:pPr>
            <w:r w:rsidRPr="00457F0D">
              <w:rPr>
                <w:b/>
                <w:sz w:val="20"/>
                <w:szCs w:val="20"/>
              </w:rPr>
              <w:t>Nitroethane</w:t>
            </w:r>
          </w:p>
        </w:tc>
        <w:tc>
          <w:tcPr>
            <w:tcW w:w="1720" w:type="dxa"/>
          </w:tcPr>
          <w:p w:rsidR="00E63FC3" w:rsidRPr="00457F0D" w:rsidRDefault="00E63FC3" w:rsidP="00457F0D">
            <w:pPr>
              <w:jc w:val="center"/>
              <w:rPr>
                <w:sz w:val="20"/>
                <w:szCs w:val="20"/>
              </w:rPr>
            </w:pPr>
            <w:r w:rsidRPr="00457F0D">
              <w:rPr>
                <w:sz w:val="20"/>
                <w:szCs w:val="20"/>
              </w:rPr>
              <w:t xml:space="preserve">OECD </w:t>
            </w:r>
            <w:r w:rsidR="0038396E" w:rsidRPr="00457F0D">
              <w:rPr>
                <w:sz w:val="20"/>
                <w:szCs w:val="20"/>
              </w:rPr>
              <w:t xml:space="preserve">TG </w:t>
            </w:r>
            <w:r w:rsidRPr="00457F0D">
              <w:rPr>
                <w:sz w:val="20"/>
                <w:szCs w:val="20"/>
              </w:rPr>
              <w:t>301 D</w:t>
            </w:r>
          </w:p>
          <w:p w:rsidR="00E63FC3" w:rsidRPr="00457F0D" w:rsidRDefault="00E63FC3" w:rsidP="00457F0D">
            <w:pPr>
              <w:jc w:val="center"/>
              <w:rPr>
                <w:sz w:val="20"/>
                <w:szCs w:val="20"/>
              </w:rPr>
            </w:pPr>
            <w:r w:rsidRPr="00457F0D">
              <w:rPr>
                <w:sz w:val="20"/>
                <w:szCs w:val="20"/>
              </w:rPr>
              <w:t>Closed Bottle Test</w:t>
            </w:r>
          </w:p>
        </w:tc>
        <w:tc>
          <w:tcPr>
            <w:tcW w:w="1975" w:type="dxa"/>
          </w:tcPr>
          <w:p w:rsidR="00E63FC3" w:rsidRPr="00457F0D" w:rsidRDefault="00E63FC3" w:rsidP="00457F0D">
            <w:pPr>
              <w:jc w:val="center"/>
              <w:rPr>
                <w:sz w:val="20"/>
                <w:szCs w:val="20"/>
              </w:rPr>
            </w:pPr>
            <w:r w:rsidRPr="00457F0D">
              <w:rPr>
                <w:sz w:val="20"/>
                <w:szCs w:val="20"/>
              </w:rPr>
              <w:t>&lt;0.1% after 28 days</w:t>
            </w:r>
          </w:p>
        </w:tc>
        <w:tc>
          <w:tcPr>
            <w:tcW w:w="1765" w:type="dxa"/>
          </w:tcPr>
          <w:p w:rsidR="00E63FC3" w:rsidRPr="00457F0D" w:rsidRDefault="00E63FC3" w:rsidP="00457F0D">
            <w:pPr>
              <w:jc w:val="center"/>
              <w:rPr>
                <w:sz w:val="20"/>
                <w:szCs w:val="20"/>
              </w:rPr>
            </w:pPr>
            <w:r w:rsidRPr="00457F0D">
              <w:rPr>
                <w:sz w:val="20"/>
                <w:szCs w:val="20"/>
              </w:rPr>
              <w:t>No biodegradation observed</w:t>
            </w:r>
          </w:p>
        </w:tc>
        <w:tc>
          <w:tcPr>
            <w:tcW w:w="1595" w:type="dxa"/>
          </w:tcPr>
          <w:p w:rsidR="00E63FC3" w:rsidRPr="00457F0D" w:rsidRDefault="00E63FC3" w:rsidP="00457F0D">
            <w:pPr>
              <w:jc w:val="center"/>
              <w:rPr>
                <w:sz w:val="20"/>
                <w:szCs w:val="20"/>
              </w:rPr>
            </w:pPr>
            <w:r w:rsidRPr="00457F0D">
              <w:rPr>
                <w:sz w:val="20"/>
                <w:szCs w:val="20"/>
              </w:rPr>
              <w:t xml:space="preserve">Freitag </w:t>
            </w:r>
            <w:r w:rsidRPr="00457F0D">
              <w:rPr>
                <w:i/>
                <w:sz w:val="20"/>
                <w:szCs w:val="20"/>
              </w:rPr>
              <w:t>et al</w:t>
            </w:r>
            <w:r w:rsidRPr="00457F0D">
              <w:rPr>
                <w:sz w:val="20"/>
                <w:szCs w:val="20"/>
              </w:rPr>
              <w:t>., 1990</w:t>
            </w:r>
          </w:p>
        </w:tc>
      </w:tr>
      <w:tr w:rsidR="00E63FC3" w:rsidTr="00457F0D">
        <w:trPr>
          <w:trHeight w:val="399"/>
        </w:trPr>
        <w:tc>
          <w:tcPr>
            <w:tcW w:w="1945" w:type="dxa"/>
            <w:vMerge/>
          </w:tcPr>
          <w:p w:rsidR="00E63FC3" w:rsidRPr="00457F0D" w:rsidRDefault="00E63FC3" w:rsidP="00457F0D">
            <w:pPr>
              <w:jc w:val="center"/>
              <w:rPr>
                <w:b/>
                <w:sz w:val="20"/>
                <w:szCs w:val="20"/>
              </w:rPr>
            </w:pPr>
          </w:p>
        </w:tc>
        <w:tc>
          <w:tcPr>
            <w:tcW w:w="1720" w:type="dxa"/>
          </w:tcPr>
          <w:p w:rsidR="00E63FC3" w:rsidRPr="00457F0D" w:rsidRDefault="00E63FC3" w:rsidP="00457F0D">
            <w:pPr>
              <w:jc w:val="center"/>
              <w:rPr>
                <w:sz w:val="20"/>
                <w:szCs w:val="20"/>
              </w:rPr>
            </w:pPr>
          </w:p>
        </w:tc>
        <w:tc>
          <w:tcPr>
            <w:tcW w:w="1975" w:type="dxa"/>
          </w:tcPr>
          <w:p w:rsidR="00E63FC3" w:rsidRPr="00457F0D" w:rsidRDefault="00E63FC3" w:rsidP="00457F0D">
            <w:pPr>
              <w:jc w:val="center"/>
              <w:rPr>
                <w:sz w:val="20"/>
                <w:szCs w:val="20"/>
              </w:rPr>
            </w:pPr>
          </w:p>
        </w:tc>
        <w:tc>
          <w:tcPr>
            <w:tcW w:w="1765" w:type="dxa"/>
          </w:tcPr>
          <w:p w:rsidR="00E63FC3" w:rsidRPr="00457F0D" w:rsidRDefault="00E63FC3" w:rsidP="00457F0D">
            <w:pPr>
              <w:jc w:val="center"/>
              <w:rPr>
                <w:sz w:val="20"/>
                <w:szCs w:val="20"/>
              </w:rPr>
            </w:pPr>
          </w:p>
        </w:tc>
        <w:tc>
          <w:tcPr>
            <w:tcW w:w="1595" w:type="dxa"/>
          </w:tcPr>
          <w:p w:rsidR="00E63FC3" w:rsidRPr="00457F0D" w:rsidRDefault="00E63FC3" w:rsidP="00457F0D">
            <w:pPr>
              <w:jc w:val="center"/>
              <w:rPr>
                <w:sz w:val="20"/>
                <w:szCs w:val="20"/>
              </w:rPr>
            </w:pPr>
          </w:p>
        </w:tc>
      </w:tr>
      <w:tr w:rsidR="00362FF6" w:rsidTr="00457F0D">
        <w:trPr>
          <w:trHeight w:val="399"/>
        </w:trPr>
        <w:tc>
          <w:tcPr>
            <w:tcW w:w="1945" w:type="dxa"/>
            <w:vMerge w:val="restart"/>
          </w:tcPr>
          <w:p w:rsidR="00362FF6" w:rsidRPr="00457F0D" w:rsidRDefault="00362FF6" w:rsidP="00457F0D">
            <w:pPr>
              <w:jc w:val="center"/>
              <w:rPr>
                <w:b/>
                <w:sz w:val="20"/>
                <w:szCs w:val="20"/>
              </w:rPr>
            </w:pPr>
            <w:r w:rsidRPr="00457F0D">
              <w:rPr>
                <w:b/>
                <w:sz w:val="20"/>
                <w:szCs w:val="20"/>
              </w:rPr>
              <w:t>1-Nitropropane</w:t>
            </w:r>
          </w:p>
        </w:tc>
        <w:tc>
          <w:tcPr>
            <w:tcW w:w="1720" w:type="dxa"/>
          </w:tcPr>
          <w:p w:rsidR="00362FF6" w:rsidRPr="00457F0D" w:rsidRDefault="00362FF6" w:rsidP="00457F0D">
            <w:pPr>
              <w:jc w:val="center"/>
              <w:rPr>
                <w:sz w:val="20"/>
                <w:szCs w:val="20"/>
              </w:rPr>
            </w:pPr>
            <w:r w:rsidRPr="00457F0D">
              <w:rPr>
                <w:sz w:val="20"/>
                <w:szCs w:val="20"/>
              </w:rPr>
              <w:t xml:space="preserve">OECD </w:t>
            </w:r>
            <w:r w:rsidR="0038396E" w:rsidRPr="00457F0D">
              <w:rPr>
                <w:sz w:val="20"/>
                <w:szCs w:val="20"/>
              </w:rPr>
              <w:t xml:space="preserve">TG </w:t>
            </w:r>
            <w:r w:rsidRPr="00457F0D">
              <w:rPr>
                <w:sz w:val="20"/>
                <w:szCs w:val="20"/>
              </w:rPr>
              <w:t>301 D</w:t>
            </w:r>
          </w:p>
          <w:p w:rsidR="00362FF6" w:rsidRPr="00457F0D" w:rsidRDefault="00362FF6" w:rsidP="00457F0D">
            <w:pPr>
              <w:jc w:val="center"/>
              <w:rPr>
                <w:sz w:val="20"/>
                <w:szCs w:val="20"/>
              </w:rPr>
            </w:pPr>
            <w:r w:rsidRPr="00457F0D">
              <w:rPr>
                <w:sz w:val="20"/>
                <w:szCs w:val="20"/>
              </w:rPr>
              <w:t>Closed Bottle Test</w:t>
            </w:r>
          </w:p>
        </w:tc>
        <w:tc>
          <w:tcPr>
            <w:tcW w:w="1975" w:type="dxa"/>
          </w:tcPr>
          <w:p w:rsidR="00362FF6" w:rsidRPr="00457F0D" w:rsidRDefault="00362FF6" w:rsidP="00457F0D">
            <w:pPr>
              <w:jc w:val="center"/>
              <w:rPr>
                <w:sz w:val="20"/>
                <w:szCs w:val="20"/>
              </w:rPr>
            </w:pPr>
            <w:r w:rsidRPr="00457F0D">
              <w:rPr>
                <w:sz w:val="20"/>
                <w:szCs w:val="20"/>
              </w:rPr>
              <w:t>45.1% after 28 days</w:t>
            </w:r>
          </w:p>
        </w:tc>
        <w:tc>
          <w:tcPr>
            <w:tcW w:w="1765" w:type="dxa"/>
          </w:tcPr>
          <w:p w:rsidR="00362FF6" w:rsidRPr="00457F0D" w:rsidRDefault="00362FF6" w:rsidP="00457F0D">
            <w:pPr>
              <w:jc w:val="center"/>
              <w:rPr>
                <w:sz w:val="20"/>
                <w:szCs w:val="20"/>
              </w:rPr>
            </w:pPr>
            <w:r w:rsidRPr="00457F0D">
              <w:rPr>
                <w:sz w:val="20"/>
                <w:szCs w:val="20"/>
              </w:rPr>
              <w:t>Some degradation observed</w:t>
            </w:r>
          </w:p>
        </w:tc>
        <w:tc>
          <w:tcPr>
            <w:tcW w:w="1595" w:type="dxa"/>
          </w:tcPr>
          <w:p w:rsidR="00362FF6" w:rsidRPr="00457F0D" w:rsidRDefault="00362FF6" w:rsidP="00457F0D">
            <w:pPr>
              <w:jc w:val="center"/>
              <w:rPr>
                <w:sz w:val="20"/>
                <w:szCs w:val="20"/>
              </w:rPr>
            </w:pPr>
            <w:r w:rsidRPr="00457F0D">
              <w:rPr>
                <w:sz w:val="20"/>
                <w:szCs w:val="20"/>
              </w:rPr>
              <w:t xml:space="preserve">Freitag </w:t>
            </w:r>
            <w:r w:rsidRPr="00457F0D">
              <w:rPr>
                <w:i/>
                <w:sz w:val="20"/>
                <w:szCs w:val="20"/>
              </w:rPr>
              <w:t>et al</w:t>
            </w:r>
            <w:r w:rsidRPr="00457F0D">
              <w:rPr>
                <w:sz w:val="20"/>
                <w:szCs w:val="20"/>
              </w:rPr>
              <w:t>., 1990</w:t>
            </w:r>
          </w:p>
        </w:tc>
      </w:tr>
      <w:tr w:rsidR="00362FF6" w:rsidTr="00457F0D">
        <w:trPr>
          <w:trHeight w:val="399"/>
        </w:trPr>
        <w:tc>
          <w:tcPr>
            <w:tcW w:w="1945" w:type="dxa"/>
            <w:vMerge/>
          </w:tcPr>
          <w:p w:rsidR="00362FF6" w:rsidRPr="00457F0D" w:rsidRDefault="00362FF6" w:rsidP="00457F0D">
            <w:pPr>
              <w:jc w:val="center"/>
              <w:rPr>
                <w:b/>
                <w:i/>
                <w:sz w:val="20"/>
                <w:szCs w:val="20"/>
              </w:rPr>
            </w:pPr>
          </w:p>
        </w:tc>
        <w:tc>
          <w:tcPr>
            <w:tcW w:w="1720" w:type="dxa"/>
          </w:tcPr>
          <w:p w:rsidR="00362FF6" w:rsidRPr="00457F0D" w:rsidRDefault="00362FF6" w:rsidP="00457F0D">
            <w:pPr>
              <w:jc w:val="center"/>
              <w:rPr>
                <w:sz w:val="20"/>
                <w:szCs w:val="20"/>
              </w:rPr>
            </w:pPr>
          </w:p>
        </w:tc>
        <w:tc>
          <w:tcPr>
            <w:tcW w:w="1975" w:type="dxa"/>
          </w:tcPr>
          <w:p w:rsidR="00362FF6" w:rsidRPr="00457F0D" w:rsidRDefault="00362FF6" w:rsidP="00457F0D">
            <w:pPr>
              <w:jc w:val="center"/>
              <w:rPr>
                <w:sz w:val="20"/>
                <w:szCs w:val="20"/>
              </w:rPr>
            </w:pPr>
          </w:p>
        </w:tc>
        <w:tc>
          <w:tcPr>
            <w:tcW w:w="1765" w:type="dxa"/>
          </w:tcPr>
          <w:p w:rsidR="00362FF6" w:rsidRPr="00457F0D" w:rsidRDefault="00362FF6" w:rsidP="00457F0D">
            <w:pPr>
              <w:jc w:val="center"/>
              <w:rPr>
                <w:sz w:val="20"/>
                <w:szCs w:val="20"/>
              </w:rPr>
            </w:pPr>
          </w:p>
        </w:tc>
        <w:tc>
          <w:tcPr>
            <w:tcW w:w="1595" w:type="dxa"/>
          </w:tcPr>
          <w:p w:rsidR="00362FF6" w:rsidRPr="00457F0D" w:rsidRDefault="00362FF6" w:rsidP="00457F0D">
            <w:pPr>
              <w:jc w:val="center"/>
              <w:rPr>
                <w:sz w:val="20"/>
                <w:szCs w:val="20"/>
              </w:rPr>
            </w:pPr>
          </w:p>
        </w:tc>
      </w:tr>
      <w:tr w:rsidR="00362FF6" w:rsidTr="00457F0D">
        <w:trPr>
          <w:trHeight w:val="399"/>
        </w:trPr>
        <w:tc>
          <w:tcPr>
            <w:tcW w:w="1945" w:type="dxa"/>
            <w:vMerge/>
          </w:tcPr>
          <w:p w:rsidR="00362FF6" w:rsidRPr="00457F0D" w:rsidRDefault="00362FF6" w:rsidP="00457F0D">
            <w:pPr>
              <w:jc w:val="center"/>
              <w:rPr>
                <w:b/>
                <w:i/>
                <w:sz w:val="20"/>
                <w:szCs w:val="20"/>
              </w:rPr>
            </w:pPr>
          </w:p>
        </w:tc>
        <w:tc>
          <w:tcPr>
            <w:tcW w:w="1720" w:type="dxa"/>
          </w:tcPr>
          <w:p w:rsidR="0038396E" w:rsidRPr="00457F0D" w:rsidRDefault="00362FF6" w:rsidP="00457F0D">
            <w:pPr>
              <w:jc w:val="center"/>
              <w:rPr>
                <w:sz w:val="20"/>
                <w:szCs w:val="20"/>
              </w:rPr>
            </w:pPr>
            <w:r w:rsidRPr="00457F0D">
              <w:rPr>
                <w:sz w:val="20"/>
                <w:szCs w:val="20"/>
              </w:rPr>
              <w:t xml:space="preserve">OECD </w:t>
            </w:r>
            <w:r w:rsidR="0038396E" w:rsidRPr="00457F0D">
              <w:rPr>
                <w:sz w:val="20"/>
                <w:szCs w:val="20"/>
              </w:rPr>
              <w:t>TG</w:t>
            </w:r>
          </w:p>
          <w:p w:rsidR="00362FF6" w:rsidRPr="00457F0D" w:rsidRDefault="00362FF6" w:rsidP="00457F0D">
            <w:pPr>
              <w:jc w:val="center"/>
              <w:rPr>
                <w:sz w:val="20"/>
                <w:szCs w:val="20"/>
              </w:rPr>
            </w:pPr>
            <w:r w:rsidRPr="00457F0D">
              <w:rPr>
                <w:sz w:val="20"/>
                <w:szCs w:val="20"/>
              </w:rPr>
              <w:t>301 D</w:t>
            </w:r>
          </w:p>
          <w:p w:rsidR="00362FF6" w:rsidRPr="00457F0D" w:rsidRDefault="00362FF6" w:rsidP="00457F0D">
            <w:pPr>
              <w:jc w:val="center"/>
              <w:rPr>
                <w:sz w:val="20"/>
                <w:szCs w:val="20"/>
              </w:rPr>
            </w:pPr>
            <w:r w:rsidRPr="00457F0D">
              <w:rPr>
                <w:sz w:val="20"/>
                <w:szCs w:val="20"/>
              </w:rPr>
              <w:t>Closed Bottle Test</w:t>
            </w:r>
          </w:p>
        </w:tc>
        <w:tc>
          <w:tcPr>
            <w:tcW w:w="1975" w:type="dxa"/>
          </w:tcPr>
          <w:p w:rsidR="00362FF6" w:rsidRPr="00457F0D" w:rsidRDefault="00362FF6" w:rsidP="00457F0D">
            <w:pPr>
              <w:jc w:val="center"/>
              <w:rPr>
                <w:sz w:val="20"/>
                <w:szCs w:val="20"/>
              </w:rPr>
            </w:pPr>
            <w:r w:rsidRPr="00457F0D">
              <w:rPr>
                <w:sz w:val="20"/>
                <w:szCs w:val="20"/>
              </w:rPr>
              <w:t>9-18% after 28 days</w:t>
            </w:r>
          </w:p>
        </w:tc>
        <w:tc>
          <w:tcPr>
            <w:tcW w:w="1765" w:type="dxa"/>
          </w:tcPr>
          <w:p w:rsidR="00362FF6" w:rsidRPr="00457F0D" w:rsidRDefault="00362FF6" w:rsidP="00457F0D">
            <w:pPr>
              <w:jc w:val="center"/>
              <w:rPr>
                <w:sz w:val="20"/>
                <w:szCs w:val="20"/>
              </w:rPr>
            </w:pPr>
            <w:r w:rsidRPr="00457F0D">
              <w:rPr>
                <w:sz w:val="20"/>
                <w:szCs w:val="20"/>
              </w:rPr>
              <w:t>Some degradation observed</w:t>
            </w:r>
          </w:p>
        </w:tc>
        <w:tc>
          <w:tcPr>
            <w:tcW w:w="1595" w:type="dxa"/>
          </w:tcPr>
          <w:p w:rsidR="00362FF6" w:rsidRPr="00457F0D" w:rsidRDefault="00362FF6" w:rsidP="00457F0D">
            <w:pPr>
              <w:jc w:val="center"/>
              <w:rPr>
                <w:sz w:val="20"/>
                <w:szCs w:val="20"/>
              </w:rPr>
            </w:pPr>
            <w:r w:rsidRPr="00457F0D">
              <w:rPr>
                <w:sz w:val="20"/>
                <w:szCs w:val="20"/>
              </w:rPr>
              <w:t>Krume, 1993</w:t>
            </w:r>
          </w:p>
        </w:tc>
      </w:tr>
    </w:tbl>
    <w:p w:rsidR="00204A39" w:rsidRPr="00E06187" w:rsidRDefault="00204A39" w:rsidP="00F37C80">
      <w:pPr>
        <w:pStyle w:val="Heading3"/>
        <w:jc w:val="both"/>
      </w:pPr>
      <w:bookmarkStart w:id="47" w:name="_Toc32726022"/>
      <w:bookmarkStart w:id="48" w:name="_Toc32727205"/>
      <w:bookmarkStart w:id="49" w:name="_Toc147824536"/>
      <w:r w:rsidRPr="00E06187">
        <w:t>Bioaccumulation</w:t>
      </w:r>
      <w:bookmarkEnd w:id="47"/>
      <w:bookmarkEnd w:id="48"/>
      <w:bookmarkEnd w:id="49"/>
    </w:p>
    <w:p w:rsidR="00476F80" w:rsidRPr="00123FB2" w:rsidRDefault="00476F80" w:rsidP="00F37C80">
      <w:pPr>
        <w:pStyle w:val="BodyText"/>
        <w:rPr>
          <w:highlight w:val="cyan"/>
        </w:rPr>
      </w:pPr>
      <w:r>
        <w:t>The potential for bioaccumulation has been experimentally derived for all three members of the category.</w:t>
      </w:r>
      <w:r w:rsidR="00E06187">
        <w:t xml:space="preserve">  Data indicate that the bioaccumulation / bioconcentration factors are 1-3.6; the compounds are not likely to bioaccumulate in </w:t>
      </w:r>
      <w:r w:rsidR="004B67FA">
        <w:t xml:space="preserve">aquatic </w:t>
      </w:r>
      <w:r w:rsidR="00E06187">
        <w:t>organisms.</w:t>
      </w:r>
    </w:p>
    <w:p w:rsidR="00204A39" w:rsidRPr="00E06187" w:rsidRDefault="00D93802" w:rsidP="00434242">
      <w:pPr>
        <w:pStyle w:val="Caption"/>
        <w:ind w:hanging="839"/>
        <w:jc w:val="both"/>
        <w:rPr>
          <w:rFonts w:ascii="Times New Roman" w:hAnsi="Times New Roman"/>
          <w:b w:val="0"/>
          <w:bCs w:val="0"/>
        </w:rPr>
      </w:pPr>
      <w:bookmarkStart w:id="50" w:name="_Toc264544914"/>
      <w:bookmarkStart w:id="51" w:name="_Toc266716149"/>
      <w:r>
        <w:t xml:space="preserve"> </w:t>
      </w:r>
      <w:r w:rsidR="008105BE">
        <w:t xml:space="preserve">Table </w:t>
      </w:r>
      <w:r w:rsidR="00B320DF">
        <w:fldChar w:fldCharType="begin"/>
      </w:r>
      <w:r w:rsidR="008105BE">
        <w:instrText xml:space="preserve"> SEQ Table \* ARABIC </w:instrText>
      </w:r>
      <w:r w:rsidR="00B320DF">
        <w:fldChar w:fldCharType="separate"/>
      </w:r>
      <w:r w:rsidR="006263B7">
        <w:rPr>
          <w:noProof/>
        </w:rPr>
        <w:t>6</w:t>
      </w:r>
      <w:r w:rsidR="00B320DF">
        <w:fldChar w:fldCharType="end"/>
      </w:r>
      <w:r w:rsidR="008105BE">
        <w:t xml:space="preserve">  Summary of experimental bioconcentration factors</w:t>
      </w:r>
      <w:bookmarkEnd w:id="50"/>
      <w:bookmarkEnd w:id="51"/>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6"/>
        <w:gridCol w:w="1848"/>
        <w:gridCol w:w="1592"/>
        <w:gridCol w:w="1986"/>
        <w:gridCol w:w="2007"/>
      </w:tblGrid>
      <w:tr w:rsidR="00204A39" w:rsidRPr="00E06187" w:rsidTr="00457F0D">
        <w:tc>
          <w:tcPr>
            <w:tcW w:w="1920" w:type="dxa"/>
            <w:tcBorders>
              <w:top w:val="single" w:sz="12" w:space="0" w:color="auto"/>
              <w:bottom w:val="single" w:sz="12" w:space="0" w:color="auto"/>
            </w:tcBorders>
          </w:tcPr>
          <w:p w:rsidR="00204A39" w:rsidRPr="00457F0D" w:rsidRDefault="00204A39" w:rsidP="00457F0D">
            <w:pPr>
              <w:pStyle w:val="MSDS-TUZeile"/>
              <w:ind w:left="0"/>
              <w:jc w:val="center"/>
              <w:rPr>
                <w:rFonts w:ascii="Times New Roman" w:hAnsi="Times New Roman" w:cs="Times New Roman"/>
                <w:b/>
                <w:szCs w:val="20"/>
                <w:lang w:val="en-US"/>
              </w:rPr>
            </w:pPr>
          </w:p>
        </w:tc>
        <w:tc>
          <w:tcPr>
            <w:tcW w:w="1668" w:type="dxa"/>
            <w:tcBorders>
              <w:top w:val="single" w:sz="12" w:space="0" w:color="auto"/>
              <w:bottom w:val="single" w:sz="12" w:space="0" w:color="auto"/>
            </w:tcBorders>
          </w:tcPr>
          <w:p w:rsidR="00204A39" w:rsidRPr="00457F0D" w:rsidRDefault="00E06187"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Species</w:t>
            </w:r>
          </w:p>
        </w:tc>
        <w:tc>
          <w:tcPr>
            <w:tcW w:w="1437" w:type="dxa"/>
            <w:tcBorders>
              <w:top w:val="single" w:sz="12" w:space="0" w:color="auto"/>
              <w:bottom w:val="single" w:sz="12" w:space="0" w:color="auto"/>
            </w:tcBorders>
          </w:tcPr>
          <w:p w:rsidR="00204A39" w:rsidRPr="00457F0D" w:rsidRDefault="00E06187"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Exposure Duration</w:t>
            </w:r>
          </w:p>
        </w:tc>
        <w:tc>
          <w:tcPr>
            <w:tcW w:w="1793" w:type="dxa"/>
            <w:tcBorders>
              <w:top w:val="single" w:sz="12" w:space="0" w:color="auto"/>
              <w:bottom w:val="single" w:sz="12" w:space="0" w:color="auto"/>
            </w:tcBorders>
          </w:tcPr>
          <w:p w:rsidR="00204A39" w:rsidRPr="00457F0D" w:rsidRDefault="00E06187"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Bioconcentration Factor</w:t>
            </w:r>
          </w:p>
        </w:tc>
        <w:tc>
          <w:tcPr>
            <w:tcW w:w="1812" w:type="dxa"/>
            <w:tcBorders>
              <w:top w:val="single" w:sz="12" w:space="0" w:color="auto"/>
              <w:bottom w:val="single" w:sz="12" w:space="0" w:color="auto"/>
            </w:tcBorders>
          </w:tcPr>
          <w:p w:rsidR="00204A39" w:rsidRPr="00457F0D" w:rsidRDefault="00E06187"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Reference</w:t>
            </w:r>
          </w:p>
        </w:tc>
      </w:tr>
      <w:tr w:rsidR="00E06187" w:rsidRPr="00E06187" w:rsidTr="00457F0D">
        <w:tc>
          <w:tcPr>
            <w:tcW w:w="1920" w:type="dxa"/>
            <w:tcBorders>
              <w:top w:val="single" w:sz="12" w:space="0" w:color="auto"/>
            </w:tcBorders>
          </w:tcPr>
          <w:p w:rsidR="00E06187" w:rsidRPr="00457F0D" w:rsidRDefault="00E06187"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Nitromethane</w:t>
            </w:r>
          </w:p>
        </w:tc>
        <w:tc>
          <w:tcPr>
            <w:tcW w:w="1668" w:type="dxa"/>
            <w:tcBorders>
              <w:top w:val="single" w:sz="12" w:space="0" w:color="auto"/>
            </w:tcBorders>
          </w:tcPr>
          <w:p w:rsidR="00E06187" w:rsidRPr="00457F0D" w:rsidRDefault="00E06187" w:rsidP="00457F0D">
            <w:pPr>
              <w:pStyle w:val="MSDS-TUZeile"/>
              <w:ind w:left="0"/>
              <w:jc w:val="center"/>
              <w:rPr>
                <w:rFonts w:ascii="Times New Roman" w:hAnsi="Times New Roman" w:cs="Times New Roman"/>
                <w:i/>
                <w:szCs w:val="20"/>
                <w:lang w:val="en-US"/>
              </w:rPr>
            </w:pPr>
            <w:r w:rsidRPr="00457F0D">
              <w:rPr>
                <w:rFonts w:ascii="Times New Roman" w:hAnsi="Times New Roman" w:cs="Times New Roman"/>
                <w:i/>
                <w:szCs w:val="20"/>
                <w:lang w:val="en-US"/>
              </w:rPr>
              <w:t>Leuciscus idus melanotus</w:t>
            </w:r>
          </w:p>
        </w:tc>
        <w:tc>
          <w:tcPr>
            <w:tcW w:w="1437" w:type="dxa"/>
            <w:tcBorders>
              <w:top w:val="single" w:sz="12" w:space="0" w:color="auto"/>
            </w:tcBorders>
            <w:vAlign w:val="center"/>
          </w:tcPr>
          <w:p w:rsidR="00E06187" w:rsidRPr="00457F0D" w:rsidRDefault="00E06187"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3 days</w:t>
            </w:r>
          </w:p>
        </w:tc>
        <w:tc>
          <w:tcPr>
            <w:tcW w:w="1793" w:type="dxa"/>
            <w:tcBorders>
              <w:top w:val="single" w:sz="12" w:space="0" w:color="auto"/>
            </w:tcBorders>
            <w:vAlign w:val="center"/>
          </w:tcPr>
          <w:p w:rsidR="00E06187" w:rsidRPr="00457F0D" w:rsidRDefault="00E06187"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1.4</w:t>
            </w:r>
          </w:p>
        </w:tc>
        <w:tc>
          <w:tcPr>
            <w:tcW w:w="1812" w:type="dxa"/>
            <w:tcBorders>
              <w:top w:val="single" w:sz="12" w:space="0" w:color="auto"/>
            </w:tcBorders>
          </w:tcPr>
          <w:p w:rsidR="00E06187" w:rsidRPr="00457F0D" w:rsidRDefault="00E06187"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Coulston &amp; Korte, 1987</w:t>
            </w:r>
          </w:p>
        </w:tc>
      </w:tr>
      <w:tr w:rsidR="00E06187" w:rsidRPr="00E06187" w:rsidTr="00457F0D">
        <w:tc>
          <w:tcPr>
            <w:tcW w:w="1920" w:type="dxa"/>
          </w:tcPr>
          <w:p w:rsidR="00E06187" w:rsidRPr="00457F0D" w:rsidRDefault="00E06187"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Nitroethane</w:t>
            </w:r>
          </w:p>
        </w:tc>
        <w:tc>
          <w:tcPr>
            <w:tcW w:w="1668" w:type="dxa"/>
          </w:tcPr>
          <w:p w:rsidR="00E06187" w:rsidRPr="00457F0D" w:rsidRDefault="00E06187"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i/>
                <w:szCs w:val="20"/>
                <w:lang w:val="en-US"/>
              </w:rPr>
              <w:t>Leuciscus idus melanotus</w:t>
            </w:r>
          </w:p>
        </w:tc>
        <w:tc>
          <w:tcPr>
            <w:tcW w:w="1437" w:type="dxa"/>
            <w:vAlign w:val="center"/>
          </w:tcPr>
          <w:p w:rsidR="00E06187" w:rsidRPr="00457F0D" w:rsidRDefault="00E06187"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3 days</w:t>
            </w:r>
          </w:p>
        </w:tc>
        <w:tc>
          <w:tcPr>
            <w:tcW w:w="1793" w:type="dxa"/>
            <w:vAlign w:val="center"/>
          </w:tcPr>
          <w:p w:rsidR="00E06187" w:rsidRPr="00457F0D" w:rsidRDefault="00E06187"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1</w:t>
            </w:r>
          </w:p>
        </w:tc>
        <w:tc>
          <w:tcPr>
            <w:tcW w:w="1812" w:type="dxa"/>
          </w:tcPr>
          <w:p w:rsidR="00E06187" w:rsidRPr="00457F0D" w:rsidRDefault="00E06187"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Coulston &amp; Korte, 1987</w:t>
            </w:r>
          </w:p>
        </w:tc>
      </w:tr>
      <w:tr w:rsidR="00E06187" w:rsidRPr="00E06187" w:rsidTr="00457F0D">
        <w:tc>
          <w:tcPr>
            <w:tcW w:w="1920" w:type="dxa"/>
          </w:tcPr>
          <w:p w:rsidR="00E06187" w:rsidRPr="00457F0D" w:rsidRDefault="00E06187" w:rsidP="00457F0D">
            <w:pPr>
              <w:pStyle w:val="MSDS-TUZeile"/>
              <w:ind w:left="0"/>
              <w:jc w:val="center"/>
              <w:rPr>
                <w:rFonts w:ascii="Times New Roman" w:hAnsi="Times New Roman" w:cs="Times New Roman"/>
                <w:b/>
                <w:szCs w:val="20"/>
                <w:lang w:val="en-US"/>
              </w:rPr>
            </w:pPr>
            <w:r w:rsidRPr="00457F0D">
              <w:rPr>
                <w:rFonts w:ascii="Times New Roman" w:hAnsi="Times New Roman" w:cs="Times New Roman"/>
                <w:b/>
                <w:szCs w:val="20"/>
                <w:lang w:val="en-US"/>
              </w:rPr>
              <w:t>1-Nitropropane</w:t>
            </w:r>
          </w:p>
        </w:tc>
        <w:tc>
          <w:tcPr>
            <w:tcW w:w="1668" w:type="dxa"/>
          </w:tcPr>
          <w:p w:rsidR="00E06187" w:rsidRPr="00457F0D" w:rsidRDefault="00E06187"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i/>
                <w:szCs w:val="20"/>
                <w:lang w:val="en-US"/>
              </w:rPr>
              <w:t>Leuciscus idus melanotus</w:t>
            </w:r>
          </w:p>
        </w:tc>
        <w:tc>
          <w:tcPr>
            <w:tcW w:w="1437" w:type="dxa"/>
            <w:vAlign w:val="center"/>
          </w:tcPr>
          <w:p w:rsidR="00E06187" w:rsidRPr="00457F0D" w:rsidRDefault="00E06187"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3 days</w:t>
            </w:r>
          </w:p>
        </w:tc>
        <w:tc>
          <w:tcPr>
            <w:tcW w:w="1793" w:type="dxa"/>
            <w:vAlign w:val="center"/>
          </w:tcPr>
          <w:p w:rsidR="00E06187" w:rsidRPr="00457F0D" w:rsidRDefault="00E06187"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1.3</w:t>
            </w:r>
          </w:p>
        </w:tc>
        <w:tc>
          <w:tcPr>
            <w:tcW w:w="1812" w:type="dxa"/>
          </w:tcPr>
          <w:p w:rsidR="00E06187" w:rsidRPr="00457F0D" w:rsidRDefault="00E06187" w:rsidP="00457F0D">
            <w:pPr>
              <w:pStyle w:val="MSDS-TUZeile"/>
              <w:ind w:left="0"/>
              <w:jc w:val="center"/>
              <w:rPr>
                <w:rFonts w:ascii="Times New Roman" w:hAnsi="Times New Roman" w:cs="Times New Roman"/>
                <w:szCs w:val="20"/>
                <w:lang w:val="en-US"/>
              </w:rPr>
            </w:pPr>
            <w:r w:rsidRPr="00457F0D">
              <w:rPr>
                <w:rFonts w:ascii="Times New Roman" w:hAnsi="Times New Roman" w:cs="Times New Roman"/>
                <w:szCs w:val="20"/>
                <w:lang w:val="en-US"/>
              </w:rPr>
              <w:t>Coulston &amp; Korte, 1987</w:t>
            </w:r>
          </w:p>
        </w:tc>
      </w:tr>
    </w:tbl>
    <w:p w:rsidR="00204A39" w:rsidRPr="001239E7" w:rsidRDefault="00204A39" w:rsidP="00F37C80">
      <w:pPr>
        <w:pStyle w:val="Heading2"/>
      </w:pPr>
      <w:bookmarkStart w:id="52" w:name="_Toc32726024"/>
      <w:bookmarkStart w:id="53" w:name="_Toc32727207"/>
      <w:bookmarkStart w:id="54" w:name="_Toc147824537"/>
      <w:r w:rsidRPr="001239E7">
        <w:t>Human Exposure</w:t>
      </w:r>
      <w:bookmarkEnd w:id="52"/>
      <w:bookmarkEnd w:id="53"/>
      <w:bookmarkEnd w:id="54"/>
    </w:p>
    <w:p w:rsidR="00204A39" w:rsidRPr="001239E7" w:rsidRDefault="00204A39" w:rsidP="00F37C80">
      <w:pPr>
        <w:pStyle w:val="Heading3"/>
        <w:jc w:val="both"/>
      </w:pPr>
      <w:bookmarkStart w:id="55" w:name="_Toc32726025"/>
      <w:bookmarkStart w:id="56" w:name="_Toc32727208"/>
      <w:bookmarkStart w:id="57" w:name="_Toc147824538"/>
      <w:r w:rsidRPr="001239E7">
        <w:t>Occupational Exposure</w:t>
      </w:r>
      <w:bookmarkEnd w:id="55"/>
      <w:bookmarkEnd w:id="56"/>
      <w:bookmarkEnd w:id="57"/>
    </w:p>
    <w:p w:rsidR="001239E7" w:rsidRDefault="001239E7" w:rsidP="00F37C80">
      <w:pPr>
        <w:pStyle w:val="BodyText"/>
      </w:pPr>
      <w:bookmarkStart w:id="58" w:name="_Toc32726026"/>
      <w:bookmarkStart w:id="59" w:name="_Toc32727209"/>
      <w:r w:rsidRPr="00180E6C">
        <w:t>The most likely route of human exposure to these mat</w:t>
      </w:r>
      <w:r>
        <w:t>erials is via inhalation</w:t>
      </w:r>
      <w:r w:rsidRPr="00180E6C">
        <w:t xml:space="preserve"> or dermal </w:t>
      </w:r>
      <w:r>
        <w:t xml:space="preserve">contact.  </w:t>
      </w:r>
      <w:r w:rsidRPr="00180E6C">
        <w:t xml:space="preserve">Inhalation exposure may occur during manufacture or processing, however these exposures are negligible due to the use of engineering controls such as closed process systems, closed piping systems and local ventilation, as well as the use of personal protective equipment.  </w:t>
      </w:r>
      <w:r w:rsidRPr="00180E6C">
        <w:rPr>
          <w:rFonts w:ascii="Book Antiqua" w:hAnsi="Book Antiqua" w:cs="Arial"/>
          <w:sz w:val="22"/>
          <w:szCs w:val="22"/>
          <w:lang w:eastAsia="zh-TW"/>
        </w:rPr>
        <w:t xml:space="preserve">There are </w:t>
      </w:r>
      <w:r w:rsidRPr="00180E6C">
        <w:rPr>
          <w:rFonts w:ascii="Book Antiqua" w:hAnsi="Book Antiqua"/>
          <w:sz w:val="22"/>
          <w:szCs w:val="22"/>
          <w:lang w:eastAsia="zh-TW"/>
        </w:rPr>
        <w:t>in</w:t>
      </w:r>
      <w:r w:rsidRPr="00180E6C">
        <w:rPr>
          <w:lang w:eastAsia="zh-TW"/>
        </w:rPr>
        <w:t>dustrial occupational exposure guidelines</w:t>
      </w:r>
      <w:r w:rsidRPr="00180E6C">
        <w:rPr>
          <w:rFonts w:ascii="Arial" w:hAnsi="Arial" w:cs="Arial"/>
          <w:sz w:val="20"/>
          <w:lang w:eastAsia="zh-TW"/>
        </w:rPr>
        <w:t xml:space="preserve"> </w:t>
      </w:r>
      <w:r w:rsidRPr="00E746A7">
        <w:rPr>
          <w:rFonts w:ascii="Book Antiqua" w:hAnsi="Book Antiqua" w:cs="Arial"/>
          <w:sz w:val="22"/>
          <w:szCs w:val="22"/>
          <w:lang w:eastAsia="zh-TW"/>
        </w:rPr>
        <w:t>set</w:t>
      </w:r>
      <w:r w:rsidRPr="00180E6C">
        <w:rPr>
          <w:lang w:eastAsia="zh-TW"/>
        </w:rPr>
        <w:t xml:space="preserve"> for these che</w:t>
      </w:r>
      <w:r>
        <w:rPr>
          <w:lang w:eastAsia="zh-TW"/>
        </w:rPr>
        <w:t>micals</w:t>
      </w:r>
      <w:r w:rsidR="000C522D">
        <w:rPr>
          <w:lang w:eastAsia="zh-TW"/>
        </w:rPr>
        <w:t xml:space="preserve"> </w:t>
      </w:r>
      <w:r w:rsidR="000C522D" w:rsidRPr="007C256E">
        <w:rPr>
          <w:lang w:eastAsia="zh-TW"/>
        </w:rPr>
        <w:t xml:space="preserve">in the Sponsor country; Occupational Safety and Health Administration (OSHA) permissible exposure limit Time Weighted Average (TWA)-8 hours </w:t>
      </w:r>
      <w:proofErr w:type="gramStart"/>
      <w:r w:rsidR="000C522D" w:rsidRPr="007C256E">
        <w:rPr>
          <w:lang w:eastAsia="zh-TW"/>
        </w:rPr>
        <w:t>is</w:t>
      </w:r>
      <w:proofErr w:type="gramEnd"/>
      <w:r w:rsidR="000C522D" w:rsidRPr="007C256E">
        <w:rPr>
          <w:lang w:eastAsia="zh-TW"/>
        </w:rPr>
        <w:t xml:space="preserve"> 100 ppm for nitromethane, or nitroethane and 25 ppm for 1-nitropropane</w:t>
      </w:r>
      <w:r>
        <w:rPr>
          <w:lang w:eastAsia="zh-TW"/>
        </w:rPr>
        <w:t xml:space="preserve">.  </w:t>
      </w:r>
      <w:r w:rsidRPr="00180E6C">
        <w:t>Exposure may occur during cleaning or drumming operations, but these exposures are limited by appropriate protective clothing and the existence of appropriate control measures</w:t>
      </w:r>
      <w:r>
        <w:t xml:space="preserve">.  </w:t>
      </w:r>
      <w:r w:rsidRPr="00180E6C">
        <w:t xml:space="preserve">Bulk storage, handling and transport of product further limit exposure potential by handling in enclosed storage vessels and piping.  Automated container filling equipment is used to fill drums and IBC’s, thus making exposure during this process highly unlikely.  </w:t>
      </w:r>
      <w:r>
        <w:rPr>
          <w:highlight w:val="cyan"/>
        </w:rPr>
        <w:t xml:space="preserve"> </w:t>
      </w:r>
    </w:p>
    <w:p w:rsidR="00204A39" w:rsidRPr="001239E7" w:rsidRDefault="00204A39" w:rsidP="00F37C80">
      <w:pPr>
        <w:pStyle w:val="Heading3"/>
        <w:jc w:val="both"/>
      </w:pPr>
      <w:bookmarkStart w:id="60" w:name="_Toc147824539"/>
      <w:r w:rsidRPr="001239E7">
        <w:t>Consumer Exposure</w:t>
      </w:r>
      <w:bookmarkEnd w:id="58"/>
      <w:bookmarkEnd w:id="59"/>
      <w:bookmarkEnd w:id="60"/>
    </w:p>
    <w:p w:rsidR="001239E7" w:rsidRPr="00E746A7" w:rsidRDefault="001239E7" w:rsidP="00F37C80">
      <w:pPr>
        <w:jc w:val="both"/>
      </w:pPr>
      <w:bookmarkStart w:id="61" w:name="_Toc32726027"/>
      <w:bookmarkStart w:id="62" w:name="_Toc32727210"/>
      <w:r w:rsidRPr="00E746A7">
        <w:t>These substances are used primarily as intermediates in the synthesis of other chemicals, as industrial solvents, and in fuels.  Products using these nitroparaffin ingredients are not widely available to consumers.  Consumers could be exposed to nitromethane via inhalation during use of hobby or racing fuels, to limited amounts of nitroethane by inhalation through use in certain paints or coatings, and to very small amounts of 1-nitropropane by inhalation where it is present as a minor fuel additive or as a solvent.  Fuel uses are typically in open-air situations allowing adequate ventilation, in the paints and coatings markets where adequate ventilation is typically recommended, and exposure guidelines are available to control inhalation exposure to these chemicals in enclosed environments.</w:t>
      </w:r>
    </w:p>
    <w:p w:rsidR="001239E7" w:rsidRPr="00B637CB" w:rsidRDefault="001239E7" w:rsidP="00F37C80">
      <w:pPr>
        <w:jc w:val="both"/>
      </w:pPr>
      <w:r w:rsidRPr="00B637CB">
        <w:t> </w:t>
      </w:r>
    </w:p>
    <w:p w:rsidR="001239E7" w:rsidRDefault="00597490" w:rsidP="00F37C80">
      <w:pPr>
        <w:pStyle w:val="BodyText"/>
        <w:rPr>
          <w:highlight w:val="cyan"/>
        </w:rPr>
      </w:pPr>
      <w:r>
        <w:t>D</w:t>
      </w:r>
      <w:r w:rsidR="001239E7" w:rsidRPr="00E746A7">
        <w:t>ermal exposure may occur at low levels for consumers in these same end-use applications of industrial solvents, paints/coatings, or fuels/fuel additive, although, as previously described, the major volumes of these chemicals are used in industrial applications.  Dermal exposure of end-use customers may occur during use due to spills of the product containing these solvents or by small fuel spills, but these exposures are limited by appropriate dermal protective clothing such as gloves, and the typical use as fuels i</w:t>
      </w:r>
      <w:r w:rsidR="001239E7">
        <w:t xml:space="preserve">n outdoor setting with adequate </w:t>
      </w:r>
      <w:r w:rsidR="001239E7" w:rsidRPr="00E746A7">
        <w:t>ventilation and volatilization</w:t>
      </w:r>
      <w:r w:rsidR="001239E7">
        <w:t xml:space="preserve">.  </w:t>
      </w:r>
      <w:r w:rsidR="001239E7" w:rsidRPr="00E746A7">
        <w:t>Storage, handling and transport of products further limit exposure potential by handling in enclosed storage vessels and piping.</w:t>
      </w:r>
      <w:r w:rsidR="001239E7" w:rsidRPr="00123FB2">
        <w:rPr>
          <w:highlight w:val="cyan"/>
        </w:rPr>
        <w:t xml:space="preserve"> </w:t>
      </w:r>
    </w:p>
    <w:p w:rsidR="00204A39" w:rsidRPr="00E06187" w:rsidRDefault="00204A39" w:rsidP="00F37C80">
      <w:pPr>
        <w:pStyle w:val="Heading1"/>
        <w:jc w:val="both"/>
      </w:pPr>
      <w:bookmarkStart w:id="63" w:name="_Toc147824540"/>
      <w:r w:rsidRPr="00E06187">
        <w:t>human health hazards</w:t>
      </w:r>
      <w:bookmarkEnd w:id="61"/>
      <w:bookmarkEnd w:id="62"/>
      <w:bookmarkEnd w:id="63"/>
      <w:r w:rsidRPr="00E06187">
        <w:t xml:space="preserve"> </w:t>
      </w:r>
    </w:p>
    <w:p w:rsidR="00204A39" w:rsidRPr="00E06187" w:rsidRDefault="00204A39" w:rsidP="00F37C80">
      <w:pPr>
        <w:pStyle w:val="Heading2"/>
      </w:pPr>
      <w:bookmarkStart w:id="64" w:name="_Toc32726028"/>
      <w:bookmarkStart w:id="65" w:name="_Toc32727211"/>
      <w:bookmarkStart w:id="66" w:name="_Toc147824541"/>
      <w:r w:rsidRPr="00E06187">
        <w:t>Effects on Human Health</w:t>
      </w:r>
      <w:bookmarkEnd w:id="64"/>
      <w:bookmarkEnd w:id="65"/>
      <w:bookmarkEnd w:id="66"/>
    </w:p>
    <w:p w:rsidR="00204A39" w:rsidRPr="00E06187" w:rsidRDefault="00204A39" w:rsidP="00F37C80">
      <w:pPr>
        <w:pStyle w:val="Heading3"/>
        <w:jc w:val="both"/>
      </w:pPr>
      <w:bookmarkStart w:id="67" w:name="_Toc32726029"/>
      <w:bookmarkStart w:id="68" w:name="_Toc32727212"/>
      <w:bookmarkStart w:id="69" w:name="_Toc147824542"/>
      <w:r w:rsidRPr="00E06187">
        <w:t>Toxicokinetics, Metabolism and Distribution</w:t>
      </w:r>
      <w:bookmarkEnd w:id="67"/>
      <w:bookmarkEnd w:id="68"/>
      <w:bookmarkEnd w:id="69"/>
    </w:p>
    <w:p w:rsidR="003B1CC7" w:rsidRDefault="003B1CC7" w:rsidP="00F37C80">
      <w:pPr>
        <w:jc w:val="both"/>
      </w:pPr>
      <w:bookmarkStart w:id="70" w:name="_Toc32726030"/>
      <w:bookmarkStart w:id="71" w:name="_Toc32727213"/>
      <w:proofErr w:type="gramStart"/>
      <w:r w:rsidRPr="003B1CC7">
        <w:rPr>
          <w:i/>
          <w:u w:val="single"/>
        </w:rPr>
        <w:t>Nitromethane</w:t>
      </w:r>
      <w:r w:rsidR="009130BF" w:rsidRPr="009130BF">
        <w:rPr>
          <w:i/>
        </w:rPr>
        <w:t>.</w:t>
      </w:r>
      <w:proofErr w:type="gramEnd"/>
      <w:r w:rsidR="009130BF" w:rsidRPr="009130BF">
        <w:rPr>
          <w:i/>
        </w:rPr>
        <w:t xml:space="preserve"> </w:t>
      </w:r>
      <w:r w:rsidR="00D56E44">
        <w:t>In a study with limited information,</w:t>
      </w:r>
      <w:r w:rsidR="009130BF" w:rsidRPr="009130BF">
        <w:rPr>
          <w:i/>
        </w:rPr>
        <w:t xml:space="preserve"> </w:t>
      </w:r>
      <w:r>
        <w:t xml:space="preserve">rats administered a single oral dose of </w:t>
      </w:r>
      <w:r>
        <w:rPr>
          <w:vertAlign w:val="superscript"/>
        </w:rPr>
        <w:t>14</w:t>
      </w:r>
      <w:r>
        <w:t>C-nitromethane</w:t>
      </w:r>
      <w:r w:rsidR="00D56E44">
        <w:t xml:space="preserve"> had</w:t>
      </w:r>
      <w:r>
        <w:t xml:space="preserve"> approximately 9% retained in the liver, lung, fat and carcass 5 days after dosing.  Approximately 19% and 8.5% were excreted in the urine and feces over 5 days, respectively.  In this study, the majority (approximately 64%) of the radioactivity was not accounted for, and was presumed to have been exhaled</w:t>
      </w:r>
      <w:r w:rsidR="003C40B3">
        <w:t>, most likely the aldehyde metabolite.  Absorption via the oral route is approximately 92%</w:t>
      </w:r>
      <w:r>
        <w:t xml:space="preserve"> (Coulston and Korte, 1987).</w:t>
      </w:r>
      <w:r w:rsidR="00722EBA">
        <w:t xml:space="preserve">  </w:t>
      </w:r>
    </w:p>
    <w:p w:rsidR="003B1CC7" w:rsidRDefault="003B1CC7" w:rsidP="00F37C80">
      <w:pPr>
        <w:jc w:val="both"/>
      </w:pPr>
    </w:p>
    <w:p w:rsidR="003B1CC7" w:rsidRDefault="003B1CC7" w:rsidP="00F37C80">
      <w:pPr>
        <w:jc w:val="both"/>
      </w:pPr>
      <w:r>
        <w:t xml:space="preserve">A study performed by Sakurai </w:t>
      </w:r>
      <w:r w:rsidRPr="00A508E9">
        <w:rPr>
          <w:i/>
        </w:rPr>
        <w:t>et al.</w:t>
      </w:r>
      <w:r>
        <w:t xml:space="preserve"> (1980) indicates that nitromethane can be oxidized </w:t>
      </w:r>
      <w:r w:rsidRPr="00C11117">
        <w:rPr>
          <w:i/>
        </w:rPr>
        <w:t>in vitro</w:t>
      </w:r>
      <w:r>
        <w:t xml:space="preserve"> by phenobarbital-induced rat liver microsomes to nitrite and formaldehyde. The acute toxicity study </w:t>
      </w:r>
      <w:r w:rsidR="00CD02AC">
        <w:t xml:space="preserve">in rats </w:t>
      </w:r>
      <w:r>
        <w:t xml:space="preserve">by Dequidt </w:t>
      </w:r>
      <w:r w:rsidRPr="004A6FE4">
        <w:rPr>
          <w:i/>
        </w:rPr>
        <w:t>et al</w:t>
      </w:r>
      <w:r>
        <w:t xml:space="preserve">. (1973) shows that nitrite is detected in the heart, lungs, kidney, liver and carcass of animals exposed to </w:t>
      </w:r>
      <w:r w:rsidR="00CF370A">
        <w:t xml:space="preserve">2500 and </w:t>
      </w:r>
      <w:r w:rsidR="001524C7">
        <w:t xml:space="preserve">13000 ppm of </w:t>
      </w:r>
      <w:r>
        <w:t xml:space="preserve">nitromethane by inhalation.  </w:t>
      </w:r>
    </w:p>
    <w:p w:rsidR="00F0380B" w:rsidRDefault="00B320DF" w:rsidP="00F37C80">
      <w:pPr>
        <w:jc w:val="both"/>
      </w:pPr>
      <w:r w:rsidRPr="00CE20DB">
        <w:t xml:space="preserve">The skin absorption of </w:t>
      </w:r>
      <w:r w:rsidRPr="00CE20DB">
        <w:rPr>
          <w:vertAlign w:val="superscript"/>
        </w:rPr>
        <w:t>14</w:t>
      </w:r>
      <w:r w:rsidRPr="00CE20DB">
        <w:t>C –labeled category members has been studied in female rhesus monkeys and indicates that nitromethane is not readily absorbed by the skin but is more likely to evaporate before significant amounts of absorption take place (Norman 1990c).</w:t>
      </w:r>
    </w:p>
    <w:p w:rsidR="00F0380B" w:rsidRDefault="00F0380B" w:rsidP="00F37C80">
      <w:pPr>
        <w:jc w:val="both"/>
      </w:pPr>
    </w:p>
    <w:p w:rsidR="003B1CC7" w:rsidRDefault="003B1CC7" w:rsidP="00F37C80">
      <w:pPr>
        <w:jc w:val="both"/>
      </w:pPr>
      <w:proofErr w:type="gramStart"/>
      <w:r w:rsidRPr="003B1CC7">
        <w:rPr>
          <w:i/>
          <w:u w:val="single"/>
        </w:rPr>
        <w:t>Nitroethane</w:t>
      </w:r>
      <w:r w:rsidR="009130BF" w:rsidRPr="009130BF">
        <w:rPr>
          <w:i/>
        </w:rPr>
        <w:t>.</w:t>
      </w:r>
      <w:proofErr w:type="gramEnd"/>
      <w:r w:rsidR="009130BF" w:rsidRPr="009130BF">
        <w:rPr>
          <w:i/>
        </w:rPr>
        <w:t xml:space="preserve">  </w:t>
      </w:r>
      <w:r w:rsidR="00324845">
        <w:t xml:space="preserve">In a study with limited information, </w:t>
      </w:r>
      <w:r>
        <w:t xml:space="preserve">rats administered a single oral dose of </w:t>
      </w:r>
      <w:r>
        <w:rPr>
          <w:vertAlign w:val="superscript"/>
        </w:rPr>
        <w:t>14</w:t>
      </w:r>
      <w:r>
        <w:t>C-nitroethane</w:t>
      </w:r>
      <w:r w:rsidR="00324845">
        <w:t xml:space="preserve"> had</w:t>
      </w:r>
      <w:r>
        <w:t xml:space="preserve"> approximately 9% retained in the liver, lung, fat and carcass 5 days after dosing.  Approximately 5% and 4% were excreted in the urine and feces over 5 days, respectively.  In this study, the majority (approximately 82%) of the radioactivity was not accounted for, and was presumed to have been exhaled</w:t>
      </w:r>
      <w:r w:rsidR="003C40B3">
        <w:t xml:space="preserve">, most likely </w:t>
      </w:r>
      <w:r w:rsidR="00324845">
        <w:t xml:space="preserve">as </w:t>
      </w:r>
      <w:r w:rsidR="003C40B3">
        <w:t>the aldehyde metabolite.</w:t>
      </w:r>
      <w:r>
        <w:t xml:space="preserve"> </w:t>
      </w:r>
      <w:r w:rsidR="004A443F">
        <w:t xml:space="preserve"> </w:t>
      </w:r>
      <w:r w:rsidR="009519D0">
        <w:t xml:space="preserve">Absorption via the oral route is approximately 96% </w:t>
      </w:r>
      <w:r>
        <w:t>(Coulston and Korte, 1987).</w:t>
      </w:r>
      <w:r w:rsidR="00722EBA">
        <w:t xml:space="preserve"> </w:t>
      </w:r>
    </w:p>
    <w:p w:rsidR="00C40516" w:rsidRDefault="003B1CC7" w:rsidP="000A3308">
      <w:pPr>
        <w:spacing w:before="240"/>
        <w:jc w:val="both"/>
      </w:pPr>
      <w:r>
        <w:t xml:space="preserve">The acute studies </w:t>
      </w:r>
      <w:r w:rsidR="00CD02AC">
        <w:t xml:space="preserve">in rats </w:t>
      </w:r>
      <w:r>
        <w:t xml:space="preserve">by Dequidt </w:t>
      </w:r>
      <w:r w:rsidRPr="003B1CC7">
        <w:rPr>
          <w:i/>
        </w:rPr>
        <w:t>et al.</w:t>
      </w:r>
      <w:r>
        <w:t xml:space="preserve"> (</w:t>
      </w:r>
      <w:r w:rsidR="005539C5">
        <w:t>1973</w:t>
      </w:r>
      <w:r>
        <w:t>) show</w:t>
      </w:r>
      <w:r w:rsidR="000041B3">
        <w:t>s</w:t>
      </w:r>
      <w:r>
        <w:t xml:space="preserve"> that nitrite is detected in the heart, lungs, kidney and carcass of animals exposed to </w:t>
      </w:r>
      <w:r w:rsidR="00823E57">
        <w:t xml:space="preserve">2200 and 13000 ppm of </w:t>
      </w:r>
      <w:r>
        <w:t xml:space="preserve">nitroethane by inhalation.  Studies performed by Scott and coworkers indicate that in rabbits, nitroethane is rapidly oxidized to acetaldehyde and nitrite (Machle </w:t>
      </w:r>
      <w:r w:rsidRPr="003B1CC7">
        <w:rPr>
          <w:i/>
        </w:rPr>
        <w:t>et al.,</w:t>
      </w:r>
      <w:r>
        <w:t xml:space="preserve"> 1942; Scott, 1942, 1943)</w:t>
      </w:r>
      <w:r w:rsidR="000041B3">
        <w:t xml:space="preserve"> </w:t>
      </w:r>
      <w:r>
        <w:t xml:space="preserve">  </w:t>
      </w:r>
      <w:r w:rsidR="00C40516">
        <w:t xml:space="preserve">Traces of nitrite </w:t>
      </w:r>
      <w:r w:rsidR="006A0BAF">
        <w:t xml:space="preserve">were </w:t>
      </w:r>
      <w:r w:rsidR="00C40516">
        <w:t xml:space="preserve">detected in cardiac blood of rabbits, 5 minutes to 3 hours after intravenous administration of 1 millimole nitroethane (Scott, 1942) </w:t>
      </w:r>
    </w:p>
    <w:p w:rsidR="003B1CC7" w:rsidRDefault="003B1CC7" w:rsidP="00F37C80">
      <w:pPr>
        <w:jc w:val="both"/>
      </w:pPr>
      <w:r>
        <w:t xml:space="preserve">The results of these studies suggest that nitroethane is metabolized to acetaldehyde and nitrite.  </w:t>
      </w:r>
    </w:p>
    <w:p w:rsidR="003B1CC7" w:rsidRDefault="003B1CC7" w:rsidP="00F37C80">
      <w:pPr>
        <w:jc w:val="both"/>
      </w:pPr>
    </w:p>
    <w:p w:rsidR="00F0380B" w:rsidRDefault="00F0380B" w:rsidP="00F37C80">
      <w:pPr>
        <w:jc w:val="both"/>
      </w:pPr>
      <w:r w:rsidRPr="003B1CC7">
        <w:t xml:space="preserve">The skin absorption of </w:t>
      </w:r>
      <w:r>
        <w:rPr>
          <w:vertAlign w:val="superscript"/>
        </w:rPr>
        <w:t>14</w:t>
      </w:r>
      <w:r>
        <w:t>C</w:t>
      </w:r>
      <w:r w:rsidRPr="003B1CC7">
        <w:t xml:space="preserve"> –labeled </w:t>
      </w:r>
      <w:r w:rsidR="004A6BEE">
        <w:t xml:space="preserve">nitroethane </w:t>
      </w:r>
      <w:r w:rsidRPr="003B1CC7">
        <w:t>has been studied in female rhesus monkeys</w:t>
      </w:r>
      <w:r w:rsidR="00CE20DB">
        <w:t xml:space="preserve">.  Authors </w:t>
      </w:r>
      <w:r w:rsidRPr="003B1CC7">
        <w:t>indicate</w:t>
      </w:r>
      <w:r w:rsidR="00CE20DB">
        <w:t>d</w:t>
      </w:r>
      <w:r w:rsidRPr="003B1CC7">
        <w:t xml:space="preserve"> that </w:t>
      </w:r>
      <w:r w:rsidR="004A6BEE">
        <w:t xml:space="preserve">it </w:t>
      </w:r>
      <w:r w:rsidRPr="003B1CC7">
        <w:t xml:space="preserve">is </w:t>
      </w:r>
      <w:r w:rsidR="00E01A4D">
        <w:t xml:space="preserve">not </w:t>
      </w:r>
      <w:r w:rsidRPr="003B1CC7">
        <w:t xml:space="preserve">readily absorbed by the skin </w:t>
      </w:r>
      <w:r w:rsidR="004A6BEE">
        <w:t>and</w:t>
      </w:r>
      <w:r w:rsidRPr="003B1CC7">
        <w:t xml:space="preserve"> is more likely to evaporate before significant amounts of absorption take place</w:t>
      </w:r>
      <w:r w:rsidR="00CE20DB">
        <w:t xml:space="preserve"> because although the patch used was occlusive, it was suspected that the patch was loosened due to animal activity</w:t>
      </w:r>
      <w:r w:rsidRPr="003B1CC7">
        <w:t xml:space="preserve"> (Norman 1990</w:t>
      </w:r>
      <w:r w:rsidR="004A6BEE">
        <w:t>b</w:t>
      </w:r>
      <w:r w:rsidRPr="003B1CC7">
        <w:t>).</w:t>
      </w:r>
    </w:p>
    <w:p w:rsidR="00F0380B" w:rsidRDefault="00F0380B" w:rsidP="00F37C80">
      <w:pPr>
        <w:jc w:val="both"/>
      </w:pPr>
    </w:p>
    <w:p w:rsidR="00D8121D" w:rsidRDefault="003B1CC7" w:rsidP="00F37C80">
      <w:pPr>
        <w:jc w:val="both"/>
      </w:pPr>
      <w:proofErr w:type="gramStart"/>
      <w:r w:rsidRPr="00096E9B">
        <w:rPr>
          <w:i/>
          <w:u w:val="single"/>
        </w:rPr>
        <w:t>1-Nitropropane</w:t>
      </w:r>
      <w:r w:rsidR="009130BF" w:rsidRPr="009130BF">
        <w:rPr>
          <w:i/>
        </w:rPr>
        <w:t>.</w:t>
      </w:r>
      <w:proofErr w:type="gramEnd"/>
      <w:r w:rsidRPr="009130BF">
        <w:rPr>
          <w:i/>
        </w:rPr>
        <w:t xml:space="preserve">    </w:t>
      </w:r>
      <w:r>
        <w:t>In rats inhaling 100 ppm 1-nitropropane for 7 hours, a steady state concentration of approximately 9 micrograms/ml was obtained.  The elimination T</w:t>
      </w:r>
      <w:r>
        <w:rPr>
          <w:vertAlign w:val="subscript"/>
        </w:rPr>
        <w:t>1/2</w:t>
      </w:r>
      <w:r>
        <w:t xml:space="preserve"> (half-life) was 98 minutes</w:t>
      </w:r>
      <w:r w:rsidR="00D8121D">
        <w:t xml:space="preserve"> (Haas-Jobelius, 1988)</w:t>
      </w:r>
      <w:r>
        <w:t xml:space="preserve">.  </w:t>
      </w:r>
    </w:p>
    <w:p w:rsidR="00D8121D" w:rsidRDefault="00D8121D" w:rsidP="00F37C80">
      <w:pPr>
        <w:jc w:val="both"/>
      </w:pPr>
    </w:p>
    <w:p w:rsidR="003B1CC7" w:rsidRDefault="00CF433B" w:rsidP="00F37C80">
      <w:pPr>
        <w:jc w:val="both"/>
      </w:pPr>
      <w:r>
        <w:t xml:space="preserve">In a study with limited information, </w:t>
      </w:r>
      <w:r w:rsidR="003B1CC7">
        <w:t xml:space="preserve">rats administered a single oral dose of </w:t>
      </w:r>
      <w:r w:rsidR="003B1CC7">
        <w:rPr>
          <w:vertAlign w:val="superscript"/>
        </w:rPr>
        <w:t>14</w:t>
      </w:r>
      <w:r w:rsidR="003B1CC7">
        <w:t>C-1-nitropropane</w:t>
      </w:r>
      <w:r>
        <w:t xml:space="preserve"> had</w:t>
      </w:r>
      <w:r w:rsidR="003B1CC7">
        <w:t xml:space="preserve"> approximately </w:t>
      </w:r>
      <w:r>
        <w:t>6.4</w:t>
      </w:r>
      <w:r w:rsidR="003B1CC7">
        <w:t>% retained in the liver, lung, fat and carcass 5 days after dosing.  Approximately 14% and 7% were excreted in the urine and feces over 5 days, respectively.  In this study, the majority (approximately 73%) of the radioactivity was not accounted for, and was presumed to have been exhaled</w:t>
      </w:r>
      <w:r w:rsidR="009519D0">
        <w:t>, most likely the aldehyde metabolite.  Absorption via the oral route is approximately 94%</w:t>
      </w:r>
      <w:r w:rsidR="003B1CC7">
        <w:t xml:space="preserve"> (Coulston and Korte, 1987).</w:t>
      </w:r>
      <w:r w:rsidR="00722EBA">
        <w:t xml:space="preserve"> </w:t>
      </w:r>
    </w:p>
    <w:p w:rsidR="003B1CC7" w:rsidRDefault="003B1CC7" w:rsidP="00F37C80">
      <w:pPr>
        <w:jc w:val="both"/>
      </w:pPr>
    </w:p>
    <w:p w:rsidR="003B1CC7" w:rsidRDefault="00023B8A" w:rsidP="00F37C80">
      <w:pPr>
        <w:jc w:val="both"/>
      </w:pPr>
      <w:r>
        <w:t xml:space="preserve">A study was performed by Haas-Jobelius </w:t>
      </w:r>
      <w:r>
        <w:rPr>
          <w:i/>
        </w:rPr>
        <w:t xml:space="preserve">et al. </w:t>
      </w:r>
      <w:r w:rsidR="004A443F">
        <w:t>(</w:t>
      </w:r>
      <w:r>
        <w:t xml:space="preserve">1992) to determine the effect on liver enzyme levels in rats following whole body exposure inhalation of 100 ppm of 1-nitropropane for 7 hours per day for 4 consecutive days. In days one and two, there were some significant differences in liver enzyme </w:t>
      </w:r>
      <w:proofErr w:type="gramStart"/>
      <w:r>
        <w:t>levels,</w:t>
      </w:r>
      <w:proofErr w:type="gramEnd"/>
      <w:r>
        <w:t xml:space="preserve"> however, by day four they were not statistically different from controls.  </w:t>
      </w:r>
      <w:r w:rsidR="003B1CC7">
        <w:t>Nitrite is detected in cardiac blood of rabbits, 5 minutes to 3 hours after i.v. administration of 1 millimole 1-nitropropane (Scott, 1943).</w:t>
      </w:r>
    </w:p>
    <w:p w:rsidR="003B1CC7" w:rsidRDefault="003B1CC7" w:rsidP="00F37C80">
      <w:pPr>
        <w:jc w:val="both"/>
      </w:pPr>
    </w:p>
    <w:p w:rsidR="00023B8A" w:rsidRDefault="00023B8A" w:rsidP="00F37C80">
      <w:pPr>
        <w:jc w:val="both"/>
      </w:pPr>
      <w:r w:rsidRPr="003B1CC7">
        <w:t xml:space="preserve">The skin absorption of </w:t>
      </w:r>
      <w:r>
        <w:rPr>
          <w:vertAlign w:val="superscript"/>
        </w:rPr>
        <w:t>14</w:t>
      </w:r>
      <w:r>
        <w:t>C</w:t>
      </w:r>
      <w:r w:rsidRPr="003B1CC7">
        <w:t xml:space="preserve"> –labeled category members has been studied in female rhesus monkeys and indicates that </w:t>
      </w:r>
      <w:r w:rsidR="00E01A4D">
        <w:t xml:space="preserve">1-nitropropane </w:t>
      </w:r>
      <w:r w:rsidRPr="003B1CC7">
        <w:t xml:space="preserve">is </w:t>
      </w:r>
      <w:r w:rsidR="00E01A4D">
        <w:t xml:space="preserve">not </w:t>
      </w:r>
      <w:r w:rsidRPr="003B1CC7">
        <w:t>readily absorbed by the skin but is more likely to evaporate before significant amounts of absorption take place</w:t>
      </w:r>
      <w:r w:rsidR="00CE20DB">
        <w:t>; this is due to the authors’ thoughts that the patch was loosened</w:t>
      </w:r>
      <w:r w:rsidRPr="003B1CC7">
        <w:t xml:space="preserve"> (Norman 1990a).</w:t>
      </w:r>
    </w:p>
    <w:p w:rsidR="00023B8A" w:rsidRDefault="00023B8A" w:rsidP="00F37C80">
      <w:pPr>
        <w:jc w:val="both"/>
      </w:pPr>
    </w:p>
    <w:p w:rsidR="003B1CC7" w:rsidRDefault="003B1CC7" w:rsidP="00F37C80">
      <w:pPr>
        <w:jc w:val="both"/>
      </w:pPr>
      <w:r>
        <w:t xml:space="preserve">The pharmacokinetics of 1-nitropropane after </w:t>
      </w:r>
      <w:r w:rsidR="000C522D">
        <w:t>intraperitoneal</w:t>
      </w:r>
      <w:r>
        <w:t xml:space="preserve"> </w:t>
      </w:r>
      <w:r w:rsidR="00023B8A">
        <w:t xml:space="preserve">(40 mg/kg rats) </w:t>
      </w:r>
      <w:r>
        <w:t xml:space="preserve">or </w:t>
      </w:r>
      <w:r w:rsidR="000C522D">
        <w:t>intravenous</w:t>
      </w:r>
      <w:r w:rsidR="00023B8A">
        <w:t xml:space="preserve"> (5 mg/kg monkeys and chimpanzees</w:t>
      </w:r>
      <w:proofErr w:type="gramStart"/>
      <w:r w:rsidR="00023B8A">
        <w:t>)</w:t>
      </w:r>
      <w:r>
        <w:t>injection</w:t>
      </w:r>
      <w:proofErr w:type="gramEnd"/>
      <w:r>
        <w:t xml:space="preserve"> </w:t>
      </w:r>
      <w:r w:rsidR="000C522D">
        <w:t>ha</w:t>
      </w:r>
      <w:r w:rsidR="00D8121D">
        <w:t>s</w:t>
      </w:r>
      <w:r w:rsidR="000C522D">
        <w:t xml:space="preserve"> </w:t>
      </w:r>
      <w:r>
        <w:t>been examined in rats, monkeys and chimpanzees (Haas-Jobelius, 1988).  The material was distributed to all central organs, predominantly to the liver.  All three species excreted about 15-20% of the material in urine and less than 2% in the feces.  The majority of the material was exhaled (T</w:t>
      </w:r>
      <w:r>
        <w:rPr>
          <w:vertAlign w:val="subscript"/>
        </w:rPr>
        <w:t xml:space="preserve">1/2 </w:t>
      </w:r>
      <w:r>
        <w:t>≈ 55 min), so that after 48 hours only 6-9% of the dose remained in the body.  The exhaled activity was retained very effectively by a CO</w:t>
      </w:r>
      <w:r>
        <w:rPr>
          <w:vertAlign w:val="subscript"/>
        </w:rPr>
        <w:t xml:space="preserve">2 </w:t>
      </w:r>
      <w:r>
        <w:t>absorber, indicating that CO</w:t>
      </w:r>
      <w:r>
        <w:rPr>
          <w:vertAlign w:val="subscript"/>
        </w:rPr>
        <w:t xml:space="preserve">2 </w:t>
      </w:r>
      <w:r>
        <w:t xml:space="preserve">was a main metabolite.  Approximately 10% of the material was excreted unchanged in expired air.  In monkeys, the predominant metabolites eliminated in the urine were 3-hydroxypropionic acid and N-methyl-N-(2-methylsulfinyl) ethyl propionic acid amide.  No propionaldehyde was detected. </w:t>
      </w:r>
    </w:p>
    <w:p w:rsidR="003B1CC7" w:rsidRDefault="003B1CC7" w:rsidP="00F37C80">
      <w:pPr>
        <w:jc w:val="both"/>
      </w:pPr>
      <w:r>
        <w:t>The results of these studies suggest that 1-nitropropane is first metabolized to propionaldehyde and nitrite.  The propionaldehyde is rapidly converted to propionic acid and ultimately metabolized to CO</w:t>
      </w:r>
      <w:r>
        <w:rPr>
          <w:vertAlign w:val="subscript"/>
        </w:rPr>
        <w:t>2</w:t>
      </w:r>
      <w:r>
        <w:t xml:space="preserve">.  The identified urinary metabolites are by-products of this biotransformation route. </w:t>
      </w:r>
    </w:p>
    <w:p w:rsidR="00B140A9" w:rsidRPr="00434242" w:rsidRDefault="00B140A9" w:rsidP="009C4A54">
      <w:pPr>
        <w:pStyle w:val="Heading8"/>
      </w:pPr>
      <w:r w:rsidRPr="00434242">
        <w:t>Conclusion</w:t>
      </w:r>
    </w:p>
    <w:p w:rsidR="00B140A9" w:rsidRPr="00B77A5E" w:rsidRDefault="00B140A9" w:rsidP="00434242">
      <w:pPr>
        <w:ind w:right="125"/>
        <w:jc w:val="both"/>
      </w:pPr>
      <w:r w:rsidRPr="00B77A5E">
        <w:t xml:space="preserve">The skin absorption of </w:t>
      </w:r>
      <w:r w:rsidRPr="00B77A5E">
        <w:rPr>
          <w:vertAlign w:val="superscript"/>
        </w:rPr>
        <w:t>14</w:t>
      </w:r>
      <w:r w:rsidRPr="00B77A5E">
        <w:t>C–labeled category members has been studied in female rhesus monkeys and indicates that none of the chemicals are readily absorbed by the skin but are more likely to evaporate before significant</w:t>
      </w:r>
      <w:r w:rsidR="008B4C57">
        <w:t xml:space="preserve"> </w:t>
      </w:r>
      <w:r w:rsidRPr="00B77A5E">
        <w:t>absorption take</w:t>
      </w:r>
      <w:r w:rsidR="008B4C57">
        <w:t>s</w:t>
      </w:r>
      <w:r w:rsidRPr="00B77A5E">
        <w:t xml:space="preserve"> place.  </w:t>
      </w:r>
      <w:r w:rsidR="00722EBA" w:rsidRPr="00B77A5E">
        <w:t xml:space="preserve">The </w:t>
      </w:r>
      <w:r w:rsidR="008B4C57">
        <w:rPr>
          <w:lang w:val="en-GB"/>
        </w:rPr>
        <w:t xml:space="preserve">absorption following </w:t>
      </w:r>
      <w:r w:rsidR="00722EBA" w:rsidRPr="00B77A5E">
        <w:rPr>
          <w:lang w:val="en-GB"/>
        </w:rPr>
        <w:t>single oral dose</w:t>
      </w:r>
      <w:r w:rsidR="008B4C57">
        <w:rPr>
          <w:lang w:val="en-GB"/>
        </w:rPr>
        <w:t xml:space="preserve">s of </w:t>
      </w:r>
      <w:r w:rsidR="008F0449" w:rsidRPr="00B77A5E">
        <w:rPr>
          <w:vertAlign w:val="superscript"/>
        </w:rPr>
        <w:t>14</w:t>
      </w:r>
      <w:r w:rsidR="008F0449" w:rsidRPr="00B77A5E">
        <w:t>C-nitromethane, -nitroethane or -</w:t>
      </w:r>
      <w:r w:rsidR="008F0449" w:rsidRPr="00E01A4D">
        <w:t>nitropropane</w:t>
      </w:r>
      <w:r w:rsidR="008F0449" w:rsidRPr="00E01A4D">
        <w:rPr>
          <w:lang w:val="en-GB"/>
        </w:rPr>
        <w:t xml:space="preserve"> </w:t>
      </w:r>
      <w:r w:rsidR="00B320DF" w:rsidRPr="00F37C80">
        <w:rPr>
          <w:lang w:val="en-GB"/>
        </w:rPr>
        <w:t>in rats</w:t>
      </w:r>
      <w:r w:rsidR="008F0449" w:rsidRPr="00E01A4D">
        <w:rPr>
          <w:lang w:val="en-GB"/>
        </w:rPr>
        <w:t xml:space="preserve"> </w:t>
      </w:r>
      <w:r w:rsidR="00722EBA" w:rsidRPr="00E01A4D">
        <w:rPr>
          <w:lang w:val="en-GB"/>
        </w:rPr>
        <w:t>was approximately 92-96%</w:t>
      </w:r>
      <w:r w:rsidR="008F0449" w:rsidRPr="00E01A4D">
        <w:rPr>
          <w:lang w:val="en-GB"/>
        </w:rPr>
        <w:t xml:space="preserve"> although </w:t>
      </w:r>
      <w:r w:rsidR="004B43B2">
        <w:rPr>
          <w:lang w:val="en-GB"/>
        </w:rPr>
        <w:t>less than 10%</w:t>
      </w:r>
      <w:r w:rsidR="004B43B2">
        <w:t xml:space="preserve"> </w:t>
      </w:r>
      <w:r w:rsidR="00B320DF" w:rsidRPr="00F37C80">
        <w:t>of the parent compounds</w:t>
      </w:r>
      <w:r w:rsidR="008F0449" w:rsidRPr="00E01A4D">
        <w:t xml:space="preserve"> </w:t>
      </w:r>
      <w:r w:rsidRPr="00E01A4D">
        <w:t>was</w:t>
      </w:r>
      <w:r w:rsidRPr="00B77A5E">
        <w:t xml:space="preserve"> retained in the body five days after dosin</w:t>
      </w:r>
      <w:r w:rsidR="008B4C57">
        <w:t>g</w:t>
      </w:r>
      <w:r w:rsidRPr="00B77A5E">
        <w:t xml:space="preserve">. </w:t>
      </w:r>
      <w:r w:rsidR="00DF3F5B">
        <w:t xml:space="preserve">Greater than 60% </w:t>
      </w:r>
      <w:r w:rsidRPr="00B77A5E">
        <w:t>of the radioactivity was not accounted for</w:t>
      </w:r>
      <w:r w:rsidR="008B4C57">
        <w:t xml:space="preserve"> after oral dosing</w:t>
      </w:r>
      <w:r w:rsidR="008F0449">
        <w:t xml:space="preserve"> of all </w:t>
      </w:r>
      <w:r w:rsidR="00430890">
        <w:t xml:space="preserve">of the short chain </w:t>
      </w:r>
      <w:r w:rsidR="008F0449">
        <w:t>nitroparaffins</w:t>
      </w:r>
      <w:r w:rsidRPr="00B77A5E">
        <w:t>, and was presumed to have been exhaled</w:t>
      </w:r>
      <w:r w:rsidR="00DF3F5B">
        <w:t>.</w:t>
      </w:r>
      <w:r w:rsidRPr="00B77A5E">
        <w:t xml:space="preserve"> In rats inhaling 100 ppm 1-nitropropane for 7 hours, a steady state concentration of approximately 9 µg/ml of the parent compound was obtained after 4 hours of exposure</w:t>
      </w:r>
      <w:r w:rsidR="008F0449">
        <w:t>; t</w:t>
      </w:r>
      <w:r w:rsidRPr="00B77A5E">
        <w:t>he elimination T</w:t>
      </w:r>
      <w:r w:rsidRPr="00B77A5E">
        <w:rPr>
          <w:vertAlign w:val="subscript"/>
        </w:rPr>
        <w:t>1/2</w:t>
      </w:r>
      <w:r w:rsidRPr="00B77A5E">
        <w:t xml:space="preserve"> (half-life) was 98 minutes</w:t>
      </w:r>
      <w:r w:rsidR="008F0449">
        <w:t xml:space="preserve"> in this study</w:t>
      </w:r>
      <w:r w:rsidRPr="00B77A5E">
        <w:t xml:space="preserve">.  </w:t>
      </w:r>
      <w:r w:rsidR="008B4C57" w:rsidRPr="00B77A5E">
        <w:t xml:space="preserve">The short chain nitroparaffins are </w:t>
      </w:r>
      <w:r w:rsidR="008B4C57" w:rsidRPr="00B77A5E">
        <w:rPr>
          <w:lang w:val="en-GB"/>
        </w:rPr>
        <w:t xml:space="preserve">metabolized into nitrites and the respective aldehydes.  </w:t>
      </w:r>
      <w:r w:rsidR="008F0449">
        <w:rPr>
          <w:lang w:val="en-GB"/>
        </w:rPr>
        <w:t xml:space="preserve">Urinary metabolites after </w:t>
      </w:r>
      <w:r w:rsidR="00B071BA">
        <w:rPr>
          <w:lang w:val="en-GB"/>
        </w:rPr>
        <w:t xml:space="preserve">1-nitropropane </w:t>
      </w:r>
      <w:r w:rsidR="008F0449">
        <w:rPr>
          <w:lang w:val="en-GB"/>
        </w:rPr>
        <w:t xml:space="preserve">administration </w:t>
      </w:r>
      <w:r w:rsidR="00B071BA">
        <w:rPr>
          <w:lang w:val="en-GB"/>
        </w:rPr>
        <w:t xml:space="preserve">to monkeys </w:t>
      </w:r>
      <w:r w:rsidR="008F0449">
        <w:rPr>
          <w:lang w:val="en-GB"/>
        </w:rPr>
        <w:t xml:space="preserve">suggest the further biotransformation of propionaldehyde to propionic acid.  </w:t>
      </w:r>
      <w:r w:rsidR="008B4C57">
        <w:rPr>
          <w:lang w:val="en-GB"/>
        </w:rPr>
        <w:t>Nitrite was found in tissues after nitromethane administration via inhalation or i.v.</w:t>
      </w:r>
      <w:r w:rsidR="008F0449">
        <w:rPr>
          <w:lang w:val="en-GB"/>
        </w:rPr>
        <w:t xml:space="preserve"> and after inhalation exposure to 1-nitropropane.</w:t>
      </w:r>
      <w:r w:rsidR="008B4C57">
        <w:rPr>
          <w:lang w:val="en-GB"/>
        </w:rPr>
        <w:t xml:space="preserve">  </w:t>
      </w:r>
      <w:r w:rsidR="008F0449">
        <w:rPr>
          <w:lang w:val="en-GB"/>
        </w:rPr>
        <w:t xml:space="preserve">After single oral doses of </w:t>
      </w:r>
      <w:r w:rsidR="00722EBA" w:rsidRPr="00B77A5E">
        <w:t>nitromethane, nitroethane and 1-nitropropane, 19%, 5%, and 14% was excreted in the urine, respectively and 8.5%, 4% and 7% was excreted in the feces, respectively</w:t>
      </w:r>
      <w:r w:rsidR="008F0449">
        <w:t xml:space="preserve"> within 5 days of administration</w:t>
      </w:r>
      <w:r w:rsidR="00722EBA" w:rsidRPr="00B77A5E">
        <w:t xml:space="preserve">.  </w:t>
      </w:r>
    </w:p>
    <w:p w:rsidR="00204A39" w:rsidRPr="002D3827" w:rsidRDefault="00204A39" w:rsidP="00F37C80">
      <w:pPr>
        <w:pStyle w:val="Heading3"/>
        <w:jc w:val="both"/>
      </w:pPr>
      <w:bookmarkStart w:id="72" w:name="_Toc147824543"/>
      <w:r w:rsidRPr="002D3827">
        <w:t>Acute Toxicity</w:t>
      </w:r>
      <w:bookmarkEnd w:id="70"/>
      <w:bookmarkEnd w:id="71"/>
      <w:bookmarkEnd w:id="72"/>
    </w:p>
    <w:p w:rsidR="00204A39" w:rsidRPr="002D3827" w:rsidRDefault="00D516F5" w:rsidP="00F37C80">
      <w:pPr>
        <w:pStyle w:val="BodyText"/>
      </w:pPr>
      <w:r>
        <w:t xml:space="preserve">Acute toxicity data </w:t>
      </w:r>
      <w:r w:rsidR="0031305B">
        <w:t xml:space="preserve">are available </w:t>
      </w:r>
      <w:r>
        <w:t>for all</w:t>
      </w:r>
      <w:r w:rsidR="002D3827" w:rsidRPr="002D3827">
        <w:t xml:space="preserve"> three members of the category.</w:t>
      </w:r>
    </w:p>
    <w:p w:rsidR="00204A39" w:rsidRPr="002D3827" w:rsidRDefault="00204A39" w:rsidP="00F37C80">
      <w:pPr>
        <w:pStyle w:val="Heading8"/>
        <w:jc w:val="both"/>
      </w:pPr>
      <w:r w:rsidRPr="002D3827">
        <w:t>Studies in Animals</w:t>
      </w:r>
    </w:p>
    <w:p w:rsidR="00A15739" w:rsidRDefault="00A15739" w:rsidP="00F37C80">
      <w:pPr>
        <w:pStyle w:val="Heading8"/>
        <w:jc w:val="both"/>
        <w:rPr>
          <w:i/>
          <w:u w:val="none"/>
        </w:rPr>
      </w:pPr>
      <w:r w:rsidRPr="002D3827">
        <w:rPr>
          <w:i/>
          <w:u w:val="none"/>
        </w:rPr>
        <w:t>Inhalation</w:t>
      </w:r>
    </w:p>
    <w:p w:rsidR="00237AF9" w:rsidRDefault="00A15739" w:rsidP="00F37C80">
      <w:pPr>
        <w:jc w:val="both"/>
        <w:rPr>
          <w:i/>
          <w:u w:val="single"/>
        </w:rPr>
      </w:pPr>
      <w:proofErr w:type="gramStart"/>
      <w:r w:rsidRPr="00A15739">
        <w:rPr>
          <w:i/>
          <w:u w:val="single"/>
        </w:rPr>
        <w:t>Nitromethane</w:t>
      </w:r>
      <w:r w:rsidR="009130BF">
        <w:rPr>
          <w:i/>
        </w:rPr>
        <w:t>.</w:t>
      </w:r>
      <w:proofErr w:type="gramEnd"/>
      <w:r w:rsidR="009130BF">
        <w:rPr>
          <w:i/>
        </w:rPr>
        <w:t xml:space="preserve">  </w:t>
      </w:r>
      <w:r w:rsidR="00E16BE2">
        <w:t>T</w:t>
      </w:r>
      <w:r w:rsidR="00B80FD2">
        <w:t xml:space="preserve">en </w:t>
      </w:r>
      <w:r>
        <w:t>rat</w:t>
      </w:r>
      <w:r w:rsidR="00E16BE2">
        <w:t>s were</w:t>
      </w:r>
      <w:r>
        <w:t xml:space="preserve"> exposed to 5,100 ppm (12</w:t>
      </w:r>
      <w:r w:rsidR="0035159A">
        <w:t>.</w:t>
      </w:r>
      <w:r>
        <w:t>75 mg/</w:t>
      </w:r>
      <w:r w:rsidR="0035159A">
        <w:t>L</w:t>
      </w:r>
      <w:r>
        <w:t xml:space="preserve">) nitromethane </w:t>
      </w:r>
      <w:r w:rsidR="00E16BE2">
        <w:t xml:space="preserve">vapour </w:t>
      </w:r>
      <w:r>
        <w:t>for one hour</w:t>
      </w:r>
      <w:r w:rsidR="00E16BE2">
        <w:t>.  Mild sedation and eye irritation were observed and none of the rats died within the 48-hour post exposure observation period.  Therefore, t</w:t>
      </w:r>
      <w:r>
        <w:t>he 1-hour LC</w:t>
      </w:r>
      <w:r>
        <w:rPr>
          <w:vertAlign w:val="subscript"/>
        </w:rPr>
        <w:t>50</w:t>
      </w:r>
      <w:r>
        <w:t xml:space="preserve"> value was &gt; 5,100 ppm</w:t>
      </w:r>
      <w:r w:rsidR="00E16BE2">
        <w:t xml:space="preserve"> (Baldwin, 1956)</w:t>
      </w:r>
      <w:r>
        <w:t xml:space="preserve">. </w:t>
      </w:r>
      <w:r w:rsidDel="007C256E">
        <w:t xml:space="preserve"> </w:t>
      </w:r>
      <w:r w:rsidR="006D7018">
        <w:t>In a</w:t>
      </w:r>
      <w:r w:rsidR="00E16BE2">
        <w:t>nother</w:t>
      </w:r>
      <w:r w:rsidR="006D7018">
        <w:t xml:space="preserve"> study</w:t>
      </w:r>
      <w:r w:rsidR="00365729">
        <w:t xml:space="preserve"> of limited reliability</w:t>
      </w:r>
      <w:r w:rsidR="00E16BE2">
        <w:t>,</w:t>
      </w:r>
      <w:r w:rsidR="006D7018">
        <w:t xml:space="preserve"> </w:t>
      </w:r>
      <w:r w:rsidR="00BC4847" w:rsidRPr="00DD3B59">
        <w:rPr>
          <w:color w:val="000000"/>
        </w:rPr>
        <w:t xml:space="preserve">the only rat exposed to 13,000 ppm nitromethane </w:t>
      </w:r>
      <w:proofErr w:type="gramStart"/>
      <w:r w:rsidR="00BC4847" w:rsidRPr="00DD3B59">
        <w:rPr>
          <w:color w:val="000000"/>
        </w:rPr>
        <w:t>(33 g/m3)</w:t>
      </w:r>
      <w:proofErr w:type="gramEnd"/>
      <w:r w:rsidR="00BC4847" w:rsidRPr="00DD3B59">
        <w:rPr>
          <w:color w:val="000000"/>
        </w:rPr>
        <w:t xml:space="preserve"> died after 6 hours.  </w:t>
      </w:r>
      <w:r w:rsidR="00BC4847">
        <w:rPr>
          <w:color w:val="000000"/>
        </w:rPr>
        <w:t xml:space="preserve">Of </w:t>
      </w:r>
      <w:r w:rsidR="00BC4847" w:rsidRPr="00DD3B59">
        <w:rPr>
          <w:color w:val="000000"/>
        </w:rPr>
        <w:t>4 rats exposed to 2,500 ppm (6.3 g/m3), 6 hours/day for 4 consecutive days</w:t>
      </w:r>
      <w:r w:rsidR="00BC4847">
        <w:rPr>
          <w:color w:val="000000"/>
        </w:rPr>
        <w:t xml:space="preserve">, </w:t>
      </w:r>
      <w:r w:rsidR="00BC4847" w:rsidRPr="00DD3B59">
        <w:rPr>
          <w:color w:val="000000"/>
        </w:rPr>
        <w:t xml:space="preserve">animals died after the 4th day.  All 15 animals exposed to 500 ppm (1.27 g/m3) 6 hours/day for 3 weeks survived until termination.  The amount of </w:t>
      </w:r>
      <w:r w:rsidR="00BC4847">
        <w:rPr>
          <w:color w:val="000000"/>
        </w:rPr>
        <w:t>methemoglobin</w:t>
      </w:r>
      <w:r w:rsidR="00BC4847" w:rsidRPr="00DD3B59">
        <w:rPr>
          <w:color w:val="000000"/>
        </w:rPr>
        <w:t xml:space="preserve"> found after exposure was &lt; 1% </w:t>
      </w:r>
      <w:r>
        <w:t>(</w:t>
      </w:r>
      <w:r w:rsidRPr="0047649D">
        <w:t xml:space="preserve">Dequidt </w:t>
      </w:r>
      <w:r w:rsidRPr="0047649D">
        <w:rPr>
          <w:i/>
        </w:rPr>
        <w:t>et al</w:t>
      </w:r>
      <w:r w:rsidRPr="0047649D">
        <w:t>., 1973)</w:t>
      </w:r>
      <w:r w:rsidR="005A2AEC">
        <w:t>.</w:t>
      </w:r>
      <w:r w:rsidR="00397CD9">
        <w:t xml:space="preserve">  </w:t>
      </w:r>
    </w:p>
    <w:p w:rsidR="00A15739" w:rsidRDefault="00A15739" w:rsidP="00F37C80">
      <w:pPr>
        <w:jc w:val="both"/>
        <w:rPr>
          <w:i/>
          <w:u w:val="single"/>
        </w:rPr>
      </w:pPr>
    </w:p>
    <w:p w:rsidR="00204A39" w:rsidRPr="00174F17" w:rsidRDefault="00204A39" w:rsidP="00F37C80">
      <w:pPr>
        <w:pStyle w:val="Heading9"/>
        <w:jc w:val="both"/>
      </w:pPr>
      <w:r w:rsidRPr="00174F17">
        <w:t>Dermal</w:t>
      </w:r>
    </w:p>
    <w:p w:rsidR="00762F40" w:rsidRDefault="00762F40" w:rsidP="00F37C80">
      <w:pPr>
        <w:jc w:val="both"/>
        <w:rPr>
          <w:rStyle w:val="BodyTextChar1"/>
        </w:rPr>
      </w:pPr>
      <w:proofErr w:type="gramStart"/>
      <w:r w:rsidRPr="00762F40">
        <w:rPr>
          <w:rStyle w:val="BodyTextChar1"/>
          <w:i/>
          <w:u w:val="single"/>
        </w:rPr>
        <w:t>Nitromethane</w:t>
      </w:r>
      <w:r w:rsidR="009130BF">
        <w:rPr>
          <w:rStyle w:val="BodyTextChar1"/>
          <w:i/>
        </w:rPr>
        <w:t>.</w:t>
      </w:r>
      <w:proofErr w:type="gramEnd"/>
      <w:r w:rsidR="009130BF">
        <w:rPr>
          <w:rStyle w:val="BodyTextChar1"/>
          <w:i/>
        </w:rPr>
        <w:t xml:space="preserve">  </w:t>
      </w:r>
      <w:r w:rsidR="0038396E">
        <w:rPr>
          <w:rStyle w:val="BodyTextChar1"/>
        </w:rPr>
        <w:t>New Zealand White rabbits (</w:t>
      </w:r>
      <w:r w:rsidR="00DA6643">
        <w:rPr>
          <w:rStyle w:val="BodyTextChar1"/>
        </w:rPr>
        <w:t>5</w:t>
      </w:r>
      <w:r w:rsidR="0038396E">
        <w:rPr>
          <w:rStyle w:val="BodyTextChar1"/>
        </w:rPr>
        <w:t xml:space="preserve">/sex) were exposed to a single dose of 2000 mg/kg nitromethane </w:t>
      </w:r>
      <w:r w:rsidR="002A3C40">
        <w:rPr>
          <w:rStyle w:val="BodyTextChar1"/>
        </w:rPr>
        <w:t xml:space="preserve">for 24 hours </w:t>
      </w:r>
      <w:r w:rsidR="0038396E">
        <w:rPr>
          <w:rStyle w:val="BodyTextChar1"/>
        </w:rPr>
        <w:t xml:space="preserve">and observed for 14 days.  </w:t>
      </w:r>
      <w:r w:rsidR="00DA6643">
        <w:rPr>
          <w:rStyle w:val="BodyTextChar1"/>
        </w:rPr>
        <w:t xml:space="preserve"> </w:t>
      </w:r>
      <w:r w:rsidR="002A3C40" w:rsidRPr="00825D0F">
        <w:t>The skin area was then covered with gauze</w:t>
      </w:r>
      <w:r w:rsidR="002A3C40">
        <w:t xml:space="preserve"> </w:t>
      </w:r>
      <w:r w:rsidR="002A3C40" w:rsidRPr="00825D0F">
        <w:t>and a sheet of impervious rubberized cloth to prevent any loss</w:t>
      </w:r>
      <w:r w:rsidR="002A3C40">
        <w:t xml:space="preserve"> </w:t>
      </w:r>
      <w:r w:rsidR="002A3C40" w:rsidRPr="00825D0F">
        <w:t>of the test material.</w:t>
      </w:r>
      <w:r w:rsidR="002A3C40">
        <w:t xml:space="preserve">  </w:t>
      </w:r>
      <w:r w:rsidR="0038396E">
        <w:rPr>
          <w:rStyle w:val="BodyTextChar1"/>
        </w:rPr>
        <w:t>One male died on day</w:t>
      </w:r>
      <w:r w:rsidR="00A15739">
        <w:rPr>
          <w:rStyle w:val="BodyTextChar1"/>
        </w:rPr>
        <w:t xml:space="preserve"> </w:t>
      </w:r>
      <w:r w:rsidR="0038396E">
        <w:rPr>
          <w:rStyle w:val="BodyTextChar1"/>
        </w:rPr>
        <w:t>4</w:t>
      </w:r>
      <w:r w:rsidR="0035159A">
        <w:rPr>
          <w:rStyle w:val="BodyTextChar1"/>
        </w:rPr>
        <w:t>;</w:t>
      </w:r>
      <w:r w:rsidR="00BA6756">
        <w:rPr>
          <w:rStyle w:val="BodyTextChar1"/>
        </w:rPr>
        <w:t xml:space="preserve"> t</w:t>
      </w:r>
      <w:r w:rsidR="0038396E">
        <w:rPr>
          <w:rStyle w:val="BodyTextChar1"/>
        </w:rPr>
        <w:t xml:space="preserve">here </w:t>
      </w:r>
      <w:r w:rsidR="00A15739">
        <w:rPr>
          <w:rStyle w:val="BodyTextChar1"/>
        </w:rPr>
        <w:t>was</w:t>
      </w:r>
      <w:r w:rsidR="0038396E">
        <w:rPr>
          <w:rStyle w:val="BodyTextChar1"/>
        </w:rPr>
        <w:t xml:space="preserve"> evidence of a lung infection and discharge around the nose</w:t>
      </w:r>
      <w:r w:rsidR="0035159A">
        <w:rPr>
          <w:rStyle w:val="BodyTextChar1"/>
        </w:rPr>
        <w:t xml:space="preserve"> in this male and in </w:t>
      </w:r>
      <w:r w:rsidR="0038396E">
        <w:rPr>
          <w:rStyle w:val="BodyTextChar1"/>
        </w:rPr>
        <w:t xml:space="preserve">a female that survived. </w:t>
      </w:r>
      <w:r w:rsidR="0035159A">
        <w:rPr>
          <w:rStyle w:val="BodyTextChar1"/>
        </w:rPr>
        <w:t xml:space="preserve"> </w:t>
      </w:r>
      <w:r w:rsidR="005915E6">
        <w:rPr>
          <w:rStyle w:val="BodyTextChar1"/>
        </w:rPr>
        <w:t>N</w:t>
      </w:r>
      <w:r w:rsidR="0038396E">
        <w:rPr>
          <w:rStyle w:val="BodyTextChar1"/>
        </w:rPr>
        <w:t>o</w:t>
      </w:r>
      <w:r w:rsidR="005915E6">
        <w:rPr>
          <w:rStyle w:val="BodyTextChar1"/>
        </w:rPr>
        <w:t>ne of the surviving animals had</w:t>
      </w:r>
      <w:r w:rsidR="0038396E">
        <w:rPr>
          <w:rStyle w:val="BodyTextChar1"/>
        </w:rPr>
        <w:t xml:space="preserve"> evidence of skin irritation and </w:t>
      </w:r>
      <w:r w:rsidR="005915E6">
        <w:rPr>
          <w:rStyle w:val="BodyTextChar1"/>
        </w:rPr>
        <w:t xml:space="preserve">the </w:t>
      </w:r>
      <w:r w:rsidR="0038396E">
        <w:rPr>
          <w:rStyle w:val="BodyTextChar1"/>
        </w:rPr>
        <w:t xml:space="preserve">abrasions healed by day 14.  Animals gained weight normally.  </w:t>
      </w:r>
      <w:r w:rsidRPr="00762F40">
        <w:rPr>
          <w:rStyle w:val="BodyTextChar1"/>
        </w:rPr>
        <w:t>The dermal LD</w:t>
      </w:r>
      <w:r w:rsidRPr="00762F40">
        <w:rPr>
          <w:rStyle w:val="BodyTextChar1"/>
          <w:vertAlign w:val="subscript"/>
        </w:rPr>
        <w:t>50</w:t>
      </w:r>
      <w:r w:rsidRPr="00762F40">
        <w:rPr>
          <w:rStyle w:val="BodyTextChar1"/>
        </w:rPr>
        <w:t xml:space="preserve"> </w:t>
      </w:r>
      <w:r>
        <w:rPr>
          <w:rStyle w:val="BodyTextChar1"/>
        </w:rPr>
        <w:t>was</w:t>
      </w:r>
      <w:r w:rsidRPr="00762F40">
        <w:rPr>
          <w:rStyle w:val="BodyTextChar1"/>
        </w:rPr>
        <w:t xml:space="preserve"> &gt; 2,000 mg/kg </w:t>
      </w:r>
      <w:proofErr w:type="gramStart"/>
      <w:r w:rsidR="00A15739">
        <w:rPr>
          <w:rStyle w:val="BodyTextChar1"/>
        </w:rPr>
        <w:t>bw</w:t>
      </w:r>
      <w:proofErr w:type="gramEnd"/>
      <w:r w:rsidR="005A1336">
        <w:rPr>
          <w:rStyle w:val="BodyTextChar1"/>
        </w:rPr>
        <w:t xml:space="preserve"> </w:t>
      </w:r>
      <w:r w:rsidR="005A1336">
        <w:t>(IMC, 1980b)</w:t>
      </w:r>
      <w:r w:rsidRPr="00762F40">
        <w:rPr>
          <w:rStyle w:val="BodyTextChar1"/>
        </w:rPr>
        <w:t xml:space="preserve">.   </w:t>
      </w:r>
    </w:p>
    <w:p w:rsidR="00472971" w:rsidRDefault="00472971" w:rsidP="00F37C80">
      <w:pPr>
        <w:jc w:val="both"/>
        <w:rPr>
          <w:rStyle w:val="BodyTextChar1"/>
        </w:rPr>
      </w:pPr>
    </w:p>
    <w:p w:rsidR="00CE20DB" w:rsidRDefault="00472971" w:rsidP="00F37C80">
      <w:pPr>
        <w:autoSpaceDE w:val="0"/>
        <w:autoSpaceDN w:val="0"/>
        <w:adjustRightInd w:val="0"/>
        <w:jc w:val="both"/>
      </w:pPr>
      <w:proofErr w:type="gramStart"/>
      <w:r w:rsidRPr="00472971">
        <w:rPr>
          <w:rStyle w:val="BodyTextChar1"/>
          <w:i/>
          <w:u w:val="single"/>
        </w:rPr>
        <w:t>Nitroethane</w:t>
      </w:r>
      <w:r w:rsidR="009130BF">
        <w:rPr>
          <w:rStyle w:val="BodyTextChar1"/>
          <w:i/>
        </w:rPr>
        <w:t>.</w:t>
      </w:r>
      <w:proofErr w:type="gramEnd"/>
      <w:r w:rsidR="009130BF">
        <w:rPr>
          <w:rStyle w:val="BodyTextChar1"/>
          <w:i/>
        </w:rPr>
        <w:t xml:space="preserve">  </w:t>
      </w:r>
      <w:r w:rsidR="00DA6643">
        <w:rPr>
          <w:rStyle w:val="BodyTextChar1"/>
        </w:rPr>
        <w:t xml:space="preserve">New Zealand White rabbits (5/sex) were exposed to a single dose of 2000 mg/kg nitroethane </w:t>
      </w:r>
      <w:r w:rsidR="00825D0F">
        <w:rPr>
          <w:rStyle w:val="BodyTextChar1"/>
        </w:rPr>
        <w:t xml:space="preserve">for 24 hours </w:t>
      </w:r>
      <w:r w:rsidR="00DA6643">
        <w:rPr>
          <w:rStyle w:val="BodyTextChar1"/>
        </w:rPr>
        <w:t xml:space="preserve">and observed for 14 </w:t>
      </w:r>
      <w:r w:rsidR="00DA6643" w:rsidRPr="00825D0F">
        <w:rPr>
          <w:rStyle w:val="BodyTextChar1"/>
        </w:rPr>
        <w:t xml:space="preserve">days.  </w:t>
      </w:r>
      <w:r w:rsidR="00B320DF" w:rsidRPr="00F37C80">
        <w:t>The skin area was then covered with gauze</w:t>
      </w:r>
      <w:r w:rsidR="00825D0F">
        <w:t xml:space="preserve"> </w:t>
      </w:r>
      <w:r w:rsidR="00B320DF" w:rsidRPr="00F37C80">
        <w:t>and a sheet of impervious rubberized cloth to prevent any loss</w:t>
      </w:r>
      <w:r w:rsidR="00825D0F">
        <w:t xml:space="preserve"> </w:t>
      </w:r>
      <w:r w:rsidR="00B320DF" w:rsidRPr="00F37C80">
        <w:t>of the test material.</w:t>
      </w:r>
      <w:r w:rsidR="00825D0F">
        <w:t xml:space="preserve">  </w:t>
      </w:r>
      <w:r w:rsidR="00DA6643" w:rsidRPr="00825D0F">
        <w:t>No mortality</w:t>
      </w:r>
      <w:r w:rsidR="00555116">
        <w:t xml:space="preserve"> </w:t>
      </w:r>
      <w:proofErr w:type="gramStart"/>
      <w:r w:rsidR="00555116">
        <w:t xml:space="preserve">or  </w:t>
      </w:r>
      <w:r w:rsidR="00DA6643">
        <w:t>clinical</w:t>
      </w:r>
      <w:proofErr w:type="gramEnd"/>
      <w:r w:rsidR="00DA6643">
        <w:t xml:space="preserve"> signs of toxicity were observed.  </w:t>
      </w:r>
      <w:r w:rsidR="00DA6643">
        <w:rPr>
          <w:rStyle w:val="BodyTextChar1"/>
        </w:rPr>
        <w:t xml:space="preserve">There was no evidence of skin irritation and abrasions healed by day 14.  Animals gained weight normally.  </w:t>
      </w:r>
      <w:r w:rsidR="009A4271">
        <w:t>The dermal LD</w:t>
      </w:r>
      <w:r w:rsidR="009A4271">
        <w:rPr>
          <w:vertAlign w:val="subscript"/>
        </w:rPr>
        <w:t>50</w:t>
      </w:r>
      <w:r w:rsidR="009A4271">
        <w:t xml:space="preserve"> was &gt; 2,000 mg/kg </w:t>
      </w:r>
      <w:proofErr w:type="gramStart"/>
      <w:r w:rsidR="00AB3647">
        <w:t>bw</w:t>
      </w:r>
      <w:proofErr w:type="gramEnd"/>
      <w:r w:rsidR="00AB3647">
        <w:t xml:space="preserve"> </w:t>
      </w:r>
      <w:r w:rsidR="009A4271">
        <w:t xml:space="preserve">(Parekh and Wilbur, 1982a).    </w:t>
      </w:r>
      <w:r w:rsidR="00A869B8">
        <w:t xml:space="preserve">  </w:t>
      </w:r>
    </w:p>
    <w:p w:rsidR="00472971" w:rsidRDefault="00472971" w:rsidP="00F37C80">
      <w:pPr>
        <w:jc w:val="both"/>
      </w:pPr>
      <w:proofErr w:type="gramStart"/>
      <w:r w:rsidRPr="00472971">
        <w:rPr>
          <w:i/>
          <w:u w:val="single"/>
        </w:rPr>
        <w:t>1-Nitropropane</w:t>
      </w:r>
      <w:r w:rsidR="009130BF">
        <w:rPr>
          <w:i/>
        </w:rPr>
        <w:t>.</w:t>
      </w:r>
      <w:proofErr w:type="gramEnd"/>
      <w:r w:rsidR="009130BF">
        <w:rPr>
          <w:i/>
        </w:rPr>
        <w:t xml:space="preserve">  </w:t>
      </w:r>
      <w:r w:rsidR="00DA6643">
        <w:rPr>
          <w:rStyle w:val="BodyTextChar1"/>
        </w:rPr>
        <w:t xml:space="preserve">Rabbits (5/sex) were exposed to a single dose of 2000 mg/kg nitropropane </w:t>
      </w:r>
      <w:r w:rsidR="00825D0F">
        <w:rPr>
          <w:rStyle w:val="BodyTextChar1"/>
        </w:rPr>
        <w:t xml:space="preserve">for 24 hours </w:t>
      </w:r>
      <w:r w:rsidR="00DA6643">
        <w:rPr>
          <w:rStyle w:val="BodyTextChar1"/>
        </w:rPr>
        <w:t xml:space="preserve">and observed for 14 days.  </w:t>
      </w:r>
      <w:r w:rsidR="00825D0F" w:rsidRPr="00825D0F">
        <w:t>The skin area was then covered with</w:t>
      </w:r>
      <w:r w:rsidR="00555116">
        <w:t xml:space="preserve"> </w:t>
      </w:r>
      <w:r w:rsidR="00825D0F" w:rsidRPr="00825D0F">
        <w:t>gauze</w:t>
      </w:r>
      <w:r w:rsidR="00825D0F">
        <w:t xml:space="preserve"> </w:t>
      </w:r>
      <w:r w:rsidR="00825D0F" w:rsidRPr="00825D0F">
        <w:t>and a sheet of impervious rubberized cloth to prevent any loss</w:t>
      </w:r>
      <w:r w:rsidR="00825D0F">
        <w:t xml:space="preserve"> </w:t>
      </w:r>
      <w:r w:rsidR="00825D0F" w:rsidRPr="00825D0F">
        <w:t>of the test material.</w:t>
      </w:r>
      <w:r w:rsidR="00825D0F">
        <w:t xml:space="preserve">  </w:t>
      </w:r>
      <w:r w:rsidR="00DA6643">
        <w:rPr>
          <w:rStyle w:val="BodyTextChar1"/>
        </w:rPr>
        <w:t xml:space="preserve">No mortality </w:t>
      </w:r>
      <w:r w:rsidR="00AB3647">
        <w:rPr>
          <w:rStyle w:val="BodyTextChar1"/>
        </w:rPr>
        <w:t xml:space="preserve">or </w:t>
      </w:r>
      <w:r w:rsidR="00DA6643">
        <w:t xml:space="preserve">clinical signs of toxicity were observed.  </w:t>
      </w:r>
      <w:r w:rsidR="00DA6643">
        <w:rPr>
          <w:rStyle w:val="BodyTextChar1"/>
        </w:rPr>
        <w:t xml:space="preserve">There was no evidence of skin irritation and abrasions healed by day 14.  Animals gained weight normally.  Gross necropsies were normal with the exception of one female with a lung infection and another with a neck cyst and a maxillary tumour.  </w:t>
      </w:r>
      <w:r>
        <w:t>The dermal LD</w:t>
      </w:r>
      <w:r>
        <w:rPr>
          <w:vertAlign w:val="subscript"/>
        </w:rPr>
        <w:t>50</w:t>
      </w:r>
      <w:r>
        <w:t xml:space="preserve"> </w:t>
      </w:r>
      <w:r w:rsidR="00DA6643">
        <w:t>was</w:t>
      </w:r>
      <w:r>
        <w:t xml:space="preserve"> &gt; 2,000 mg/kg </w:t>
      </w:r>
      <w:proofErr w:type="gramStart"/>
      <w:r w:rsidR="00AB3647">
        <w:t>bw</w:t>
      </w:r>
      <w:proofErr w:type="gramEnd"/>
      <w:r>
        <w:t xml:space="preserve"> (Parekh, 1981b).  </w:t>
      </w:r>
    </w:p>
    <w:p w:rsidR="00204A39" w:rsidRPr="00FD325B" w:rsidRDefault="000A3308" w:rsidP="00434242">
      <w:pPr>
        <w:pStyle w:val="Caption"/>
        <w:ind w:hanging="839"/>
        <w:jc w:val="both"/>
        <w:rPr>
          <w:rFonts w:ascii="Times New Roman" w:hAnsi="Times New Roman"/>
          <w:bCs w:val="0"/>
        </w:rPr>
      </w:pPr>
      <w:bookmarkStart w:id="73" w:name="_Toc264544916"/>
      <w:bookmarkStart w:id="74" w:name="_Toc266716150"/>
      <w:r>
        <w:t xml:space="preserve"> </w:t>
      </w:r>
      <w:r w:rsidR="008105BE">
        <w:t xml:space="preserve">Table </w:t>
      </w:r>
      <w:r w:rsidR="00B320DF">
        <w:fldChar w:fldCharType="begin"/>
      </w:r>
      <w:r w:rsidR="008105BE">
        <w:instrText xml:space="preserve"> SEQ Table \* ARABIC </w:instrText>
      </w:r>
      <w:r w:rsidR="00B320DF">
        <w:fldChar w:fldCharType="separate"/>
      </w:r>
      <w:r w:rsidR="006263B7">
        <w:rPr>
          <w:noProof/>
        </w:rPr>
        <w:t>7</w:t>
      </w:r>
      <w:r w:rsidR="00B320DF">
        <w:fldChar w:fldCharType="end"/>
      </w:r>
      <w:r w:rsidR="009C4A54">
        <w:t xml:space="preserve">  </w:t>
      </w:r>
      <w:r w:rsidR="008105BE">
        <w:t>Summary of acute dermal toxicity (rabbits)</w:t>
      </w:r>
      <w:bookmarkEnd w:id="73"/>
      <w:bookmarkEnd w:id="74"/>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69"/>
        <w:gridCol w:w="2291"/>
        <w:gridCol w:w="2559"/>
        <w:gridCol w:w="2540"/>
      </w:tblGrid>
      <w:tr w:rsidR="00825D0F" w:rsidRPr="00A171B1" w:rsidTr="00434242">
        <w:tc>
          <w:tcPr>
            <w:tcW w:w="2212" w:type="dxa"/>
            <w:tcBorders>
              <w:top w:val="single" w:sz="12" w:space="0" w:color="auto"/>
              <w:bottom w:val="single" w:sz="12" w:space="0" w:color="auto"/>
            </w:tcBorders>
          </w:tcPr>
          <w:p w:rsidR="00825D0F" w:rsidRPr="00434242" w:rsidRDefault="00825D0F"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Test Substance</w:t>
            </w:r>
          </w:p>
        </w:tc>
        <w:tc>
          <w:tcPr>
            <w:tcW w:w="2359" w:type="dxa"/>
            <w:tcBorders>
              <w:top w:val="single" w:sz="12" w:space="0" w:color="auto"/>
              <w:bottom w:val="single" w:sz="12" w:space="0" w:color="auto"/>
            </w:tcBorders>
          </w:tcPr>
          <w:p w:rsidR="00AB3647" w:rsidRPr="00434242" w:rsidRDefault="00825D0F"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Duration of Exposure</w:t>
            </w:r>
            <w:r w:rsidR="00AB3647" w:rsidRPr="00434242">
              <w:rPr>
                <w:rFonts w:ascii="Times New Roman" w:hAnsi="Times New Roman" w:cs="Times New Roman"/>
                <w:b/>
                <w:szCs w:val="20"/>
                <w:lang w:val="en-US"/>
              </w:rPr>
              <w:t>/</w:t>
            </w:r>
          </w:p>
          <w:p w:rsidR="00825D0F" w:rsidRPr="00434242" w:rsidRDefault="00AB3647"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Occlusion</w:t>
            </w:r>
          </w:p>
        </w:tc>
        <w:tc>
          <w:tcPr>
            <w:tcW w:w="2662" w:type="dxa"/>
            <w:tcBorders>
              <w:top w:val="single" w:sz="12" w:space="0" w:color="auto"/>
              <w:bottom w:val="single" w:sz="12" w:space="0" w:color="auto"/>
            </w:tcBorders>
          </w:tcPr>
          <w:p w:rsidR="00825D0F" w:rsidRPr="00434242" w:rsidRDefault="00825D0F"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LD</w:t>
            </w:r>
            <w:r w:rsidRPr="00434242">
              <w:rPr>
                <w:rFonts w:ascii="Times New Roman" w:hAnsi="Times New Roman" w:cs="Times New Roman"/>
                <w:b/>
                <w:szCs w:val="20"/>
                <w:vertAlign w:val="subscript"/>
                <w:lang w:val="en-US"/>
              </w:rPr>
              <w:t>50</w:t>
            </w:r>
          </w:p>
        </w:tc>
        <w:tc>
          <w:tcPr>
            <w:tcW w:w="2622" w:type="dxa"/>
            <w:tcBorders>
              <w:top w:val="single" w:sz="12" w:space="0" w:color="auto"/>
              <w:bottom w:val="single" w:sz="12" w:space="0" w:color="auto"/>
            </w:tcBorders>
          </w:tcPr>
          <w:p w:rsidR="00825D0F" w:rsidRPr="00434242" w:rsidRDefault="00825D0F"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Reference</w:t>
            </w:r>
          </w:p>
        </w:tc>
      </w:tr>
      <w:tr w:rsidR="00825D0F" w:rsidRPr="00FD325B" w:rsidTr="00434242">
        <w:trPr>
          <w:trHeight w:val="282"/>
        </w:trPr>
        <w:tc>
          <w:tcPr>
            <w:tcW w:w="2212" w:type="dxa"/>
            <w:tcBorders>
              <w:top w:val="single" w:sz="12" w:space="0" w:color="auto"/>
            </w:tcBorders>
            <w:vAlign w:val="center"/>
          </w:tcPr>
          <w:p w:rsidR="00825D0F" w:rsidRPr="00434242" w:rsidRDefault="00825D0F"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Nitromethane</w:t>
            </w:r>
          </w:p>
          <w:p w:rsidR="00825D0F" w:rsidRPr="00434242" w:rsidRDefault="00825D0F" w:rsidP="00434242">
            <w:pPr>
              <w:pStyle w:val="MSDS-TUZeile"/>
              <w:jc w:val="center"/>
              <w:rPr>
                <w:szCs w:val="20"/>
                <w:lang w:val="en-US"/>
              </w:rPr>
            </w:pPr>
          </w:p>
        </w:tc>
        <w:tc>
          <w:tcPr>
            <w:tcW w:w="2359" w:type="dxa"/>
            <w:tcBorders>
              <w:top w:val="single" w:sz="12" w:space="0" w:color="auto"/>
            </w:tcBorders>
          </w:tcPr>
          <w:p w:rsidR="00825D0F" w:rsidRPr="00434242" w:rsidRDefault="002A3C40" w:rsidP="00434242">
            <w:pPr>
              <w:pStyle w:val="MSDS-TUZeile"/>
              <w:ind w:left="0"/>
              <w:jc w:val="center"/>
              <w:rPr>
                <w:rFonts w:ascii="Times New Roman" w:hAnsi="Times New Roman" w:cs="Times New Roman"/>
                <w:szCs w:val="20"/>
              </w:rPr>
            </w:pPr>
            <w:r w:rsidRPr="00434242">
              <w:rPr>
                <w:rFonts w:ascii="Times New Roman" w:hAnsi="Times New Roman" w:cs="Times New Roman"/>
                <w:szCs w:val="20"/>
              </w:rPr>
              <w:t>24 hours</w:t>
            </w:r>
            <w:r w:rsidR="00AB3647" w:rsidRPr="00434242">
              <w:rPr>
                <w:rFonts w:ascii="Times New Roman" w:hAnsi="Times New Roman" w:cs="Times New Roman"/>
                <w:szCs w:val="20"/>
              </w:rPr>
              <w:t>; occluded</w:t>
            </w:r>
          </w:p>
        </w:tc>
        <w:tc>
          <w:tcPr>
            <w:tcW w:w="2662" w:type="dxa"/>
            <w:tcBorders>
              <w:top w:val="single" w:sz="12" w:space="0" w:color="auto"/>
            </w:tcBorders>
          </w:tcPr>
          <w:p w:rsidR="00825D0F" w:rsidRPr="00434242" w:rsidRDefault="00825D0F" w:rsidP="00434242">
            <w:pPr>
              <w:pStyle w:val="MSDS-TUZeile"/>
              <w:ind w:left="0"/>
              <w:jc w:val="center"/>
              <w:rPr>
                <w:rFonts w:ascii="Times New Roman" w:hAnsi="Times New Roman" w:cs="Times New Roman"/>
                <w:szCs w:val="20"/>
              </w:rPr>
            </w:pPr>
            <w:r w:rsidRPr="00434242">
              <w:rPr>
                <w:rFonts w:ascii="Times New Roman" w:hAnsi="Times New Roman" w:cs="Times New Roman"/>
                <w:szCs w:val="20"/>
              </w:rPr>
              <w:t>&gt; 2000 mg/kg</w:t>
            </w:r>
          </w:p>
        </w:tc>
        <w:tc>
          <w:tcPr>
            <w:tcW w:w="2622" w:type="dxa"/>
            <w:tcBorders>
              <w:top w:val="single" w:sz="12" w:space="0" w:color="auto"/>
            </w:tcBorders>
          </w:tcPr>
          <w:p w:rsidR="00825D0F" w:rsidRPr="00434242" w:rsidRDefault="00825D0F" w:rsidP="00434242">
            <w:pPr>
              <w:pStyle w:val="MSDS-TUZeile"/>
              <w:ind w:left="30"/>
              <w:jc w:val="center"/>
              <w:rPr>
                <w:rFonts w:ascii="Times New Roman" w:hAnsi="Times New Roman" w:cs="Times New Roman"/>
                <w:snapToGrid w:val="0"/>
                <w:szCs w:val="20"/>
                <w:lang w:val="en-US"/>
              </w:rPr>
            </w:pPr>
            <w:r w:rsidRPr="00434242">
              <w:rPr>
                <w:rFonts w:ascii="Times New Roman" w:hAnsi="Times New Roman" w:cs="Times New Roman"/>
                <w:szCs w:val="20"/>
              </w:rPr>
              <w:t>IMC, 1980b</w:t>
            </w:r>
          </w:p>
        </w:tc>
      </w:tr>
      <w:tr w:rsidR="00825D0F" w:rsidRPr="00FD325B" w:rsidTr="00434242">
        <w:trPr>
          <w:trHeight w:val="354"/>
        </w:trPr>
        <w:tc>
          <w:tcPr>
            <w:tcW w:w="2212" w:type="dxa"/>
            <w:vAlign w:val="center"/>
          </w:tcPr>
          <w:p w:rsidR="00825D0F" w:rsidRPr="00434242" w:rsidRDefault="00825D0F"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Nitroethane</w:t>
            </w:r>
          </w:p>
          <w:p w:rsidR="00825D0F" w:rsidRPr="00434242" w:rsidRDefault="00825D0F" w:rsidP="00434242">
            <w:pPr>
              <w:pStyle w:val="MSDS-TUZeile"/>
              <w:jc w:val="center"/>
              <w:rPr>
                <w:szCs w:val="20"/>
                <w:lang w:val="en-US"/>
              </w:rPr>
            </w:pPr>
          </w:p>
        </w:tc>
        <w:tc>
          <w:tcPr>
            <w:tcW w:w="2359" w:type="dxa"/>
          </w:tcPr>
          <w:p w:rsidR="00825D0F" w:rsidRPr="00434242" w:rsidRDefault="00825D0F" w:rsidP="00434242">
            <w:pPr>
              <w:pStyle w:val="MSDS-TZeile"/>
              <w:ind w:left="0"/>
              <w:jc w:val="center"/>
              <w:rPr>
                <w:rFonts w:ascii="Times New Roman" w:hAnsi="Times New Roman" w:cs="Times New Roman"/>
                <w:szCs w:val="20"/>
              </w:rPr>
            </w:pPr>
            <w:r w:rsidRPr="00434242">
              <w:rPr>
                <w:rFonts w:ascii="Times New Roman" w:hAnsi="Times New Roman" w:cs="Times New Roman"/>
                <w:szCs w:val="20"/>
              </w:rPr>
              <w:t>24 hour</w:t>
            </w:r>
            <w:r w:rsidR="002A3C40" w:rsidRPr="00434242">
              <w:rPr>
                <w:rFonts w:ascii="Times New Roman" w:hAnsi="Times New Roman" w:cs="Times New Roman"/>
                <w:szCs w:val="20"/>
              </w:rPr>
              <w:t>s</w:t>
            </w:r>
            <w:r w:rsidR="00AB3647" w:rsidRPr="00434242">
              <w:rPr>
                <w:rFonts w:ascii="Times New Roman" w:hAnsi="Times New Roman" w:cs="Times New Roman"/>
                <w:szCs w:val="20"/>
              </w:rPr>
              <w:t>; occluded</w:t>
            </w:r>
          </w:p>
        </w:tc>
        <w:tc>
          <w:tcPr>
            <w:tcW w:w="2662" w:type="dxa"/>
          </w:tcPr>
          <w:p w:rsidR="00825D0F" w:rsidRPr="00434242" w:rsidRDefault="00825D0F" w:rsidP="00434242">
            <w:pPr>
              <w:pStyle w:val="MSDS-TZeile"/>
              <w:ind w:left="0"/>
              <w:jc w:val="center"/>
              <w:rPr>
                <w:rFonts w:ascii="Times New Roman" w:hAnsi="Times New Roman" w:cs="Times New Roman"/>
                <w:szCs w:val="20"/>
              </w:rPr>
            </w:pPr>
            <w:r w:rsidRPr="00434242">
              <w:rPr>
                <w:rFonts w:ascii="Times New Roman" w:hAnsi="Times New Roman" w:cs="Times New Roman"/>
                <w:szCs w:val="20"/>
              </w:rPr>
              <w:t>&gt; 2000 mg/kg</w:t>
            </w:r>
          </w:p>
        </w:tc>
        <w:tc>
          <w:tcPr>
            <w:tcW w:w="2622" w:type="dxa"/>
          </w:tcPr>
          <w:p w:rsidR="00825D0F" w:rsidRPr="00434242" w:rsidRDefault="00825D0F" w:rsidP="00434242">
            <w:pPr>
              <w:pStyle w:val="MSDS-TZeile"/>
              <w:ind w:left="0"/>
              <w:jc w:val="center"/>
              <w:rPr>
                <w:rFonts w:ascii="Times New Roman" w:hAnsi="Times New Roman" w:cs="Times New Roman"/>
                <w:szCs w:val="20"/>
                <w:lang w:val="en-US"/>
              </w:rPr>
            </w:pPr>
            <w:r w:rsidRPr="00434242">
              <w:rPr>
                <w:rFonts w:ascii="Times New Roman" w:hAnsi="Times New Roman" w:cs="Times New Roman"/>
                <w:szCs w:val="20"/>
              </w:rPr>
              <w:t>Parekh and Wilbur, 1982a</w:t>
            </w:r>
          </w:p>
        </w:tc>
      </w:tr>
      <w:tr w:rsidR="00825D0F" w:rsidRPr="00FD325B" w:rsidTr="00434242">
        <w:trPr>
          <w:trHeight w:val="345"/>
        </w:trPr>
        <w:tc>
          <w:tcPr>
            <w:tcW w:w="2212" w:type="dxa"/>
            <w:vAlign w:val="center"/>
          </w:tcPr>
          <w:p w:rsidR="00825D0F" w:rsidRPr="00434242" w:rsidRDefault="00825D0F"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1-Nitropropane</w:t>
            </w:r>
          </w:p>
          <w:p w:rsidR="00825D0F" w:rsidRPr="00434242" w:rsidRDefault="00825D0F" w:rsidP="00434242">
            <w:pPr>
              <w:pStyle w:val="MSDS-TUZeile"/>
              <w:jc w:val="center"/>
              <w:rPr>
                <w:szCs w:val="20"/>
                <w:lang w:val="en-US"/>
              </w:rPr>
            </w:pPr>
          </w:p>
        </w:tc>
        <w:tc>
          <w:tcPr>
            <w:tcW w:w="2359" w:type="dxa"/>
          </w:tcPr>
          <w:p w:rsidR="00825D0F" w:rsidRPr="00434242" w:rsidRDefault="00825D0F" w:rsidP="00434242">
            <w:pPr>
              <w:pStyle w:val="MSDS-TZeile"/>
              <w:ind w:left="0"/>
              <w:jc w:val="center"/>
              <w:rPr>
                <w:rFonts w:ascii="Times New Roman" w:hAnsi="Times New Roman" w:cs="Times New Roman"/>
                <w:szCs w:val="20"/>
              </w:rPr>
            </w:pPr>
            <w:r w:rsidRPr="00434242">
              <w:rPr>
                <w:rFonts w:ascii="Times New Roman" w:hAnsi="Times New Roman" w:cs="Times New Roman"/>
                <w:szCs w:val="20"/>
              </w:rPr>
              <w:t>24 hour</w:t>
            </w:r>
            <w:r w:rsidR="002A3C40" w:rsidRPr="00434242">
              <w:rPr>
                <w:rFonts w:ascii="Times New Roman" w:hAnsi="Times New Roman" w:cs="Times New Roman"/>
                <w:szCs w:val="20"/>
              </w:rPr>
              <w:t>s</w:t>
            </w:r>
            <w:r w:rsidR="00AB3647" w:rsidRPr="00434242">
              <w:rPr>
                <w:rFonts w:ascii="Times New Roman" w:hAnsi="Times New Roman" w:cs="Times New Roman"/>
                <w:szCs w:val="20"/>
              </w:rPr>
              <w:t>; occluded</w:t>
            </w:r>
          </w:p>
        </w:tc>
        <w:tc>
          <w:tcPr>
            <w:tcW w:w="2662" w:type="dxa"/>
          </w:tcPr>
          <w:p w:rsidR="00825D0F" w:rsidRPr="00434242" w:rsidRDefault="00825D0F" w:rsidP="00434242">
            <w:pPr>
              <w:pStyle w:val="MSDS-TZeile"/>
              <w:ind w:left="0"/>
              <w:jc w:val="center"/>
              <w:rPr>
                <w:rFonts w:ascii="Times New Roman" w:hAnsi="Times New Roman" w:cs="Times New Roman"/>
                <w:szCs w:val="20"/>
              </w:rPr>
            </w:pPr>
            <w:r w:rsidRPr="00434242">
              <w:rPr>
                <w:rFonts w:ascii="Times New Roman" w:hAnsi="Times New Roman" w:cs="Times New Roman"/>
                <w:szCs w:val="20"/>
              </w:rPr>
              <w:t>&gt; 2000 mg/kg</w:t>
            </w:r>
          </w:p>
        </w:tc>
        <w:tc>
          <w:tcPr>
            <w:tcW w:w="2622" w:type="dxa"/>
          </w:tcPr>
          <w:p w:rsidR="00825D0F" w:rsidRPr="00434242" w:rsidRDefault="00825D0F" w:rsidP="00434242">
            <w:pPr>
              <w:pStyle w:val="MSDS-TZeile"/>
              <w:ind w:left="0"/>
              <w:jc w:val="center"/>
              <w:rPr>
                <w:rFonts w:ascii="Times New Roman" w:hAnsi="Times New Roman" w:cs="Times New Roman"/>
                <w:snapToGrid w:val="0"/>
                <w:szCs w:val="20"/>
                <w:lang w:val="en-US"/>
              </w:rPr>
            </w:pPr>
            <w:r w:rsidRPr="00434242">
              <w:rPr>
                <w:rFonts w:ascii="Times New Roman" w:hAnsi="Times New Roman" w:cs="Times New Roman"/>
                <w:szCs w:val="20"/>
              </w:rPr>
              <w:t>Parekh, 1981b</w:t>
            </w:r>
          </w:p>
        </w:tc>
      </w:tr>
    </w:tbl>
    <w:p w:rsidR="00204A39" w:rsidRPr="00123FB2" w:rsidRDefault="00204A39" w:rsidP="00F37C80">
      <w:pPr>
        <w:pStyle w:val="MSDS-TZeile"/>
        <w:ind w:left="0"/>
        <w:jc w:val="both"/>
        <w:rPr>
          <w:rFonts w:ascii="Times New Roman" w:hAnsi="Times New Roman" w:cs="Times New Roman"/>
          <w:sz w:val="24"/>
          <w:highlight w:val="cyan"/>
          <w:lang w:val="en-US"/>
        </w:rPr>
      </w:pPr>
    </w:p>
    <w:p w:rsidR="00A15739" w:rsidRPr="00762F40" w:rsidRDefault="00A15739" w:rsidP="00F37C80">
      <w:pPr>
        <w:pStyle w:val="Heading9"/>
        <w:jc w:val="both"/>
      </w:pPr>
      <w:r w:rsidRPr="00762F40">
        <w:t>Oral</w:t>
      </w:r>
    </w:p>
    <w:p w:rsidR="00A15739" w:rsidRDefault="00A15739" w:rsidP="00F37C80">
      <w:pPr>
        <w:jc w:val="both"/>
      </w:pPr>
      <w:proofErr w:type="gramStart"/>
      <w:r w:rsidRPr="00762F40">
        <w:rPr>
          <w:i/>
          <w:u w:val="single"/>
        </w:rPr>
        <w:t>Nitromethane</w:t>
      </w:r>
      <w:r w:rsidR="009130BF">
        <w:rPr>
          <w:i/>
        </w:rPr>
        <w:t>.</w:t>
      </w:r>
      <w:proofErr w:type="gramEnd"/>
      <w:r w:rsidR="009130BF">
        <w:rPr>
          <w:i/>
        </w:rPr>
        <w:t xml:space="preserve">  </w:t>
      </w:r>
      <w:r w:rsidR="00682457">
        <w:t xml:space="preserve">The acute oral toxicity of nitromethane has been tested in several species. </w:t>
      </w:r>
      <w:r w:rsidR="0035159A">
        <w:t xml:space="preserve"> </w:t>
      </w:r>
      <w:r w:rsidR="00751898">
        <w:t xml:space="preserve">In two associated studies, </w:t>
      </w:r>
      <w:r w:rsidR="00682457">
        <w:t>Sprague-Dawley rats (</w:t>
      </w:r>
      <w:r w:rsidR="00C9584A">
        <w:t>10/sex/dose</w:t>
      </w:r>
      <w:r w:rsidR="00682457">
        <w:t>) were administered 0, 60</w:t>
      </w:r>
      <w:r w:rsidR="00751898">
        <w:t>0</w:t>
      </w:r>
      <w:r w:rsidR="00682457">
        <w:t xml:space="preserve">, 800, 1000, 1400 or 1800 mg/kg </w:t>
      </w:r>
      <w:proofErr w:type="gramStart"/>
      <w:r w:rsidR="00682457">
        <w:t>bw</w:t>
      </w:r>
      <w:proofErr w:type="gramEnd"/>
      <w:r w:rsidR="00682457">
        <w:t xml:space="preserve"> nitromethane </w:t>
      </w:r>
      <w:r w:rsidR="00D407F2">
        <w:t>(</w:t>
      </w:r>
      <w:r w:rsidR="00751898">
        <w:t>first study</w:t>
      </w:r>
      <w:r w:rsidR="00D407F2">
        <w:t>)</w:t>
      </w:r>
      <w:r w:rsidR="00751898">
        <w:t xml:space="preserve"> and 0 or 1600 mg/kg bw </w:t>
      </w:r>
      <w:r w:rsidR="00D407F2">
        <w:t>(</w:t>
      </w:r>
      <w:r w:rsidR="00751898">
        <w:t>second study</w:t>
      </w:r>
      <w:r w:rsidR="00D407F2">
        <w:t>)</w:t>
      </w:r>
      <w:r w:rsidR="00751898">
        <w:t xml:space="preserve"> </w:t>
      </w:r>
      <w:r w:rsidR="00682457">
        <w:t xml:space="preserve">by </w:t>
      </w:r>
      <w:r w:rsidR="00C9584A">
        <w:t>gavage</w:t>
      </w:r>
      <w:r w:rsidR="00682457">
        <w:t xml:space="preserve">, and observed for 14 days.  All animals exposed to ≤ 1000 mg/kg </w:t>
      </w:r>
      <w:proofErr w:type="gramStart"/>
      <w:r w:rsidR="00682457">
        <w:t>bw</w:t>
      </w:r>
      <w:proofErr w:type="gramEnd"/>
      <w:r w:rsidR="00682457">
        <w:t xml:space="preserve"> survived.  Mortalities were observed at 1400 mg/kg </w:t>
      </w:r>
      <w:proofErr w:type="gramStart"/>
      <w:r w:rsidR="00682457">
        <w:t>bw</w:t>
      </w:r>
      <w:proofErr w:type="gramEnd"/>
      <w:r w:rsidR="00682457">
        <w:t xml:space="preserve"> (3 males and 4 females) and 1600 mg/kg bw (</w:t>
      </w:r>
      <w:r w:rsidR="00FC09C6">
        <w:t>6</w:t>
      </w:r>
      <w:r w:rsidR="00682457">
        <w:t xml:space="preserve"> males and </w:t>
      </w:r>
      <w:r w:rsidR="007E5589">
        <w:t>8</w:t>
      </w:r>
      <w:r w:rsidR="00434242">
        <w:t xml:space="preserve"> females). </w:t>
      </w:r>
      <w:r w:rsidR="00682457">
        <w:t xml:space="preserve">At 1800 mg/kg </w:t>
      </w:r>
      <w:proofErr w:type="gramStart"/>
      <w:r w:rsidR="00682457">
        <w:t>bw</w:t>
      </w:r>
      <w:proofErr w:type="gramEnd"/>
      <w:r w:rsidR="00682457">
        <w:t>, all animals died.</w:t>
      </w:r>
      <w:r w:rsidR="00CD299D">
        <w:t xml:space="preserve"> </w:t>
      </w:r>
      <w:r w:rsidR="00C9584A">
        <w:t xml:space="preserve">Clinical signs observed in rats treated orally with concentrations </w:t>
      </w:r>
      <w:r w:rsidR="00C9584A" w:rsidRPr="00174F17">
        <w:rPr>
          <w:u w:val="single"/>
        </w:rPr>
        <w:t>&gt;</w:t>
      </w:r>
      <w:r w:rsidR="00C9584A">
        <w:t xml:space="preserve">1,600 mg/kg </w:t>
      </w:r>
      <w:proofErr w:type="gramStart"/>
      <w:r w:rsidR="00C9584A">
        <w:t>bw</w:t>
      </w:r>
      <w:proofErr w:type="gramEnd"/>
      <w:r w:rsidR="00C9584A">
        <w:t xml:space="preserve"> were tremors, convulsions, hyperactivity and a bloody discharge from the nose.  </w:t>
      </w:r>
      <w:r w:rsidR="00CD299D">
        <w:t xml:space="preserve">Necropsies of animals that died showed hemorrhage of intestines </w:t>
      </w:r>
      <w:r w:rsidR="00434242">
        <w:t xml:space="preserve">and/or lungs. </w:t>
      </w:r>
      <w:r w:rsidR="00CD299D">
        <w:t>With the exception of four animals with lung infections, gross necropsies of other animals were normal.</w:t>
      </w:r>
      <w:r w:rsidR="00682457">
        <w:t xml:space="preserve"> </w:t>
      </w:r>
      <w:r>
        <w:t>The oral LD</w:t>
      </w:r>
      <w:r>
        <w:rPr>
          <w:vertAlign w:val="subscript"/>
        </w:rPr>
        <w:t>50</w:t>
      </w:r>
      <w:r>
        <w:t xml:space="preserve"> was 1,478 mg/kg </w:t>
      </w:r>
      <w:proofErr w:type="gramStart"/>
      <w:r w:rsidR="00CD299D">
        <w:t xml:space="preserve">bw </w:t>
      </w:r>
      <w:r w:rsidR="00434242">
        <w:t xml:space="preserve"> (</w:t>
      </w:r>
      <w:proofErr w:type="gramEnd"/>
      <w:r w:rsidR="00434242">
        <w:t>IMC, 1980a).</w:t>
      </w:r>
    </w:p>
    <w:p w:rsidR="002D035F" w:rsidRDefault="0071239A" w:rsidP="00F37C80">
      <w:pPr>
        <w:jc w:val="both"/>
      </w:pPr>
      <w:r>
        <w:t xml:space="preserve">Male white mice were orally administered 1200, 1500 or 1800 mg/kg </w:t>
      </w:r>
      <w:proofErr w:type="gramStart"/>
      <w:r>
        <w:t>bw</w:t>
      </w:r>
      <w:proofErr w:type="gramEnd"/>
      <w:r>
        <w:t xml:space="preserve"> nitromethane in aqueous solution</w:t>
      </w:r>
      <w:r w:rsidR="003D024E">
        <w:t>.</w:t>
      </w:r>
      <w:r>
        <w:t xml:space="preserve"> </w:t>
      </w:r>
      <w:r w:rsidR="00237AF9">
        <w:t xml:space="preserve"> </w:t>
      </w:r>
      <w:r>
        <w:t xml:space="preserve">Mortality occurred at all doses: </w:t>
      </w:r>
      <w:r w:rsidR="002E5AD2">
        <w:t xml:space="preserve"> 1/5 at 1200, 6/10 at 1500 and </w:t>
      </w:r>
      <w:r>
        <w:t>4/5 at 18</w:t>
      </w:r>
      <w:r w:rsidR="002E5AD2">
        <w:t>0</w:t>
      </w:r>
      <w:r>
        <w:t xml:space="preserve">0 mg/kg </w:t>
      </w:r>
      <w:proofErr w:type="gramStart"/>
      <w:r>
        <w:t>bw</w:t>
      </w:r>
      <w:proofErr w:type="gramEnd"/>
      <w:r>
        <w:t xml:space="preserve">.  </w:t>
      </w:r>
      <w:r w:rsidR="003850EC">
        <w:t xml:space="preserve">Small hemorrhagic spots were observed on the ears of some animals several hours after treatment.  </w:t>
      </w:r>
      <w:r>
        <w:t>The oral LD</w:t>
      </w:r>
      <w:r>
        <w:rPr>
          <w:vertAlign w:val="subscript"/>
        </w:rPr>
        <w:t>50</w:t>
      </w:r>
      <w:r>
        <w:t xml:space="preserve"> was calculated as 1440 mg/kg </w:t>
      </w:r>
      <w:proofErr w:type="gramStart"/>
      <w:r>
        <w:t>bw</w:t>
      </w:r>
      <w:proofErr w:type="gramEnd"/>
      <w:r>
        <w:t xml:space="preserve"> </w:t>
      </w:r>
      <w:r w:rsidR="003850EC">
        <w:t>(Weatherby, 1955).</w:t>
      </w:r>
      <w:r>
        <w:t xml:space="preserve"> </w:t>
      </w:r>
    </w:p>
    <w:p w:rsidR="00C9584A" w:rsidRDefault="00C9584A" w:rsidP="00F37C80">
      <w:pPr>
        <w:jc w:val="both"/>
      </w:pPr>
      <w:r>
        <w:t xml:space="preserve">Dogs (2/dose) were administered 125, 250, 500, 1000 or 1500 mg/kg </w:t>
      </w:r>
      <w:proofErr w:type="gramStart"/>
      <w:r>
        <w:t>bw</w:t>
      </w:r>
      <w:proofErr w:type="gramEnd"/>
      <w:r>
        <w:t xml:space="preserve"> nitromethane emulsified in methylcellulose, by gavage.  All animals given doses ≥ 1000 mg/kg </w:t>
      </w:r>
      <w:proofErr w:type="gramStart"/>
      <w:r>
        <w:t>bw</w:t>
      </w:r>
      <w:proofErr w:type="gramEnd"/>
      <w:r>
        <w:t xml:space="preserve"> died.  Lesions of the kidneys were seen in the high dose animals; all other lesions were confined to the liver.  The oral LD</w:t>
      </w:r>
      <w:r>
        <w:rPr>
          <w:vertAlign w:val="subscript"/>
        </w:rPr>
        <w:t>50</w:t>
      </w:r>
      <w:r>
        <w:t xml:space="preserve"> was </w:t>
      </w:r>
      <w:r w:rsidR="00905A99">
        <w:t xml:space="preserve">between </w:t>
      </w:r>
      <w:r>
        <w:t xml:space="preserve">500 </w:t>
      </w:r>
      <w:r w:rsidR="00905A99">
        <w:t xml:space="preserve">and 1000 </w:t>
      </w:r>
      <w:r>
        <w:t xml:space="preserve">mg/kg </w:t>
      </w:r>
      <w:proofErr w:type="gramStart"/>
      <w:r>
        <w:t>bw</w:t>
      </w:r>
      <w:proofErr w:type="gramEnd"/>
      <w:r w:rsidR="00905A99">
        <w:t xml:space="preserve"> </w:t>
      </w:r>
      <w:r>
        <w:t>(</w:t>
      </w:r>
      <w:r w:rsidR="002D035F">
        <w:t>Weatherby, 1955</w:t>
      </w:r>
      <w:r>
        <w:t xml:space="preserve">).  </w:t>
      </w:r>
    </w:p>
    <w:p w:rsidR="00A15739" w:rsidRDefault="00A15739" w:rsidP="00F37C80">
      <w:pPr>
        <w:jc w:val="both"/>
      </w:pPr>
    </w:p>
    <w:p w:rsidR="00CC19A7" w:rsidRPr="00146C4E" w:rsidRDefault="00A15739" w:rsidP="00146C4E">
      <w:pPr>
        <w:jc w:val="both"/>
      </w:pPr>
      <w:proofErr w:type="gramStart"/>
      <w:r w:rsidRPr="009A4271">
        <w:rPr>
          <w:i/>
          <w:u w:val="single"/>
        </w:rPr>
        <w:t>Nitroethane</w:t>
      </w:r>
      <w:r w:rsidR="009130BF">
        <w:rPr>
          <w:i/>
        </w:rPr>
        <w:t>.</w:t>
      </w:r>
      <w:proofErr w:type="gramEnd"/>
      <w:r w:rsidR="009130BF">
        <w:rPr>
          <w:i/>
        </w:rPr>
        <w:t xml:space="preserve">  </w:t>
      </w:r>
      <w:r w:rsidR="003762E4">
        <w:t>Parekh and Wilbur (1982b) determined an oral LD</w:t>
      </w:r>
      <w:r w:rsidR="00B320DF" w:rsidRPr="00F37C80">
        <w:rPr>
          <w:vertAlign w:val="subscript"/>
        </w:rPr>
        <w:t>50</w:t>
      </w:r>
      <w:r w:rsidR="003762E4">
        <w:t xml:space="preserve"> in Sprague-Dawley rats using </w:t>
      </w:r>
      <w:r w:rsidR="003762E4" w:rsidRPr="00146C4E">
        <w:t>data from 4 separate studies that used different doses.  R</w:t>
      </w:r>
      <w:r w:rsidR="002B4499" w:rsidRPr="00146C4E">
        <w:t xml:space="preserve">ats (10/sex/dose) were </w:t>
      </w:r>
      <w:r w:rsidR="003762E4" w:rsidRPr="00146C4E">
        <w:t xml:space="preserve">first gavaged with </w:t>
      </w:r>
      <w:r w:rsidR="002B4499" w:rsidRPr="00146C4E">
        <w:t xml:space="preserve">0, 560, 800, 1100, 1600, or 2300 mg/kg </w:t>
      </w:r>
      <w:proofErr w:type="gramStart"/>
      <w:r w:rsidR="002B4499" w:rsidRPr="00146C4E">
        <w:t>bw</w:t>
      </w:r>
      <w:proofErr w:type="gramEnd"/>
      <w:r w:rsidR="002B4499" w:rsidRPr="00146C4E">
        <w:t xml:space="preserve"> nitroethane suspended in 1% carboxymethyl cellulose and observed for 14 days</w:t>
      </w:r>
      <w:r w:rsidR="001D6241" w:rsidRPr="00146C4E">
        <w:t xml:space="preserve"> (study 1)</w:t>
      </w:r>
      <w:r w:rsidR="002B4499" w:rsidRPr="00146C4E">
        <w:t xml:space="preserve">.  </w:t>
      </w:r>
      <w:r w:rsidR="00CC19A7" w:rsidRPr="00146C4E">
        <w:t xml:space="preserve">In the first study, mortalities were observed at 1100 mg/kg </w:t>
      </w:r>
      <w:proofErr w:type="gramStart"/>
      <w:r w:rsidR="00CC19A7" w:rsidRPr="00146C4E">
        <w:t>bw</w:t>
      </w:r>
      <w:proofErr w:type="gramEnd"/>
      <w:r w:rsidR="00CC19A7" w:rsidRPr="00146C4E">
        <w:t xml:space="preserve"> (1 male and 8 females), 1600 mg/kg bw (7 males and all females) and 2300 mg/kg bw (all rats).  Necropsies of animals that died showed severe intestinal hemorrhage.  In the second study, no animals died.  </w:t>
      </w:r>
    </w:p>
    <w:p w:rsidR="00CC19A7" w:rsidRPr="00146C4E" w:rsidRDefault="00CC19A7" w:rsidP="00146C4E">
      <w:pPr>
        <w:jc w:val="both"/>
      </w:pPr>
    </w:p>
    <w:p w:rsidR="00A15739" w:rsidRDefault="002B4499" w:rsidP="00146C4E">
      <w:pPr>
        <w:jc w:val="both"/>
      </w:pPr>
      <w:r w:rsidRPr="00146C4E">
        <w:t xml:space="preserve">Females </w:t>
      </w:r>
      <w:r w:rsidR="003762E4" w:rsidRPr="00146C4E">
        <w:t xml:space="preserve">(10/dose) </w:t>
      </w:r>
      <w:r w:rsidRPr="00146C4E">
        <w:t xml:space="preserve">were additionally </w:t>
      </w:r>
      <w:r w:rsidR="003762E4" w:rsidRPr="00146C4E">
        <w:t>given 0 or</w:t>
      </w:r>
      <w:r w:rsidR="001D6241" w:rsidRPr="00146C4E">
        <w:t xml:space="preserve"> </w:t>
      </w:r>
      <w:r w:rsidRPr="00146C4E">
        <w:t>950</w:t>
      </w:r>
      <w:r w:rsidR="003762E4" w:rsidRPr="00146C4E">
        <w:t xml:space="preserve"> mg/kg </w:t>
      </w:r>
      <w:proofErr w:type="gramStart"/>
      <w:r w:rsidR="003762E4" w:rsidRPr="00146C4E">
        <w:t>bw</w:t>
      </w:r>
      <w:proofErr w:type="gramEnd"/>
      <w:r w:rsidR="001D6241" w:rsidRPr="00146C4E">
        <w:t xml:space="preserve"> (study 2); 0</w:t>
      </w:r>
      <w:r w:rsidRPr="00146C4E">
        <w:t>, 1000</w:t>
      </w:r>
      <w:r w:rsidR="003762E4" w:rsidRPr="00146C4E">
        <w:t xml:space="preserve"> or</w:t>
      </w:r>
      <w:r w:rsidRPr="00146C4E">
        <w:t xml:space="preserve"> 1050 </w:t>
      </w:r>
      <w:r w:rsidR="003762E4" w:rsidRPr="00146C4E">
        <w:t>mg/kg bw (study 3); and</w:t>
      </w:r>
      <w:r w:rsidRPr="00146C4E">
        <w:t xml:space="preserve"> </w:t>
      </w:r>
      <w:r w:rsidR="003762E4" w:rsidRPr="00146C4E">
        <w:t>0, 950, 1040 or</w:t>
      </w:r>
      <w:r w:rsidR="001D6241" w:rsidRPr="00146C4E">
        <w:t xml:space="preserve"> </w:t>
      </w:r>
      <w:r w:rsidRPr="00146C4E">
        <w:t>1250 mg/kg bw</w:t>
      </w:r>
      <w:r w:rsidR="001D6241" w:rsidRPr="00146C4E">
        <w:t xml:space="preserve"> (study 4)</w:t>
      </w:r>
      <w:r w:rsidRPr="00146C4E">
        <w:t xml:space="preserve">. </w:t>
      </w:r>
      <w:r w:rsidR="00DF7366" w:rsidRPr="00146C4E">
        <w:t xml:space="preserve">In the third study, mortalities were observed at 1000 mg/kg </w:t>
      </w:r>
      <w:proofErr w:type="gramStart"/>
      <w:r w:rsidR="00DF7366" w:rsidRPr="00146C4E">
        <w:t>bw</w:t>
      </w:r>
      <w:proofErr w:type="gramEnd"/>
      <w:r w:rsidR="00DF7366" w:rsidRPr="00146C4E">
        <w:t xml:space="preserve"> (4/10 females) and 1050 mg/kg bw (6/10 females).  </w:t>
      </w:r>
      <w:r w:rsidR="00DA0DA6" w:rsidRPr="00146C4E">
        <w:t xml:space="preserve">Necropsies of 7/10 animals that died showed intestinal hemorrhage. Two animals that died at 1000 mg/kg </w:t>
      </w:r>
      <w:proofErr w:type="gramStart"/>
      <w:r w:rsidR="00DA0DA6" w:rsidRPr="00146C4E">
        <w:t>bw</w:t>
      </w:r>
      <w:proofErr w:type="gramEnd"/>
      <w:r w:rsidR="00DA0DA6" w:rsidRPr="00146C4E">
        <w:t xml:space="preserve"> had pale kidneys, dark adrenals and a mottled liver</w:t>
      </w:r>
      <w:r w:rsidR="00271429" w:rsidRPr="00146C4E">
        <w:t>.</w:t>
      </w:r>
      <w:r w:rsidR="00DA0DA6" w:rsidRPr="00146C4E">
        <w:t xml:space="preserve">  With the exception of one control animal that had a lung </w:t>
      </w:r>
      <w:r w:rsidR="00DA0DA6">
        <w:t xml:space="preserve">infection, all surviving animals had normal necropsies.  In the fourth study, </w:t>
      </w:r>
      <w:r w:rsidR="00271429">
        <w:t>m</w:t>
      </w:r>
      <w:r w:rsidR="00DA0DA6">
        <w:t xml:space="preserve">ortalities were observed at 1250 mg/kg </w:t>
      </w:r>
      <w:proofErr w:type="gramStart"/>
      <w:r w:rsidR="00DA0DA6">
        <w:t>bw</w:t>
      </w:r>
      <w:proofErr w:type="gramEnd"/>
      <w:r w:rsidR="00DA0DA6">
        <w:t xml:space="preserve"> (7/10 females).  Necropsies of animals that died showed severe intestinal hemorrhage. </w:t>
      </w:r>
      <w:r w:rsidR="00271429">
        <w:t xml:space="preserve"> </w:t>
      </w:r>
      <w:r w:rsidR="00A15739">
        <w:t>The oral LD</w:t>
      </w:r>
      <w:r w:rsidR="00A15739">
        <w:rPr>
          <w:vertAlign w:val="subscript"/>
        </w:rPr>
        <w:t>50</w:t>
      </w:r>
      <w:r w:rsidR="00A15739">
        <w:t xml:space="preserve"> </w:t>
      </w:r>
      <w:r w:rsidR="001D6241">
        <w:t xml:space="preserve">using data from all dosing regimens </w:t>
      </w:r>
      <w:r>
        <w:t>was reported to be 1</w:t>
      </w:r>
      <w:r w:rsidR="00A15739">
        <w:t xml:space="preserve">256 mg/kg </w:t>
      </w:r>
      <w:proofErr w:type="gramStart"/>
      <w:r>
        <w:t>bw</w:t>
      </w:r>
      <w:proofErr w:type="gramEnd"/>
      <w:r w:rsidR="00A15739">
        <w:t xml:space="preserve"> (Parekh and Wilbur, 1982b).   </w:t>
      </w:r>
    </w:p>
    <w:p w:rsidR="00FA4B09" w:rsidRDefault="00FA4B09" w:rsidP="00F37C80">
      <w:pPr>
        <w:jc w:val="both"/>
        <w:rPr>
          <w:color w:val="000000"/>
        </w:rPr>
      </w:pPr>
      <w:r>
        <w:t>In an acute oral toxicity study</w:t>
      </w:r>
      <w:r w:rsidR="00510DFB">
        <w:t xml:space="preserve"> (method of dosing unknown)</w:t>
      </w:r>
      <w:r>
        <w:t xml:space="preserve">, </w:t>
      </w:r>
      <w:r w:rsidR="009347BC">
        <w:rPr>
          <w:color w:val="000000"/>
        </w:rPr>
        <w:t>2</w:t>
      </w:r>
      <w:r w:rsidRPr="00C772B5">
        <w:rPr>
          <w:color w:val="000000"/>
        </w:rPr>
        <w:t xml:space="preserve"> rats </w:t>
      </w:r>
      <w:r w:rsidR="00AB3DA2">
        <w:rPr>
          <w:color w:val="000000"/>
        </w:rPr>
        <w:t xml:space="preserve">each </w:t>
      </w:r>
      <w:r w:rsidRPr="00C772B5">
        <w:rPr>
          <w:color w:val="000000"/>
        </w:rPr>
        <w:t xml:space="preserve">were given 500 </w:t>
      </w:r>
      <w:r w:rsidR="00AB3DA2">
        <w:rPr>
          <w:color w:val="000000"/>
        </w:rPr>
        <w:t xml:space="preserve">or 1000 </w:t>
      </w:r>
      <w:r w:rsidRPr="00C772B5">
        <w:rPr>
          <w:color w:val="000000"/>
        </w:rPr>
        <w:t xml:space="preserve">and 3 rats were given 2000 mg/kg </w:t>
      </w:r>
      <w:proofErr w:type="gramStart"/>
      <w:r w:rsidR="00AB3DA2">
        <w:rPr>
          <w:color w:val="000000"/>
        </w:rPr>
        <w:t>bw</w:t>
      </w:r>
      <w:proofErr w:type="gramEnd"/>
      <w:r w:rsidR="00510DFB">
        <w:rPr>
          <w:color w:val="000000"/>
        </w:rPr>
        <w:t xml:space="preserve"> undiluted nitroethane</w:t>
      </w:r>
      <w:r w:rsidRPr="00C772B5">
        <w:rPr>
          <w:color w:val="000000"/>
        </w:rPr>
        <w:t>.  Gross necropsy was performed on all animals.</w:t>
      </w:r>
      <w:r>
        <w:rPr>
          <w:color w:val="000000"/>
        </w:rPr>
        <w:t xml:space="preserve">  At 500</w:t>
      </w:r>
      <w:r w:rsidR="00AB3DA2">
        <w:rPr>
          <w:color w:val="000000"/>
        </w:rPr>
        <w:t xml:space="preserve"> </w:t>
      </w:r>
      <w:r>
        <w:rPr>
          <w:color w:val="000000"/>
        </w:rPr>
        <w:t>mg/kg</w:t>
      </w:r>
      <w:r w:rsidR="00AB3DA2">
        <w:rPr>
          <w:color w:val="000000"/>
        </w:rPr>
        <w:t xml:space="preserve"> </w:t>
      </w:r>
      <w:proofErr w:type="gramStart"/>
      <w:r w:rsidR="00AB3DA2">
        <w:rPr>
          <w:color w:val="000000"/>
        </w:rPr>
        <w:t>bw</w:t>
      </w:r>
      <w:proofErr w:type="gramEnd"/>
      <w:r>
        <w:rPr>
          <w:color w:val="000000"/>
        </w:rPr>
        <w:t xml:space="preserve">, </w:t>
      </w:r>
      <w:r w:rsidR="00510DFB">
        <w:rPr>
          <w:color w:val="000000"/>
        </w:rPr>
        <w:t xml:space="preserve">no rats died </w:t>
      </w:r>
      <w:r w:rsidR="009347BC">
        <w:rPr>
          <w:color w:val="000000"/>
        </w:rPr>
        <w:t xml:space="preserve">but </w:t>
      </w:r>
      <w:r>
        <w:rPr>
          <w:color w:val="000000"/>
        </w:rPr>
        <w:t xml:space="preserve">there was slight kidney and liver injury at necropsy.  </w:t>
      </w:r>
      <w:r w:rsidR="00510DFB">
        <w:rPr>
          <w:color w:val="000000"/>
        </w:rPr>
        <w:t xml:space="preserve">At 1000 mg/kg </w:t>
      </w:r>
      <w:proofErr w:type="gramStart"/>
      <w:r w:rsidR="00510DFB">
        <w:rPr>
          <w:color w:val="000000"/>
        </w:rPr>
        <w:t>bw</w:t>
      </w:r>
      <w:proofErr w:type="gramEnd"/>
      <w:r w:rsidR="00510DFB">
        <w:rPr>
          <w:color w:val="000000"/>
        </w:rPr>
        <w:t xml:space="preserve">, </w:t>
      </w:r>
      <w:r w:rsidR="009347BC">
        <w:rPr>
          <w:color w:val="000000"/>
        </w:rPr>
        <w:t>1</w:t>
      </w:r>
      <w:r>
        <w:rPr>
          <w:color w:val="000000"/>
        </w:rPr>
        <w:t xml:space="preserve"> rat died six days after treatment, and there was moderate kidney and liver damage.  </w:t>
      </w:r>
      <w:r w:rsidR="00510DFB">
        <w:rPr>
          <w:color w:val="000000"/>
        </w:rPr>
        <w:t xml:space="preserve">At 2000 mg/kg </w:t>
      </w:r>
      <w:proofErr w:type="gramStart"/>
      <w:r w:rsidR="00510DFB">
        <w:rPr>
          <w:color w:val="000000"/>
        </w:rPr>
        <w:t>bw</w:t>
      </w:r>
      <w:proofErr w:type="gramEnd"/>
      <w:r w:rsidR="00510DFB">
        <w:rPr>
          <w:color w:val="000000"/>
        </w:rPr>
        <w:t>, a</w:t>
      </w:r>
      <w:r>
        <w:rPr>
          <w:color w:val="000000"/>
        </w:rPr>
        <w:t>ll rats appeared drowsy and</w:t>
      </w:r>
      <w:r w:rsidR="00D22B4B">
        <w:rPr>
          <w:color w:val="000000"/>
        </w:rPr>
        <w:t xml:space="preserve"> were prostrate shortly after</w:t>
      </w:r>
      <w:r w:rsidR="00510DFB">
        <w:rPr>
          <w:color w:val="000000"/>
        </w:rPr>
        <w:t xml:space="preserve"> feeding; </w:t>
      </w:r>
      <w:r w:rsidR="009347BC">
        <w:rPr>
          <w:color w:val="000000"/>
        </w:rPr>
        <w:t>2</w:t>
      </w:r>
      <w:r w:rsidR="00D22B4B">
        <w:rPr>
          <w:color w:val="000000"/>
        </w:rPr>
        <w:t xml:space="preserve"> animals died overnight and the other died the following day.  The LD</w:t>
      </w:r>
      <w:r w:rsidR="00B320DF" w:rsidRPr="00F37C80">
        <w:rPr>
          <w:color w:val="000000"/>
          <w:vertAlign w:val="subscript"/>
        </w:rPr>
        <w:t>50</w:t>
      </w:r>
      <w:r w:rsidR="00D22B4B">
        <w:rPr>
          <w:color w:val="000000"/>
        </w:rPr>
        <w:t xml:space="preserve"> in this acute oral study was </w:t>
      </w:r>
      <w:r w:rsidR="00510DFB">
        <w:rPr>
          <w:color w:val="000000"/>
        </w:rPr>
        <w:t xml:space="preserve">estimated to be approximately </w:t>
      </w:r>
      <w:r w:rsidR="00D22B4B">
        <w:rPr>
          <w:color w:val="000000"/>
        </w:rPr>
        <w:t>1000</w:t>
      </w:r>
      <w:r w:rsidR="00510DFB">
        <w:rPr>
          <w:color w:val="000000"/>
        </w:rPr>
        <w:t xml:space="preserve"> </w:t>
      </w:r>
      <w:r w:rsidR="00D22B4B">
        <w:rPr>
          <w:color w:val="000000"/>
        </w:rPr>
        <w:t>mg/kg</w:t>
      </w:r>
      <w:r w:rsidR="00510DFB">
        <w:rPr>
          <w:color w:val="000000"/>
        </w:rPr>
        <w:t xml:space="preserve"> </w:t>
      </w:r>
      <w:proofErr w:type="gramStart"/>
      <w:r w:rsidR="00510DFB">
        <w:rPr>
          <w:color w:val="000000"/>
        </w:rPr>
        <w:t>bw</w:t>
      </w:r>
      <w:proofErr w:type="gramEnd"/>
      <w:r w:rsidR="00D22B4B">
        <w:rPr>
          <w:color w:val="000000"/>
        </w:rPr>
        <w:t xml:space="preserve"> (Olson, 1964).</w:t>
      </w:r>
    </w:p>
    <w:p w:rsidR="00D22B4B" w:rsidRDefault="00D22B4B" w:rsidP="00F37C80">
      <w:pPr>
        <w:jc w:val="both"/>
      </w:pPr>
    </w:p>
    <w:p w:rsidR="00A15739" w:rsidRDefault="00A15739" w:rsidP="00F37C80">
      <w:pPr>
        <w:jc w:val="both"/>
      </w:pPr>
      <w:proofErr w:type="gramStart"/>
      <w:r w:rsidRPr="00472971">
        <w:rPr>
          <w:i/>
          <w:u w:val="single"/>
        </w:rPr>
        <w:t>1-Nitropropane</w:t>
      </w:r>
      <w:r w:rsidR="009130BF">
        <w:rPr>
          <w:i/>
        </w:rPr>
        <w:t>.</w:t>
      </w:r>
      <w:proofErr w:type="gramEnd"/>
      <w:r w:rsidR="009130BF">
        <w:rPr>
          <w:i/>
        </w:rPr>
        <w:t xml:space="preserve">  </w:t>
      </w:r>
      <w:r w:rsidR="00ED5051">
        <w:t xml:space="preserve">Sprague-Dawley rats (10/sex/dose) were administered 0, 290, 360, 450 or 570 mg/kg </w:t>
      </w:r>
      <w:proofErr w:type="gramStart"/>
      <w:r w:rsidR="00ED5051">
        <w:t>bw</w:t>
      </w:r>
      <w:proofErr w:type="gramEnd"/>
      <w:r w:rsidR="00ED5051">
        <w:t xml:space="preserve"> nitropropane</w:t>
      </w:r>
      <w:r w:rsidR="0032300E">
        <w:t xml:space="preserve"> (</w:t>
      </w:r>
      <w:r w:rsidR="00ED5051">
        <w:t>suspended in 1% carboxymethylcellulose</w:t>
      </w:r>
      <w:r w:rsidR="0032300E">
        <w:t>)</w:t>
      </w:r>
      <w:r w:rsidR="00ED5051">
        <w:t xml:space="preserve"> by gavage and observed for 14 days.  Mortalities were observed at 450 mg/kg </w:t>
      </w:r>
      <w:proofErr w:type="gramStart"/>
      <w:r w:rsidR="00ED5051">
        <w:t>bw</w:t>
      </w:r>
      <w:proofErr w:type="gramEnd"/>
      <w:r w:rsidR="00ED5051">
        <w:t xml:space="preserve"> (3/sex) and 570 mg/kg bw (6 males and 9 females) within 36 hours of treatment.  Necropsies of animals that died showed distended and hemorrhagic intestines.  </w:t>
      </w:r>
      <w:r w:rsidR="0032300E">
        <w:t xml:space="preserve">At 570 mg/kg </w:t>
      </w:r>
      <w:proofErr w:type="gramStart"/>
      <w:r w:rsidR="0032300E">
        <w:t>bw</w:t>
      </w:r>
      <w:proofErr w:type="gramEnd"/>
      <w:r w:rsidR="0032300E">
        <w:t xml:space="preserve">, 1 female had convulsions and 2 others were ataxic; animals at this dose had lower body weights than controls.  Surviving animals at several doses had lung infections at termination.  </w:t>
      </w:r>
      <w:r w:rsidR="00174625">
        <w:t>T</w:t>
      </w:r>
      <w:r>
        <w:t>he oral LD</w:t>
      </w:r>
      <w:r>
        <w:rPr>
          <w:vertAlign w:val="subscript"/>
        </w:rPr>
        <w:t>50</w:t>
      </w:r>
      <w:r>
        <w:t xml:space="preserve"> was reported to be 506 mg/kg </w:t>
      </w:r>
      <w:proofErr w:type="gramStart"/>
      <w:r w:rsidR="00ED5051">
        <w:t>bw</w:t>
      </w:r>
      <w:proofErr w:type="gramEnd"/>
      <w:r>
        <w:t xml:space="preserve"> (Parekh, 1981a). </w:t>
      </w:r>
    </w:p>
    <w:p w:rsidR="00A15739" w:rsidRPr="00FD325B" w:rsidRDefault="00D93802" w:rsidP="00434242">
      <w:pPr>
        <w:pStyle w:val="Caption"/>
        <w:ind w:hanging="839"/>
        <w:jc w:val="both"/>
        <w:rPr>
          <w:rFonts w:ascii="Times New Roman" w:hAnsi="Times New Roman"/>
          <w:bCs w:val="0"/>
        </w:rPr>
      </w:pPr>
      <w:bookmarkStart w:id="75" w:name="_Toc266716151"/>
      <w:r>
        <w:t xml:space="preserve"> </w:t>
      </w:r>
      <w:r w:rsidR="008105BE">
        <w:t xml:space="preserve">Table </w:t>
      </w:r>
      <w:r w:rsidR="00B320DF">
        <w:fldChar w:fldCharType="begin"/>
      </w:r>
      <w:r w:rsidR="008105BE">
        <w:instrText xml:space="preserve"> SEQ Table \* ARABIC </w:instrText>
      </w:r>
      <w:r w:rsidR="00B320DF">
        <w:fldChar w:fldCharType="separate"/>
      </w:r>
      <w:r w:rsidR="006263B7">
        <w:rPr>
          <w:noProof/>
        </w:rPr>
        <w:t>8</w:t>
      </w:r>
      <w:r w:rsidR="00B320DF">
        <w:fldChar w:fldCharType="end"/>
      </w:r>
      <w:r w:rsidR="009C4A54">
        <w:t xml:space="preserve">  </w:t>
      </w:r>
      <w:r w:rsidR="008105BE">
        <w:t xml:space="preserve">Summary of acute oral toxicity </w:t>
      </w:r>
      <w:bookmarkEnd w:id="75"/>
    </w:p>
    <w:tbl>
      <w:tblPr>
        <w:tblW w:w="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572"/>
        <w:gridCol w:w="2168"/>
        <w:gridCol w:w="2457"/>
        <w:gridCol w:w="2488"/>
      </w:tblGrid>
      <w:tr w:rsidR="00D22B4B" w:rsidRPr="00434242" w:rsidTr="00434242">
        <w:tc>
          <w:tcPr>
            <w:tcW w:w="2612" w:type="dxa"/>
            <w:tcBorders>
              <w:top w:val="single" w:sz="12" w:space="0" w:color="auto"/>
              <w:bottom w:val="single" w:sz="12" w:space="0" w:color="auto"/>
            </w:tcBorders>
          </w:tcPr>
          <w:p w:rsidR="00D22B4B" w:rsidRPr="00434242" w:rsidRDefault="00D22B4B"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Test substance</w:t>
            </w:r>
          </w:p>
        </w:tc>
        <w:tc>
          <w:tcPr>
            <w:tcW w:w="2213" w:type="dxa"/>
            <w:tcBorders>
              <w:top w:val="single" w:sz="12" w:space="0" w:color="auto"/>
              <w:bottom w:val="single" w:sz="12" w:space="0" w:color="auto"/>
            </w:tcBorders>
          </w:tcPr>
          <w:p w:rsidR="00D22B4B" w:rsidRPr="00434242" w:rsidRDefault="00D22B4B"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Species</w:t>
            </w:r>
          </w:p>
        </w:tc>
        <w:tc>
          <w:tcPr>
            <w:tcW w:w="2498" w:type="dxa"/>
            <w:tcBorders>
              <w:top w:val="single" w:sz="12" w:space="0" w:color="auto"/>
              <w:bottom w:val="single" w:sz="12" w:space="0" w:color="auto"/>
            </w:tcBorders>
          </w:tcPr>
          <w:p w:rsidR="00D22B4B" w:rsidRPr="00434242" w:rsidRDefault="00D22B4B"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LD</w:t>
            </w:r>
            <w:r w:rsidRPr="00434242">
              <w:rPr>
                <w:rFonts w:ascii="Times New Roman" w:hAnsi="Times New Roman" w:cs="Times New Roman"/>
                <w:b/>
                <w:szCs w:val="20"/>
                <w:vertAlign w:val="subscript"/>
                <w:lang w:val="en-US"/>
              </w:rPr>
              <w:t>50</w:t>
            </w:r>
          </w:p>
        </w:tc>
        <w:tc>
          <w:tcPr>
            <w:tcW w:w="2532" w:type="dxa"/>
            <w:tcBorders>
              <w:top w:val="single" w:sz="12" w:space="0" w:color="auto"/>
              <w:bottom w:val="single" w:sz="12" w:space="0" w:color="auto"/>
            </w:tcBorders>
          </w:tcPr>
          <w:p w:rsidR="00D22B4B" w:rsidRPr="00434242" w:rsidRDefault="00D22B4B"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Reference</w:t>
            </w:r>
          </w:p>
        </w:tc>
      </w:tr>
      <w:tr w:rsidR="00D22B4B" w:rsidRPr="00FD325B" w:rsidTr="00434242">
        <w:tc>
          <w:tcPr>
            <w:tcW w:w="2612" w:type="dxa"/>
            <w:tcBorders>
              <w:top w:val="single" w:sz="12" w:space="0" w:color="auto"/>
            </w:tcBorders>
          </w:tcPr>
          <w:p w:rsidR="00D22B4B" w:rsidRPr="00434242" w:rsidRDefault="00D22B4B"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Nitromethane</w:t>
            </w:r>
          </w:p>
          <w:p w:rsidR="00D22B4B" w:rsidRPr="00434242" w:rsidRDefault="00D22B4B" w:rsidP="00434242">
            <w:pPr>
              <w:pStyle w:val="MSDS-TUZeile"/>
              <w:jc w:val="center"/>
              <w:rPr>
                <w:szCs w:val="20"/>
                <w:lang w:val="en-US"/>
              </w:rPr>
            </w:pPr>
          </w:p>
        </w:tc>
        <w:tc>
          <w:tcPr>
            <w:tcW w:w="2213" w:type="dxa"/>
            <w:tcBorders>
              <w:top w:val="single" w:sz="12" w:space="0" w:color="auto"/>
            </w:tcBorders>
          </w:tcPr>
          <w:p w:rsidR="00D22B4B" w:rsidRPr="00434242" w:rsidRDefault="00D22B4B" w:rsidP="00434242">
            <w:pPr>
              <w:pStyle w:val="MSDS-TZeile"/>
              <w:ind w:left="0"/>
              <w:jc w:val="center"/>
              <w:rPr>
                <w:rFonts w:ascii="Times New Roman" w:hAnsi="Times New Roman" w:cs="Times New Roman"/>
                <w:szCs w:val="20"/>
                <w:lang w:val="en-US"/>
              </w:rPr>
            </w:pPr>
            <w:r w:rsidRPr="00434242">
              <w:rPr>
                <w:rFonts w:ascii="Times New Roman" w:hAnsi="Times New Roman" w:cs="Times New Roman"/>
                <w:szCs w:val="20"/>
                <w:lang w:val="en-US"/>
              </w:rPr>
              <w:t>Rat</w:t>
            </w:r>
          </w:p>
        </w:tc>
        <w:tc>
          <w:tcPr>
            <w:tcW w:w="2498" w:type="dxa"/>
            <w:tcBorders>
              <w:top w:val="single" w:sz="12" w:space="0" w:color="auto"/>
            </w:tcBorders>
          </w:tcPr>
          <w:p w:rsidR="00D22B4B" w:rsidRPr="00434242" w:rsidRDefault="00D22B4B" w:rsidP="00434242">
            <w:pPr>
              <w:pStyle w:val="MSDS-TZeile"/>
              <w:ind w:left="0"/>
              <w:jc w:val="center"/>
              <w:rPr>
                <w:rFonts w:ascii="Times New Roman" w:hAnsi="Times New Roman" w:cs="Times New Roman"/>
                <w:szCs w:val="20"/>
                <w:lang w:val="en-US"/>
              </w:rPr>
            </w:pPr>
            <w:r w:rsidRPr="00434242">
              <w:rPr>
                <w:rFonts w:ascii="Times New Roman" w:hAnsi="Times New Roman" w:cs="Times New Roman"/>
                <w:szCs w:val="20"/>
                <w:lang w:val="en-US"/>
              </w:rPr>
              <w:t>1478 mg/kg</w:t>
            </w:r>
          </w:p>
        </w:tc>
        <w:tc>
          <w:tcPr>
            <w:tcW w:w="2532" w:type="dxa"/>
            <w:tcBorders>
              <w:top w:val="single" w:sz="12" w:space="0" w:color="auto"/>
            </w:tcBorders>
          </w:tcPr>
          <w:p w:rsidR="00D22B4B" w:rsidRPr="00434242" w:rsidRDefault="00D22B4B" w:rsidP="00434242">
            <w:pPr>
              <w:pStyle w:val="MSDS-TZeile"/>
              <w:ind w:left="0"/>
              <w:jc w:val="center"/>
              <w:rPr>
                <w:rFonts w:ascii="Times New Roman" w:hAnsi="Times New Roman" w:cs="Times New Roman"/>
                <w:szCs w:val="20"/>
                <w:lang w:val="en-US"/>
              </w:rPr>
            </w:pPr>
            <w:r w:rsidRPr="00434242">
              <w:rPr>
                <w:rFonts w:ascii="Times New Roman" w:hAnsi="Times New Roman" w:cs="Times New Roman"/>
                <w:szCs w:val="20"/>
                <w:lang w:val="en-US"/>
              </w:rPr>
              <w:t>IMC, 1980a</w:t>
            </w:r>
          </w:p>
        </w:tc>
      </w:tr>
      <w:tr w:rsidR="00D22B4B" w:rsidRPr="00FD325B" w:rsidTr="00434242">
        <w:tc>
          <w:tcPr>
            <w:tcW w:w="2612" w:type="dxa"/>
          </w:tcPr>
          <w:p w:rsidR="00D22B4B" w:rsidRPr="00434242" w:rsidRDefault="00D22B4B" w:rsidP="00434242">
            <w:pPr>
              <w:pStyle w:val="MSDS-TZeile"/>
              <w:ind w:left="0"/>
              <w:jc w:val="center"/>
              <w:rPr>
                <w:rFonts w:ascii="Times New Roman" w:hAnsi="Times New Roman" w:cs="Times New Roman"/>
                <w:b/>
                <w:szCs w:val="20"/>
                <w:lang w:val="en-US"/>
              </w:rPr>
            </w:pPr>
          </w:p>
        </w:tc>
        <w:tc>
          <w:tcPr>
            <w:tcW w:w="2213" w:type="dxa"/>
          </w:tcPr>
          <w:p w:rsidR="00D22B4B" w:rsidRPr="00434242" w:rsidRDefault="00D22B4B" w:rsidP="00434242">
            <w:pPr>
              <w:pStyle w:val="MSDS-TUZeile"/>
              <w:ind w:left="0"/>
              <w:jc w:val="center"/>
              <w:rPr>
                <w:rFonts w:ascii="Times New Roman" w:hAnsi="Times New Roman" w:cs="Times New Roman"/>
                <w:szCs w:val="20"/>
                <w:lang w:val="en-US"/>
              </w:rPr>
            </w:pPr>
            <w:r w:rsidRPr="00434242">
              <w:rPr>
                <w:rFonts w:ascii="Times New Roman" w:hAnsi="Times New Roman" w:cs="Times New Roman"/>
                <w:szCs w:val="20"/>
                <w:lang w:val="en-US"/>
              </w:rPr>
              <w:t>Mice</w:t>
            </w:r>
          </w:p>
          <w:p w:rsidR="00D22B4B" w:rsidRPr="00434242" w:rsidRDefault="00D22B4B" w:rsidP="00434242">
            <w:pPr>
              <w:pStyle w:val="MSDS-TUZeile"/>
              <w:ind w:left="0"/>
              <w:jc w:val="center"/>
              <w:rPr>
                <w:rFonts w:ascii="Times New Roman" w:hAnsi="Times New Roman" w:cs="Times New Roman"/>
                <w:szCs w:val="20"/>
                <w:lang w:val="en-US"/>
              </w:rPr>
            </w:pPr>
          </w:p>
        </w:tc>
        <w:tc>
          <w:tcPr>
            <w:tcW w:w="2498" w:type="dxa"/>
          </w:tcPr>
          <w:p w:rsidR="00D22B4B" w:rsidRPr="00434242" w:rsidRDefault="00D22B4B" w:rsidP="00434242">
            <w:pPr>
              <w:pStyle w:val="MSDS-TUZeile"/>
              <w:ind w:left="0"/>
              <w:jc w:val="center"/>
              <w:rPr>
                <w:rFonts w:ascii="Times New Roman" w:hAnsi="Times New Roman" w:cs="Times New Roman"/>
                <w:szCs w:val="20"/>
                <w:lang w:val="en-US"/>
              </w:rPr>
            </w:pPr>
            <w:r w:rsidRPr="00434242">
              <w:rPr>
                <w:rFonts w:ascii="Times New Roman" w:hAnsi="Times New Roman" w:cs="Times New Roman"/>
                <w:szCs w:val="20"/>
                <w:lang w:val="en-US"/>
              </w:rPr>
              <w:t>1440</w:t>
            </w:r>
            <w:r w:rsidR="00550E85" w:rsidRPr="00434242">
              <w:rPr>
                <w:rFonts w:ascii="Times New Roman" w:hAnsi="Times New Roman" w:cs="Times New Roman"/>
                <w:szCs w:val="20"/>
                <w:lang w:val="en-US"/>
              </w:rPr>
              <w:t xml:space="preserve"> </w:t>
            </w:r>
            <w:r w:rsidRPr="00434242">
              <w:rPr>
                <w:rFonts w:ascii="Times New Roman" w:hAnsi="Times New Roman" w:cs="Times New Roman"/>
                <w:szCs w:val="20"/>
                <w:lang w:val="en-US"/>
              </w:rPr>
              <w:t>mg/kg</w:t>
            </w:r>
            <w:r w:rsidR="00CA5F01" w:rsidRPr="00434242">
              <w:rPr>
                <w:rFonts w:ascii="Times New Roman" w:hAnsi="Times New Roman" w:cs="Times New Roman"/>
                <w:szCs w:val="20"/>
                <w:lang w:val="en-US"/>
              </w:rPr>
              <w:t xml:space="preserve"> bw</w:t>
            </w:r>
          </w:p>
        </w:tc>
        <w:tc>
          <w:tcPr>
            <w:tcW w:w="2532" w:type="dxa"/>
          </w:tcPr>
          <w:p w:rsidR="00D22B4B" w:rsidRPr="00434242" w:rsidRDefault="00D22B4B" w:rsidP="00434242">
            <w:pPr>
              <w:pStyle w:val="MSDS-TUZeile"/>
              <w:ind w:left="30"/>
              <w:jc w:val="center"/>
              <w:rPr>
                <w:rFonts w:ascii="Times New Roman" w:hAnsi="Times New Roman" w:cs="Times New Roman"/>
                <w:szCs w:val="20"/>
              </w:rPr>
            </w:pPr>
            <w:r w:rsidRPr="00434242">
              <w:rPr>
                <w:rFonts w:ascii="Times New Roman" w:hAnsi="Times New Roman" w:cs="Times New Roman"/>
                <w:szCs w:val="20"/>
              </w:rPr>
              <w:t>Weatherby, 1955</w:t>
            </w:r>
          </w:p>
        </w:tc>
      </w:tr>
      <w:tr w:rsidR="00D22B4B" w:rsidRPr="00FD325B" w:rsidTr="00434242">
        <w:tc>
          <w:tcPr>
            <w:tcW w:w="2612" w:type="dxa"/>
          </w:tcPr>
          <w:p w:rsidR="00D22B4B" w:rsidRPr="00434242" w:rsidRDefault="00D22B4B" w:rsidP="00434242">
            <w:pPr>
              <w:pStyle w:val="MSDS-TZeile"/>
              <w:ind w:left="0"/>
              <w:jc w:val="center"/>
              <w:rPr>
                <w:rFonts w:ascii="Times New Roman" w:hAnsi="Times New Roman" w:cs="Times New Roman"/>
                <w:b/>
                <w:szCs w:val="20"/>
                <w:lang w:val="en-US"/>
              </w:rPr>
            </w:pPr>
          </w:p>
        </w:tc>
        <w:tc>
          <w:tcPr>
            <w:tcW w:w="2213" w:type="dxa"/>
          </w:tcPr>
          <w:p w:rsidR="00D22B4B" w:rsidRPr="00434242" w:rsidRDefault="00D22B4B" w:rsidP="00434242">
            <w:pPr>
              <w:pStyle w:val="MSDS-TUZeile"/>
              <w:ind w:left="0"/>
              <w:jc w:val="center"/>
              <w:rPr>
                <w:rFonts w:ascii="Times New Roman" w:hAnsi="Times New Roman" w:cs="Times New Roman"/>
                <w:szCs w:val="20"/>
                <w:lang w:val="en-US"/>
              </w:rPr>
            </w:pPr>
            <w:r w:rsidRPr="00434242">
              <w:rPr>
                <w:rFonts w:ascii="Times New Roman" w:hAnsi="Times New Roman" w:cs="Times New Roman"/>
                <w:szCs w:val="20"/>
                <w:lang w:val="en-US"/>
              </w:rPr>
              <w:t>Dog</w:t>
            </w:r>
          </w:p>
          <w:p w:rsidR="00D22B4B" w:rsidRPr="00434242" w:rsidRDefault="00D22B4B" w:rsidP="00434242">
            <w:pPr>
              <w:pStyle w:val="MSDS-TUZeile"/>
              <w:ind w:left="0"/>
              <w:jc w:val="center"/>
              <w:rPr>
                <w:rFonts w:ascii="Times New Roman" w:hAnsi="Times New Roman" w:cs="Times New Roman"/>
                <w:szCs w:val="20"/>
                <w:lang w:val="en-US"/>
              </w:rPr>
            </w:pPr>
          </w:p>
        </w:tc>
        <w:tc>
          <w:tcPr>
            <w:tcW w:w="2498" w:type="dxa"/>
          </w:tcPr>
          <w:p w:rsidR="00D22B4B" w:rsidRPr="00434242" w:rsidRDefault="00D22B4B" w:rsidP="00434242">
            <w:pPr>
              <w:pStyle w:val="MSDS-TUZeile"/>
              <w:ind w:left="0"/>
              <w:jc w:val="center"/>
              <w:rPr>
                <w:rFonts w:ascii="Times New Roman" w:hAnsi="Times New Roman" w:cs="Times New Roman"/>
                <w:szCs w:val="20"/>
                <w:lang w:val="en-US"/>
              </w:rPr>
            </w:pPr>
            <w:r w:rsidRPr="00434242">
              <w:rPr>
                <w:rFonts w:ascii="Times New Roman" w:hAnsi="Times New Roman" w:cs="Times New Roman"/>
                <w:szCs w:val="20"/>
                <w:lang w:val="en-US"/>
              </w:rPr>
              <w:t>500</w:t>
            </w:r>
            <w:r w:rsidR="00CA5F01" w:rsidRPr="00434242">
              <w:rPr>
                <w:rFonts w:ascii="Times New Roman" w:hAnsi="Times New Roman" w:cs="Times New Roman"/>
                <w:szCs w:val="20"/>
                <w:lang w:val="en-US"/>
              </w:rPr>
              <w:t xml:space="preserve"> </w:t>
            </w:r>
            <w:r w:rsidRPr="00434242">
              <w:rPr>
                <w:rFonts w:ascii="Times New Roman" w:hAnsi="Times New Roman" w:cs="Times New Roman"/>
                <w:szCs w:val="20"/>
                <w:lang w:val="en-US"/>
              </w:rPr>
              <w:t>&lt;</w:t>
            </w:r>
            <w:r w:rsidR="00CA5F01" w:rsidRPr="00434242">
              <w:rPr>
                <w:rFonts w:ascii="Times New Roman" w:hAnsi="Times New Roman" w:cs="Times New Roman"/>
                <w:szCs w:val="20"/>
                <w:lang w:val="en-US"/>
              </w:rPr>
              <w:t xml:space="preserve"> </w:t>
            </w:r>
            <w:r w:rsidRPr="00434242">
              <w:rPr>
                <w:rFonts w:ascii="Times New Roman" w:hAnsi="Times New Roman" w:cs="Times New Roman"/>
                <w:szCs w:val="20"/>
                <w:lang w:val="en-US"/>
              </w:rPr>
              <w:t>LD</w:t>
            </w:r>
            <w:r w:rsidRPr="00434242">
              <w:rPr>
                <w:rFonts w:ascii="Times New Roman" w:hAnsi="Times New Roman" w:cs="Times New Roman"/>
                <w:szCs w:val="20"/>
                <w:vertAlign w:val="subscript"/>
                <w:lang w:val="en-US"/>
              </w:rPr>
              <w:t>50</w:t>
            </w:r>
            <w:r w:rsidRPr="00434242">
              <w:rPr>
                <w:rFonts w:ascii="Times New Roman" w:hAnsi="Times New Roman" w:cs="Times New Roman"/>
                <w:szCs w:val="20"/>
                <w:lang w:val="en-US"/>
              </w:rPr>
              <w:t xml:space="preserve"> </w:t>
            </w:r>
            <w:r w:rsidR="00775B5B" w:rsidRPr="00434242">
              <w:rPr>
                <w:rFonts w:ascii="Times New Roman" w:hAnsi="Times New Roman" w:cs="Times New Roman"/>
                <w:szCs w:val="20"/>
                <w:lang w:val="en-US"/>
              </w:rPr>
              <w:t>&lt;1000</w:t>
            </w:r>
            <w:r w:rsidR="00CA5F01" w:rsidRPr="00434242">
              <w:rPr>
                <w:rFonts w:ascii="Times New Roman" w:hAnsi="Times New Roman" w:cs="Times New Roman"/>
                <w:szCs w:val="20"/>
                <w:lang w:val="en-US"/>
              </w:rPr>
              <w:t xml:space="preserve"> mg/kg bw</w:t>
            </w:r>
          </w:p>
        </w:tc>
        <w:tc>
          <w:tcPr>
            <w:tcW w:w="2532" w:type="dxa"/>
          </w:tcPr>
          <w:p w:rsidR="00D22B4B" w:rsidRPr="00434242" w:rsidRDefault="00775B5B" w:rsidP="00434242">
            <w:pPr>
              <w:pStyle w:val="MSDS-TUZeile"/>
              <w:ind w:left="30"/>
              <w:jc w:val="center"/>
              <w:rPr>
                <w:rFonts w:ascii="Times New Roman" w:hAnsi="Times New Roman" w:cs="Times New Roman"/>
                <w:szCs w:val="20"/>
              </w:rPr>
            </w:pPr>
            <w:r w:rsidRPr="00434242">
              <w:rPr>
                <w:rFonts w:ascii="Times New Roman" w:hAnsi="Times New Roman" w:cs="Times New Roman"/>
                <w:szCs w:val="20"/>
              </w:rPr>
              <w:t>Weatherby, 1955</w:t>
            </w:r>
          </w:p>
        </w:tc>
      </w:tr>
      <w:tr w:rsidR="00D22B4B" w:rsidRPr="00FD325B" w:rsidTr="00434242">
        <w:tc>
          <w:tcPr>
            <w:tcW w:w="2612" w:type="dxa"/>
          </w:tcPr>
          <w:p w:rsidR="00D22B4B" w:rsidRPr="00434242" w:rsidRDefault="00D22B4B"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Nitroethane</w:t>
            </w:r>
          </w:p>
          <w:p w:rsidR="00D22B4B" w:rsidRPr="00434242" w:rsidRDefault="00D22B4B" w:rsidP="00434242">
            <w:pPr>
              <w:pStyle w:val="MSDS-TUZeile"/>
              <w:jc w:val="center"/>
              <w:rPr>
                <w:szCs w:val="20"/>
                <w:lang w:val="en-US"/>
              </w:rPr>
            </w:pPr>
          </w:p>
        </w:tc>
        <w:tc>
          <w:tcPr>
            <w:tcW w:w="2213" w:type="dxa"/>
          </w:tcPr>
          <w:p w:rsidR="00D22B4B" w:rsidRPr="00434242" w:rsidRDefault="00775B5B" w:rsidP="00434242">
            <w:pPr>
              <w:pStyle w:val="MSDS-TUZeile"/>
              <w:ind w:left="0"/>
              <w:jc w:val="center"/>
              <w:rPr>
                <w:rFonts w:ascii="Times New Roman" w:hAnsi="Times New Roman" w:cs="Times New Roman"/>
                <w:szCs w:val="20"/>
                <w:lang w:val="en-US"/>
              </w:rPr>
            </w:pPr>
            <w:r w:rsidRPr="00434242">
              <w:rPr>
                <w:rFonts w:ascii="Times New Roman" w:hAnsi="Times New Roman" w:cs="Times New Roman"/>
                <w:szCs w:val="20"/>
                <w:lang w:val="en-US"/>
              </w:rPr>
              <w:t>Rat</w:t>
            </w:r>
          </w:p>
        </w:tc>
        <w:tc>
          <w:tcPr>
            <w:tcW w:w="2498" w:type="dxa"/>
          </w:tcPr>
          <w:p w:rsidR="00D22B4B" w:rsidRPr="00434242" w:rsidRDefault="00D22B4B" w:rsidP="00434242">
            <w:pPr>
              <w:pStyle w:val="MSDS-TUZeile"/>
              <w:ind w:left="0"/>
              <w:jc w:val="center"/>
              <w:rPr>
                <w:rFonts w:ascii="Times New Roman" w:hAnsi="Times New Roman" w:cs="Times New Roman"/>
                <w:szCs w:val="20"/>
                <w:lang w:val="en-US"/>
              </w:rPr>
            </w:pPr>
            <w:r w:rsidRPr="00434242">
              <w:rPr>
                <w:rFonts w:ascii="Times New Roman" w:hAnsi="Times New Roman" w:cs="Times New Roman"/>
                <w:szCs w:val="20"/>
                <w:lang w:val="en-US"/>
              </w:rPr>
              <w:t>1256 mg/kg</w:t>
            </w:r>
            <w:r w:rsidR="00CA5F01" w:rsidRPr="00434242">
              <w:rPr>
                <w:rFonts w:ascii="Times New Roman" w:hAnsi="Times New Roman" w:cs="Times New Roman"/>
                <w:szCs w:val="20"/>
                <w:lang w:val="en-US"/>
              </w:rPr>
              <w:t xml:space="preserve"> bw</w:t>
            </w:r>
          </w:p>
        </w:tc>
        <w:tc>
          <w:tcPr>
            <w:tcW w:w="2532" w:type="dxa"/>
          </w:tcPr>
          <w:p w:rsidR="00D22B4B" w:rsidRPr="00434242" w:rsidRDefault="00D22B4B" w:rsidP="00434242">
            <w:pPr>
              <w:pStyle w:val="MSDS-TUZeile"/>
              <w:ind w:left="30"/>
              <w:jc w:val="center"/>
              <w:rPr>
                <w:rFonts w:ascii="Times New Roman" w:hAnsi="Times New Roman" w:cs="Times New Roman"/>
                <w:szCs w:val="20"/>
                <w:lang w:val="en-US"/>
              </w:rPr>
            </w:pPr>
            <w:r w:rsidRPr="00434242">
              <w:rPr>
                <w:rFonts w:ascii="Times New Roman" w:hAnsi="Times New Roman" w:cs="Times New Roman"/>
                <w:szCs w:val="20"/>
              </w:rPr>
              <w:t>Parekh and Wilbur, 1982b</w:t>
            </w:r>
          </w:p>
        </w:tc>
      </w:tr>
      <w:tr w:rsidR="00D22B4B" w:rsidRPr="00FD325B" w:rsidTr="00434242">
        <w:tc>
          <w:tcPr>
            <w:tcW w:w="2612" w:type="dxa"/>
          </w:tcPr>
          <w:p w:rsidR="00D22B4B" w:rsidRPr="00434242" w:rsidRDefault="00D22B4B" w:rsidP="00434242">
            <w:pPr>
              <w:pStyle w:val="MSDS-TZeile"/>
              <w:ind w:left="0"/>
              <w:jc w:val="center"/>
              <w:rPr>
                <w:rFonts w:ascii="Times New Roman" w:hAnsi="Times New Roman" w:cs="Times New Roman"/>
                <w:b/>
                <w:szCs w:val="20"/>
                <w:lang w:val="en-US"/>
              </w:rPr>
            </w:pPr>
          </w:p>
        </w:tc>
        <w:tc>
          <w:tcPr>
            <w:tcW w:w="2213" w:type="dxa"/>
          </w:tcPr>
          <w:p w:rsidR="00D22B4B" w:rsidRPr="00434242" w:rsidRDefault="00775B5B" w:rsidP="00434242">
            <w:pPr>
              <w:pStyle w:val="MSDS-TUZeile"/>
              <w:ind w:left="0"/>
              <w:jc w:val="center"/>
              <w:rPr>
                <w:rFonts w:ascii="Times New Roman" w:hAnsi="Times New Roman" w:cs="Times New Roman"/>
                <w:szCs w:val="20"/>
                <w:lang w:val="en-US"/>
              </w:rPr>
            </w:pPr>
            <w:r w:rsidRPr="00434242">
              <w:rPr>
                <w:rFonts w:ascii="Times New Roman" w:hAnsi="Times New Roman" w:cs="Times New Roman"/>
                <w:szCs w:val="20"/>
                <w:lang w:val="en-US"/>
              </w:rPr>
              <w:t>Rat</w:t>
            </w:r>
          </w:p>
          <w:p w:rsidR="00775B5B" w:rsidRPr="00434242" w:rsidRDefault="00775B5B" w:rsidP="00434242">
            <w:pPr>
              <w:pStyle w:val="MSDS-TUZeile"/>
              <w:ind w:left="0"/>
              <w:jc w:val="center"/>
              <w:rPr>
                <w:rFonts w:ascii="Times New Roman" w:hAnsi="Times New Roman" w:cs="Times New Roman"/>
                <w:szCs w:val="20"/>
                <w:lang w:val="en-US"/>
              </w:rPr>
            </w:pPr>
          </w:p>
        </w:tc>
        <w:tc>
          <w:tcPr>
            <w:tcW w:w="2498" w:type="dxa"/>
          </w:tcPr>
          <w:p w:rsidR="00D22B4B" w:rsidRPr="00434242" w:rsidRDefault="00CA5F01" w:rsidP="00434242">
            <w:pPr>
              <w:pStyle w:val="MSDS-TUZeile"/>
              <w:ind w:left="0"/>
              <w:jc w:val="center"/>
              <w:rPr>
                <w:rFonts w:ascii="Times New Roman" w:hAnsi="Times New Roman" w:cs="Times New Roman"/>
                <w:szCs w:val="20"/>
                <w:lang w:val="en-US"/>
              </w:rPr>
            </w:pPr>
            <w:r w:rsidRPr="00434242">
              <w:rPr>
                <w:rFonts w:ascii="Times New Roman" w:hAnsi="Times New Roman" w:cs="Times New Roman"/>
                <w:szCs w:val="20"/>
                <w:lang w:val="en-US"/>
              </w:rPr>
              <w:t>~</w:t>
            </w:r>
            <w:r w:rsidR="00775B5B" w:rsidRPr="00434242">
              <w:rPr>
                <w:rFonts w:ascii="Times New Roman" w:hAnsi="Times New Roman" w:cs="Times New Roman"/>
                <w:szCs w:val="20"/>
                <w:lang w:val="en-US"/>
              </w:rPr>
              <w:t>1000mg/kg</w:t>
            </w:r>
            <w:r w:rsidRPr="00434242">
              <w:rPr>
                <w:rFonts w:ascii="Times New Roman" w:hAnsi="Times New Roman" w:cs="Times New Roman"/>
                <w:szCs w:val="20"/>
                <w:lang w:val="en-US"/>
              </w:rPr>
              <w:t xml:space="preserve"> bw</w:t>
            </w:r>
          </w:p>
        </w:tc>
        <w:tc>
          <w:tcPr>
            <w:tcW w:w="2532" w:type="dxa"/>
          </w:tcPr>
          <w:p w:rsidR="00D22B4B" w:rsidRPr="00434242" w:rsidRDefault="00775B5B" w:rsidP="00434242">
            <w:pPr>
              <w:pStyle w:val="MSDS-TUZeile"/>
              <w:ind w:left="30"/>
              <w:jc w:val="center"/>
              <w:rPr>
                <w:rFonts w:ascii="Times New Roman" w:hAnsi="Times New Roman" w:cs="Times New Roman"/>
                <w:szCs w:val="20"/>
              </w:rPr>
            </w:pPr>
            <w:r w:rsidRPr="00434242">
              <w:rPr>
                <w:rFonts w:ascii="Times New Roman" w:hAnsi="Times New Roman" w:cs="Times New Roman"/>
                <w:szCs w:val="20"/>
              </w:rPr>
              <w:t>Olson 1964</w:t>
            </w:r>
          </w:p>
        </w:tc>
      </w:tr>
      <w:tr w:rsidR="00D22B4B" w:rsidRPr="00FD325B" w:rsidTr="00434242">
        <w:tc>
          <w:tcPr>
            <w:tcW w:w="2612" w:type="dxa"/>
          </w:tcPr>
          <w:p w:rsidR="00D22B4B" w:rsidRPr="00434242" w:rsidRDefault="00D22B4B"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1-Nitropropane</w:t>
            </w:r>
          </w:p>
          <w:p w:rsidR="00D22B4B" w:rsidRPr="00434242" w:rsidRDefault="00D22B4B" w:rsidP="00434242">
            <w:pPr>
              <w:pStyle w:val="MSDS-TUZeile"/>
              <w:jc w:val="center"/>
              <w:rPr>
                <w:szCs w:val="20"/>
                <w:lang w:val="en-US"/>
              </w:rPr>
            </w:pPr>
          </w:p>
        </w:tc>
        <w:tc>
          <w:tcPr>
            <w:tcW w:w="2213" w:type="dxa"/>
          </w:tcPr>
          <w:p w:rsidR="00D22B4B" w:rsidRPr="00434242" w:rsidRDefault="00D22B4B" w:rsidP="00434242">
            <w:pPr>
              <w:pStyle w:val="MSDS-TZeile"/>
              <w:ind w:left="0"/>
              <w:jc w:val="center"/>
              <w:rPr>
                <w:rFonts w:ascii="Times New Roman" w:hAnsi="Times New Roman" w:cs="Times New Roman"/>
                <w:szCs w:val="20"/>
              </w:rPr>
            </w:pPr>
          </w:p>
        </w:tc>
        <w:tc>
          <w:tcPr>
            <w:tcW w:w="2498" w:type="dxa"/>
          </w:tcPr>
          <w:p w:rsidR="00D22B4B" w:rsidRPr="00434242" w:rsidRDefault="00D22B4B" w:rsidP="00434242">
            <w:pPr>
              <w:pStyle w:val="MSDS-TZeile"/>
              <w:ind w:left="0"/>
              <w:jc w:val="center"/>
              <w:rPr>
                <w:rFonts w:ascii="Times New Roman" w:hAnsi="Times New Roman" w:cs="Times New Roman"/>
                <w:szCs w:val="20"/>
                <w:lang w:val="en-US"/>
              </w:rPr>
            </w:pPr>
            <w:r w:rsidRPr="00434242">
              <w:rPr>
                <w:rFonts w:ascii="Times New Roman" w:hAnsi="Times New Roman" w:cs="Times New Roman"/>
                <w:szCs w:val="20"/>
              </w:rPr>
              <w:t>506 mg/kg</w:t>
            </w:r>
            <w:r w:rsidR="00CA5F01" w:rsidRPr="00434242">
              <w:rPr>
                <w:rFonts w:ascii="Times New Roman" w:hAnsi="Times New Roman" w:cs="Times New Roman"/>
                <w:szCs w:val="20"/>
              </w:rPr>
              <w:t xml:space="preserve"> bw</w:t>
            </w:r>
          </w:p>
        </w:tc>
        <w:tc>
          <w:tcPr>
            <w:tcW w:w="2532" w:type="dxa"/>
          </w:tcPr>
          <w:p w:rsidR="00D22B4B" w:rsidRPr="00434242" w:rsidRDefault="00D22B4B" w:rsidP="00434242">
            <w:pPr>
              <w:pStyle w:val="MSDS-TZeile"/>
              <w:ind w:left="0"/>
              <w:jc w:val="center"/>
              <w:rPr>
                <w:rFonts w:ascii="Times New Roman" w:hAnsi="Times New Roman" w:cs="Times New Roman"/>
                <w:szCs w:val="20"/>
                <w:lang w:val="en-US"/>
              </w:rPr>
            </w:pPr>
            <w:r w:rsidRPr="00434242">
              <w:rPr>
                <w:rFonts w:ascii="Times New Roman" w:hAnsi="Times New Roman" w:cs="Times New Roman"/>
                <w:szCs w:val="20"/>
              </w:rPr>
              <w:t>Parekh, 1981a</w:t>
            </w:r>
          </w:p>
        </w:tc>
      </w:tr>
    </w:tbl>
    <w:p w:rsidR="002D3827" w:rsidRPr="002D3827" w:rsidRDefault="002D3827" w:rsidP="00D93802">
      <w:pPr>
        <w:pStyle w:val="Heading8"/>
        <w:spacing w:before="240"/>
        <w:jc w:val="both"/>
      </w:pPr>
      <w:r w:rsidRPr="002D3827">
        <w:t xml:space="preserve">Studies in </w:t>
      </w:r>
      <w:r>
        <w:t>Human</w:t>
      </w:r>
      <w:r w:rsidRPr="002D3827">
        <w:t>s</w:t>
      </w:r>
    </w:p>
    <w:p w:rsidR="00204A39" w:rsidRDefault="002D3827" w:rsidP="00F37C80">
      <w:pPr>
        <w:pStyle w:val="BodyText"/>
      </w:pPr>
      <w:r w:rsidRPr="002D3827">
        <w:t>There is no</w:t>
      </w:r>
      <w:r w:rsidR="00204A39" w:rsidRPr="002D3827">
        <w:t xml:space="preserve"> </w:t>
      </w:r>
      <w:r>
        <w:t xml:space="preserve">acute toxicity </w:t>
      </w:r>
      <w:r w:rsidR="00204A39" w:rsidRPr="002D3827">
        <w:t>data available</w:t>
      </w:r>
      <w:r w:rsidRPr="002D3827">
        <w:t xml:space="preserve"> in humans</w:t>
      </w:r>
      <w:r>
        <w:t xml:space="preserve"> for any exposure route</w:t>
      </w:r>
      <w:r w:rsidR="00204A39" w:rsidRPr="002D3827">
        <w:t>.</w:t>
      </w:r>
    </w:p>
    <w:p w:rsidR="00930634" w:rsidRDefault="00B320DF" w:rsidP="00D93802">
      <w:pPr>
        <w:pStyle w:val="Heading8"/>
      </w:pPr>
      <w:r w:rsidRPr="00F37C80">
        <w:t>Conclusion</w:t>
      </w:r>
    </w:p>
    <w:p w:rsidR="00930634" w:rsidRPr="00930634" w:rsidRDefault="00930634" w:rsidP="00F37C80">
      <w:pPr>
        <w:pStyle w:val="BodyText"/>
      </w:pPr>
      <w:r>
        <w:t xml:space="preserve">Acute toxicity data </w:t>
      </w:r>
      <w:r w:rsidR="002B3F30">
        <w:t xml:space="preserve">are available </w:t>
      </w:r>
      <w:r>
        <w:t>for all</w:t>
      </w:r>
      <w:r w:rsidRPr="002D3827">
        <w:t xml:space="preserve"> three members of the </w:t>
      </w:r>
      <w:r w:rsidR="002B3F30">
        <w:t xml:space="preserve">short chain nitroparaffins </w:t>
      </w:r>
      <w:r w:rsidRPr="002D3827">
        <w:t>category.</w:t>
      </w:r>
      <w:r w:rsidRPr="00152B17">
        <w:rPr>
          <w:sz w:val="20"/>
        </w:rPr>
        <w:t xml:space="preserve"> </w:t>
      </w:r>
      <w:r w:rsidR="002B3F30">
        <w:rPr>
          <w:sz w:val="20"/>
        </w:rPr>
        <w:t xml:space="preserve"> </w:t>
      </w:r>
      <w:r>
        <w:rPr>
          <w:lang w:val="en-US"/>
        </w:rPr>
        <w:t xml:space="preserve">The weight-of-evidence based on the available data suggests that the </w:t>
      </w:r>
      <w:r w:rsidR="0035159A">
        <w:rPr>
          <w:lang w:val="en-US"/>
        </w:rPr>
        <w:t xml:space="preserve">1-hr </w:t>
      </w:r>
      <w:r>
        <w:rPr>
          <w:lang w:val="en-US"/>
        </w:rPr>
        <w:t xml:space="preserve">inhalation </w:t>
      </w:r>
      <w:r w:rsidRPr="00D97630">
        <w:rPr>
          <w:lang w:val="en-US"/>
        </w:rPr>
        <w:t>L</w:t>
      </w:r>
      <w:r>
        <w:rPr>
          <w:lang w:val="en-US"/>
        </w:rPr>
        <w:t>C</w:t>
      </w:r>
      <w:r w:rsidRPr="00D97630">
        <w:rPr>
          <w:vertAlign w:val="subscript"/>
          <w:lang w:val="en-US"/>
        </w:rPr>
        <w:t>50</w:t>
      </w:r>
      <w:r w:rsidRPr="00D97630">
        <w:rPr>
          <w:lang w:val="en-US"/>
        </w:rPr>
        <w:t xml:space="preserve"> of </w:t>
      </w:r>
      <w:r w:rsidR="00000996">
        <w:rPr>
          <w:lang w:val="en-US"/>
        </w:rPr>
        <w:t>nitromethane is</w:t>
      </w:r>
      <w:r w:rsidRPr="00D97630">
        <w:rPr>
          <w:lang w:val="en-US"/>
        </w:rPr>
        <w:t xml:space="preserve"> </w:t>
      </w:r>
      <w:r w:rsidR="00000996">
        <w:rPr>
          <w:lang w:val="en-US"/>
        </w:rPr>
        <w:t>&gt;12.75 mg/L</w:t>
      </w:r>
      <w:r>
        <w:rPr>
          <w:lang w:val="en-US"/>
        </w:rPr>
        <w:t xml:space="preserve">. </w:t>
      </w:r>
      <w:r w:rsidR="002B3F30">
        <w:rPr>
          <w:lang w:val="en-US"/>
        </w:rPr>
        <w:t xml:space="preserve"> </w:t>
      </w:r>
      <w:r>
        <w:rPr>
          <w:lang w:val="en-US"/>
        </w:rPr>
        <w:t xml:space="preserve">Clinical signs of inhalation </w:t>
      </w:r>
      <w:r w:rsidR="00000996">
        <w:rPr>
          <w:lang w:val="en-US"/>
        </w:rPr>
        <w:t>include mild sedation and eye irritation</w:t>
      </w:r>
      <w:r>
        <w:rPr>
          <w:lang w:val="en-US"/>
        </w:rPr>
        <w:t xml:space="preserve">. </w:t>
      </w:r>
      <w:r w:rsidR="0035159A">
        <w:rPr>
          <w:lang w:val="en-US"/>
        </w:rPr>
        <w:t xml:space="preserve"> </w:t>
      </w:r>
      <w:r w:rsidR="0035159A" w:rsidRPr="00D97630">
        <w:rPr>
          <w:lang w:val="en-US"/>
        </w:rPr>
        <w:t>The dermal LD</w:t>
      </w:r>
      <w:r w:rsidR="0035159A" w:rsidRPr="00D97630">
        <w:rPr>
          <w:vertAlign w:val="subscript"/>
          <w:lang w:val="en-US"/>
        </w:rPr>
        <w:t>50</w:t>
      </w:r>
      <w:r w:rsidR="0035159A" w:rsidRPr="00D97630">
        <w:rPr>
          <w:lang w:val="en-US"/>
        </w:rPr>
        <w:t xml:space="preserve">s of all three category members </w:t>
      </w:r>
      <w:r w:rsidR="00237AF9">
        <w:rPr>
          <w:lang w:val="en-US"/>
        </w:rPr>
        <w:t>are</w:t>
      </w:r>
      <w:r w:rsidR="0035159A" w:rsidRPr="00D97630">
        <w:rPr>
          <w:lang w:val="en-US"/>
        </w:rPr>
        <w:t xml:space="preserve"> greater than 2000 mg/kg-</w:t>
      </w:r>
      <w:proofErr w:type="gramStart"/>
      <w:r w:rsidR="0035159A" w:rsidRPr="00D97630">
        <w:rPr>
          <w:lang w:val="en-US"/>
        </w:rPr>
        <w:t>bw</w:t>
      </w:r>
      <w:proofErr w:type="gramEnd"/>
      <w:r w:rsidR="0035159A" w:rsidRPr="00D97630">
        <w:rPr>
          <w:lang w:val="en-US"/>
        </w:rPr>
        <w:t xml:space="preserve"> in rabbits</w:t>
      </w:r>
      <w:r w:rsidR="0035159A">
        <w:rPr>
          <w:lang w:val="en-US"/>
        </w:rPr>
        <w:t xml:space="preserve"> and</w:t>
      </w:r>
      <w:r w:rsidR="0035159A">
        <w:t xml:space="preserve"> no clinical signs of toxicity were observed.  </w:t>
      </w:r>
      <w:r w:rsidRPr="00152B17">
        <w:t xml:space="preserve">The </w:t>
      </w:r>
      <w:r>
        <w:t xml:space="preserve">oral </w:t>
      </w:r>
      <w:r w:rsidRPr="00152B17">
        <w:t>LD</w:t>
      </w:r>
      <w:r w:rsidRPr="007C256E">
        <w:rPr>
          <w:vertAlign w:val="subscript"/>
        </w:rPr>
        <w:t>50</w:t>
      </w:r>
      <w:r w:rsidRPr="00152B17">
        <w:t xml:space="preserve">s for nitromethane, nitroethane and 1-nitropropane are </w:t>
      </w:r>
      <w:r w:rsidRPr="00D97630">
        <w:rPr>
          <w:lang w:val="en-US"/>
        </w:rPr>
        <w:t>1478 mg/kg</w:t>
      </w:r>
      <w:r w:rsidR="002B3F30">
        <w:rPr>
          <w:lang w:val="en-US"/>
        </w:rPr>
        <w:t xml:space="preserve"> </w:t>
      </w:r>
      <w:proofErr w:type="gramStart"/>
      <w:r w:rsidRPr="00D97630">
        <w:rPr>
          <w:lang w:val="en-US"/>
        </w:rPr>
        <w:t>bw</w:t>
      </w:r>
      <w:proofErr w:type="gramEnd"/>
      <w:r w:rsidRPr="00D97630">
        <w:rPr>
          <w:lang w:val="en-US"/>
        </w:rPr>
        <w:t>, 1256 mg/kg</w:t>
      </w:r>
      <w:r w:rsidR="002B3F30">
        <w:rPr>
          <w:lang w:val="en-US"/>
        </w:rPr>
        <w:t xml:space="preserve"> </w:t>
      </w:r>
      <w:r w:rsidRPr="00D97630">
        <w:rPr>
          <w:lang w:val="en-US"/>
        </w:rPr>
        <w:t>bw and</w:t>
      </w:r>
      <w:r w:rsidRPr="00D97630" w:rsidDel="007C256E">
        <w:rPr>
          <w:lang w:val="en-US"/>
        </w:rPr>
        <w:t xml:space="preserve"> </w:t>
      </w:r>
      <w:r w:rsidRPr="00D97630">
        <w:rPr>
          <w:lang w:val="en-US"/>
        </w:rPr>
        <w:t>506 mg/kg</w:t>
      </w:r>
      <w:r w:rsidR="002B3F30">
        <w:rPr>
          <w:lang w:val="en-US"/>
        </w:rPr>
        <w:t xml:space="preserve"> </w:t>
      </w:r>
      <w:r w:rsidRPr="00D97630">
        <w:rPr>
          <w:lang w:val="en-US"/>
        </w:rPr>
        <w:t>bw</w:t>
      </w:r>
      <w:r w:rsidR="004642B2">
        <w:rPr>
          <w:lang w:val="en-US"/>
        </w:rPr>
        <w:t>, respectively</w:t>
      </w:r>
      <w:r w:rsidRPr="00D97630">
        <w:rPr>
          <w:lang w:val="en-US"/>
        </w:rPr>
        <w:t xml:space="preserve">. </w:t>
      </w:r>
      <w:r>
        <w:rPr>
          <w:lang w:val="en-US"/>
        </w:rPr>
        <w:t xml:space="preserve"> Clinical signs of oral toxicity include ataxia and convulsions.  At necropsy, severe intestinal hemorrhaging </w:t>
      </w:r>
      <w:r w:rsidR="0035159A">
        <w:rPr>
          <w:lang w:val="en-US"/>
        </w:rPr>
        <w:t>wa</w:t>
      </w:r>
      <w:r>
        <w:rPr>
          <w:lang w:val="en-US"/>
        </w:rPr>
        <w:t>s seen.</w:t>
      </w:r>
    </w:p>
    <w:p w:rsidR="00204A39" w:rsidRPr="00A5286B" w:rsidRDefault="00204A39" w:rsidP="00F37C80">
      <w:pPr>
        <w:pStyle w:val="Heading3"/>
        <w:jc w:val="both"/>
      </w:pPr>
      <w:bookmarkStart w:id="76" w:name="_Toc32726031"/>
      <w:bookmarkStart w:id="77" w:name="_Toc32727214"/>
      <w:bookmarkStart w:id="78" w:name="_Toc147824544"/>
      <w:r w:rsidRPr="00A5286B">
        <w:t>Irritation</w:t>
      </w:r>
      <w:bookmarkEnd w:id="76"/>
      <w:bookmarkEnd w:id="77"/>
      <w:bookmarkEnd w:id="78"/>
    </w:p>
    <w:p w:rsidR="0016655D" w:rsidRPr="00F37C80" w:rsidRDefault="00B320DF" w:rsidP="009C4A54">
      <w:pPr>
        <w:pStyle w:val="Heading8"/>
      </w:pPr>
      <w:r w:rsidRPr="00F37C80">
        <w:t>Skin Irritation</w:t>
      </w:r>
    </w:p>
    <w:p w:rsidR="00204A39" w:rsidRPr="000246D5" w:rsidRDefault="00204A39" w:rsidP="00F37C80">
      <w:pPr>
        <w:pStyle w:val="BodyText"/>
        <w:rPr>
          <w:lang w:val="en-US"/>
        </w:rPr>
      </w:pPr>
      <w:r w:rsidRPr="000246D5">
        <w:rPr>
          <w:i/>
          <w:iCs/>
          <w:lang w:val="en-US"/>
        </w:rPr>
        <w:t>Studies in Animals</w:t>
      </w:r>
    </w:p>
    <w:p w:rsidR="000246D5" w:rsidRPr="000246D5" w:rsidRDefault="000246D5" w:rsidP="00F37C80">
      <w:pPr>
        <w:pStyle w:val="BodyText"/>
      </w:pPr>
      <w:proofErr w:type="gramStart"/>
      <w:r w:rsidRPr="006B3AE0">
        <w:rPr>
          <w:i/>
          <w:u w:val="single"/>
        </w:rPr>
        <w:t>Nitromethane</w:t>
      </w:r>
      <w:r w:rsidR="009130BF">
        <w:rPr>
          <w:i/>
        </w:rPr>
        <w:t>.</w:t>
      </w:r>
      <w:proofErr w:type="gramEnd"/>
      <w:r w:rsidR="009130BF">
        <w:rPr>
          <w:i/>
        </w:rPr>
        <w:t xml:space="preserve">  </w:t>
      </w:r>
      <w:r>
        <w:t xml:space="preserve">Skin irritation </w:t>
      </w:r>
      <w:r w:rsidR="006B3AE0">
        <w:t xml:space="preserve">in </w:t>
      </w:r>
      <w:r w:rsidR="00490ED1">
        <w:t xml:space="preserve">6 </w:t>
      </w:r>
      <w:r w:rsidR="006B3AE0">
        <w:t xml:space="preserve">rabbits </w:t>
      </w:r>
      <w:r>
        <w:t xml:space="preserve">was assessed in a </w:t>
      </w:r>
      <w:r w:rsidR="006B3AE0">
        <w:t>24-hour occluded exposure to 0.5 mL of undiluted nitromethane</w:t>
      </w:r>
      <w:r w:rsidR="00490ED1">
        <w:t xml:space="preserve"> and evaluated up to 72 hours following expoxure</w:t>
      </w:r>
      <w:r w:rsidR="006B3AE0">
        <w:t xml:space="preserve">.  </w:t>
      </w:r>
      <w:r>
        <w:t xml:space="preserve">No irritation was noted in </w:t>
      </w:r>
      <w:r w:rsidR="006B3AE0">
        <w:t>any of the</w:t>
      </w:r>
      <w:r w:rsidR="00490ED1">
        <w:t xml:space="preserve"> </w:t>
      </w:r>
      <w:r>
        <w:t xml:space="preserve">rabbits </w:t>
      </w:r>
      <w:r w:rsidR="00490ED1">
        <w:t xml:space="preserve">on either </w:t>
      </w:r>
      <w:r>
        <w:t xml:space="preserve">abraded </w:t>
      </w:r>
      <w:r w:rsidR="00365729">
        <w:t xml:space="preserve">or </w:t>
      </w:r>
      <w:r>
        <w:t>intact sites</w:t>
      </w:r>
      <w:r w:rsidR="00490ED1">
        <w:t xml:space="preserve"> (Parekh and Wilbur, 1980)</w:t>
      </w:r>
      <w:r>
        <w:t>.</w:t>
      </w:r>
    </w:p>
    <w:p w:rsidR="005420D9" w:rsidRDefault="000246D5" w:rsidP="00F37C80">
      <w:pPr>
        <w:jc w:val="both"/>
      </w:pPr>
      <w:proofErr w:type="gramStart"/>
      <w:r w:rsidRPr="006B3AE0">
        <w:rPr>
          <w:i/>
          <w:u w:val="single"/>
        </w:rPr>
        <w:t>Nitroethane</w:t>
      </w:r>
      <w:r w:rsidR="009130BF">
        <w:rPr>
          <w:i/>
        </w:rPr>
        <w:t>.</w:t>
      </w:r>
      <w:proofErr w:type="gramEnd"/>
      <w:r w:rsidR="009130BF">
        <w:rPr>
          <w:i/>
        </w:rPr>
        <w:t xml:space="preserve">  </w:t>
      </w:r>
      <w:r w:rsidR="00991A24">
        <w:t>S</w:t>
      </w:r>
      <w:r w:rsidR="005420D9">
        <w:t xml:space="preserve">kin irritation in </w:t>
      </w:r>
      <w:r w:rsidR="0016655D">
        <w:t xml:space="preserve">6 </w:t>
      </w:r>
      <w:r w:rsidR="005420D9">
        <w:t>rabbits was assessed in a 24-hour occluded exposure to 0.5 mL of undiluted nitroethane</w:t>
      </w:r>
      <w:r w:rsidR="00490ED1">
        <w:t xml:space="preserve"> and evaluated up to 72 hours following exposure</w:t>
      </w:r>
      <w:r w:rsidR="0016655D">
        <w:t xml:space="preserve">; </w:t>
      </w:r>
      <w:r w:rsidR="00490ED1">
        <w:t>nitroethane</w:t>
      </w:r>
      <w:r w:rsidR="0016655D">
        <w:t xml:space="preserve"> wa</w:t>
      </w:r>
      <w:r w:rsidR="006B3AE0">
        <w:t xml:space="preserve">s not irritating to </w:t>
      </w:r>
      <w:r w:rsidR="005420D9">
        <w:t xml:space="preserve">abraded or intact </w:t>
      </w:r>
      <w:r w:rsidR="006B3AE0">
        <w:t>skin (Parekh and Wilbur, 1982</w:t>
      </w:r>
      <w:r w:rsidR="00A508E9">
        <w:t>c</w:t>
      </w:r>
      <w:r w:rsidR="006B3AE0">
        <w:t xml:space="preserve">).  </w:t>
      </w:r>
      <w:r w:rsidR="0016655D">
        <w:t>In another study using multiple applications to rabbit ears and belly (abraded; intact), slight exfoliation was seen on the intact belly beginning in week 2 and slight hyperemia was seen on the abraded belly beginning in week 1 (Olsen, 1964).</w:t>
      </w:r>
    </w:p>
    <w:p w:rsidR="005420D9" w:rsidRDefault="005420D9" w:rsidP="00F37C80">
      <w:pPr>
        <w:jc w:val="both"/>
      </w:pPr>
    </w:p>
    <w:p w:rsidR="00204A39" w:rsidRPr="000246D5" w:rsidRDefault="000246D5" w:rsidP="00F37C80">
      <w:pPr>
        <w:jc w:val="both"/>
      </w:pPr>
      <w:proofErr w:type="gramStart"/>
      <w:r w:rsidRPr="00991A24">
        <w:rPr>
          <w:i/>
          <w:u w:val="single"/>
        </w:rPr>
        <w:t>1-Nitropropane</w:t>
      </w:r>
      <w:r w:rsidR="009130BF">
        <w:rPr>
          <w:i/>
          <w:u w:val="single"/>
        </w:rPr>
        <w:t>.</w:t>
      </w:r>
      <w:proofErr w:type="gramEnd"/>
      <w:r w:rsidR="00204A39" w:rsidRPr="000246D5">
        <w:t xml:space="preserve"> </w:t>
      </w:r>
      <w:r w:rsidR="005420D9">
        <w:t xml:space="preserve">  </w:t>
      </w:r>
      <w:r w:rsidR="00B82C98">
        <w:t xml:space="preserve">Skin irritation in </w:t>
      </w:r>
      <w:r w:rsidR="0016655D">
        <w:t xml:space="preserve">6 </w:t>
      </w:r>
      <w:r w:rsidR="00B82C98">
        <w:t>rabbits was assessed in a 24-hour occluded exposure to 0.5 mL of undiluted 1-nitropropane</w:t>
      </w:r>
      <w:r w:rsidR="0016655D">
        <w:t xml:space="preserve"> and evaluated for 72 hours following exposure; </w:t>
      </w:r>
      <w:r w:rsidR="00B82C98">
        <w:t xml:space="preserve">1-nitropropane </w:t>
      </w:r>
      <w:r w:rsidR="0016655D">
        <w:t>wa</w:t>
      </w:r>
      <w:r w:rsidR="00B82C98">
        <w:t>s not irritating to abraded or intact skin (Parekh, 1981</w:t>
      </w:r>
      <w:r w:rsidR="008A1E52">
        <w:t>c</w:t>
      </w:r>
      <w:r w:rsidR="00B82C98">
        <w:t xml:space="preserve">).  </w:t>
      </w:r>
    </w:p>
    <w:p w:rsidR="00204A39" w:rsidRPr="00040F6F" w:rsidRDefault="00D93802" w:rsidP="00434242">
      <w:pPr>
        <w:pStyle w:val="Caption"/>
        <w:ind w:hanging="839"/>
        <w:jc w:val="both"/>
        <w:rPr>
          <w:rFonts w:ascii="Times New Roman" w:hAnsi="Times New Roman"/>
          <w:bCs w:val="0"/>
        </w:rPr>
      </w:pPr>
      <w:bookmarkStart w:id="79" w:name="_Toc264544917"/>
      <w:bookmarkStart w:id="80" w:name="_Toc266716152"/>
      <w:r>
        <w:t xml:space="preserve"> </w:t>
      </w:r>
      <w:r w:rsidR="008105BE">
        <w:t xml:space="preserve">Table </w:t>
      </w:r>
      <w:r w:rsidR="00B320DF">
        <w:fldChar w:fldCharType="begin"/>
      </w:r>
      <w:r w:rsidR="008105BE">
        <w:instrText xml:space="preserve"> SEQ Table \* ARABIC </w:instrText>
      </w:r>
      <w:r w:rsidR="00B320DF">
        <w:fldChar w:fldCharType="separate"/>
      </w:r>
      <w:r w:rsidR="006263B7">
        <w:rPr>
          <w:noProof/>
        </w:rPr>
        <w:t>9</w:t>
      </w:r>
      <w:r w:rsidR="00B320DF">
        <w:fldChar w:fldCharType="end"/>
      </w:r>
      <w:r w:rsidR="008105BE">
        <w:t xml:space="preserve"> Summary of skin irritation studies (rabbits)</w:t>
      </w:r>
      <w:bookmarkEnd w:id="79"/>
      <w:bookmarkEnd w:id="80"/>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122"/>
        <w:gridCol w:w="3355"/>
        <w:gridCol w:w="3082"/>
      </w:tblGrid>
      <w:tr w:rsidR="00204A39" w:rsidRPr="00040F6F" w:rsidTr="00434242">
        <w:tc>
          <w:tcPr>
            <w:tcW w:w="3057" w:type="dxa"/>
            <w:tcBorders>
              <w:top w:val="single" w:sz="12" w:space="0" w:color="auto"/>
              <w:bottom w:val="single" w:sz="12" w:space="0" w:color="auto"/>
            </w:tcBorders>
          </w:tcPr>
          <w:p w:rsidR="00204A39" w:rsidRPr="00434242" w:rsidRDefault="00204A39"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Test substance</w:t>
            </w:r>
          </w:p>
        </w:tc>
        <w:tc>
          <w:tcPr>
            <w:tcW w:w="3285" w:type="dxa"/>
            <w:tcBorders>
              <w:top w:val="single" w:sz="12" w:space="0" w:color="auto"/>
              <w:bottom w:val="single" w:sz="12" w:space="0" w:color="auto"/>
            </w:tcBorders>
          </w:tcPr>
          <w:p w:rsidR="00204A39" w:rsidRPr="00434242" w:rsidRDefault="00204A39"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Result</w:t>
            </w:r>
          </w:p>
        </w:tc>
        <w:tc>
          <w:tcPr>
            <w:tcW w:w="3018" w:type="dxa"/>
            <w:tcBorders>
              <w:top w:val="single" w:sz="12" w:space="0" w:color="auto"/>
              <w:bottom w:val="single" w:sz="12" w:space="0" w:color="auto"/>
            </w:tcBorders>
          </w:tcPr>
          <w:p w:rsidR="00204A39" w:rsidRPr="00434242" w:rsidRDefault="00204A39"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Reference</w:t>
            </w:r>
          </w:p>
        </w:tc>
      </w:tr>
      <w:tr w:rsidR="00040F6F" w:rsidRPr="00FD325B" w:rsidTr="00434242">
        <w:tc>
          <w:tcPr>
            <w:tcW w:w="3057" w:type="dxa"/>
            <w:tcBorders>
              <w:top w:val="single" w:sz="12" w:space="0" w:color="auto"/>
            </w:tcBorders>
          </w:tcPr>
          <w:p w:rsidR="00040F6F" w:rsidRPr="00434242" w:rsidRDefault="00040F6F"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Nitromethane</w:t>
            </w:r>
          </w:p>
        </w:tc>
        <w:tc>
          <w:tcPr>
            <w:tcW w:w="3285" w:type="dxa"/>
            <w:tcBorders>
              <w:top w:val="single" w:sz="12" w:space="0" w:color="auto"/>
            </w:tcBorders>
          </w:tcPr>
          <w:p w:rsidR="00040F6F" w:rsidRPr="00434242" w:rsidRDefault="00991A24" w:rsidP="00434242">
            <w:pPr>
              <w:pStyle w:val="MSDS-TZeile"/>
              <w:ind w:left="0"/>
              <w:jc w:val="center"/>
              <w:rPr>
                <w:rFonts w:ascii="Times New Roman" w:hAnsi="Times New Roman" w:cs="Times New Roman"/>
                <w:szCs w:val="20"/>
                <w:lang w:val="en-US"/>
              </w:rPr>
            </w:pPr>
            <w:r w:rsidRPr="00434242">
              <w:rPr>
                <w:rFonts w:ascii="Times New Roman" w:hAnsi="Times New Roman" w:cs="Times New Roman"/>
                <w:szCs w:val="20"/>
                <w:lang w:val="en-US"/>
              </w:rPr>
              <w:t>Not irritating</w:t>
            </w:r>
          </w:p>
          <w:p w:rsidR="00FD325B" w:rsidRPr="00434242" w:rsidRDefault="00FD325B" w:rsidP="00434242">
            <w:pPr>
              <w:pStyle w:val="MSDS-TUZeile"/>
              <w:jc w:val="center"/>
              <w:rPr>
                <w:szCs w:val="20"/>
                <w:lang w:val="en-US"/>
              </w:rPr>
            </w:pPr>
          </w:p>
        </w:tc>
        <w:tc>
          <w:tcPr>
            <w:tcW w:w="3018" w:type="dxa"/>
            <w:tcBorders>
              <w:top w:val="single" w:sz="12" w:space="0" w:color="auto"/>
            </w:tcBorders>
          </w:tcPr>
          <w:p w:rsidR="00040F6F" w:rsidRPr="00434242" w:rsidRDefault="00991A24" w:rsidP="00434242">
            <w:pPr>
              <w:pStyle w:val="MSDS-TZeile"/>
              <w:ind w:left="0"/>
              <w:jc w:val="center"/>
              <w:rPr>
                <w:rFonts w:ascii="Times New Roman" w:hAnsi="Times New Roman" w:cs="Times New Roman"/>
                <w:szCs w:val="20"/>
                <w:highlight w:val="cyan"/>
                <w:lang w:val="en-US"/>
              </w:rPr>
            </w:pPr>
            <w:r w:rsidRPr="00434242">
              <w:rPr>
                <w:rFonts w:ascii="Times New Roman" w:hAnsi="Times New Roman" w:cs="Times New Roman"/>
                <w:szCs w:val="20"/>
              </w:rPr>
              <w:t>Parekh and Wilbur, 1980</w:t>
            </w:r>
          </w:p>
        </w:tc>
      </w:tr>
      <w:tr w:rsidR="00040F6F" w:rsidRPr="00FD325B" w:rsidTr="00434242">
        <w:tc>
          <w:tcPr>
            <w:tcW w:w="3057" w:type="dxa"/>
          </w:tcPr>
          <w:p w:rsidR="00040F6F" w:rsidRPr="00434242" w:rsidRDefault="00040F6F"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Nitroethane</w:t>
            </w:r>
          </w:p>
        </w:tc>
        <w:tc>
          <w:tcPr>
            <w:tcW w:w="3285" w:type="dxa"/>
          </w:tcPr>
          <w:p w:rsidR="00040F6F" w:rsidRPr="00434242" w:rsidRDefault="00E97864" w:rsidP="00434242">
            <w:pPr>
              <w:pStyle w:val="MSDS-TUZeile"/>
              <w:ind w:left="0"/>
              <w:jc w:val="center"/>
              <w:rPr>
                <w:rFonts w:ascii="Times New Roman" w:hAnsi="Times New Roman" w:cs="Times New Roman"/>
                <w:szCs w:val="20"/>
                <w:lang w:val="en-US"/>
              </w:rPr>
            </w:pPr>
            <w:r w:rsidRPr="00434242">
              <w:rPr>
                <w:rFonts w:ascii="Times New Roman" w:hAnsi="Times New Roman" w:cs="Times New Roman"/>
                <w:szCs w:val="20"/>
                <w:lang w:val="en-US"/>
              </w:rPr>
              <w:t xml:space="preserve">Slightly </w:t>
            </w:r>
            <w:r w:rsidR="00991A24" w:rsidRPr="00434242">
              <w:rPr>
                <w:rFonts w:ascii="Times New Roman" w:hAnsi="Times New Roman" w:cs="Times New Roman"/>
                <w:szCs w:val="20"/>
                <w:lang w:val="en-US"/>
              </w:rPr>
              <w:t>irritating</w:t>
            </w:r>
          </w:p>
          <w:p w:rsidR="00430507" w:rsidRPr="00434242" w:rsidRDefault="00430507" w:rsidP="00434242">
            <w:pPr>
              <w:pStyle w:val="MSDS-TUZeile"/>
              <w:ind w:left="0"/>
              <w:jc w:val="center"/>
              <w:rPr>
                <w:rFonts w:ascii="Times New Roman" w:hAnsi="Times New Roman" w:cs="Times New Roman"/>
                <w:szCs w:val="20"/>
                <w:lang w:val="en-US"/>
              </w:rPr>
            </w:pPr>
          </w:p>
          <w:p w:rsidR="00FD325B" w:rsidRPr="00434242" w:rsidRDefault="00FD325B" w:rsidP="00434242">
            <w:pPr>
              <w:pStyle w:val="MSDS-TUZeile"/>
              <w:ind w:left="0"/>
              <w:jc w:val="center"/>
              <w:rPr>
                <w:rFonts w:ascii="Times New Roman" w:hAnsi="Times New Roman" w:cs="Times New Roman"/>
                <w:szCs w:val="20"/>
                <w:lang w:val="en-US"/>
              </w:rPr>
            </w:pPr>
          </w:p>
        </w:tc>
        <w:tc>
          <w:tcPr>
            <w:tcW w:w="3018" w:type="dxa"/>
          </w:tcPr>
          <w:p w:rsidR="00040F6F" w:rsidRPr="00434242" w:rsidRDefault="00991A24" w:rsidP="00434242">
            <w:pPr>
              <w:pStyle w:val="MSDS-TUZeile"/>
              <w:ind w:left="0"/>
              <w:jc w:val="center"/>
              <w:rPr>
                <w:rFonts w:ascii="Times New Roman" w:hAnsi="Times New Roman" w:cs="Times New Roman"/>
                <w:szCs w:val="20"/>
              </w:rPr>
            </w:pPr>
            <w:r w:rsidRPr="00434242">
              <w:rPr>
                <w:rFonts w:ascii="Times New Roman" w:hAnsi="Times New Roman" w:cs="Times New Roman"/>
                <w:szCs w:val="20"/>
              </w:rPr>
              <w:t>Parekh and Wilbur, 1982</w:t>
            </w:r>
            <w:r w:rsidR="006B7461" w:rsidRPr="00434242">
              <w:rPr>
                <w:rFonts w:ascii="Times New Roman" w:hAnsi="Times New Roman" w:cs="Times New Roman"/>
                <w:szCs w:val="20"/>
              </w:rPr>
              <w:t>c</w:t>
            </w:r>
          </w:p>
          <w:p w:rsidR="00430507" w:rsidRPr="00434242" w:rsidRDefault="00430507" w:rsidP="00434242">
            <w:pPr>
              <w:pStyle w:val="MSDS-TUZeile"/>
              <w:ind w:left="0"/>
              <w:jc w:val="center"/>
              <w:rPr>
                <w:rFonts w:ascii="Times New Roman" w:hAnsi="Times New Roman" w:cs="Times New Roman"/>
                <w:szCs w:val="20"/>
                <w:highlight w:val="cyan"/>
                <w:lang w:val="en-US"/>
              </w:rPr>
            </w:pPr>
            <w:r w:rsidRPr="00434242">
              <w:rPr>
                <w:rFonts w:ascii="Times New Roman" w:hAnsi="Times New Roman" w:cs="Times New Roman"/>
                <w:szCs w:val="20"/>
              </w:rPr>
              <w:t>Olsen, 1964</w:t>
            </w:r>
          </w:p>
        </w:tc>
      </w:tr>
      <w:tr w:rsidR="00040F6F" w:rsidRPr="00FD325B" w:rsidTr="00434242">
        <w:tc>
          <w:tcPr>
            <w:tcW w:w="3057" w:type="dxa"/>
          </w:tcPr>
          <w:p w:rsidR="00040F6F" w:rsidRPr="00434242" w:rsidRDefault="00040F6F" w:rsidP="00434242">
            <w:pPr>
              <w:pStyle w:val="MSDS-TZeile"/>
              <w:ind w:left="0"/>
              <w:jc w:val="center"/>
              <w:rPr>
                <w:rFonts w:ascii="Times New Roman" w:hAnsi="Times New Roman" w:cs="Times New Roman"/>
                <w:b/>
                <w:szCs w:val="20"/>
                <w:lang w:val="en-US"/>
              </w:rPr>
            </w:pPr>
            <w:r w:rsidRPr="00434242">
              <w:rPr>
                <w:rFonts w:ascii="Times New Roman" w:hAnsi="Times New Roman" w:cs="Times New Roman"/>
                <w:b/>
                <w:szCs w:val="20"/>
                <w:lang w:val="en-US"/>
              </w:rPr>
              <w:t>1-Nitropropane</w:t>
            </w:r>
          </w:p>
        </w:tc>
        <w:tc>
          <w:tcPr>
            <w:tcW w:w="3285" w:type="dxa"/>
          </w:tcPr>
          <w:p w:rsidR="00040F6F" w:rsidRPr="00434242" w:rsidRDefault="00991A24" w:rsidP="00434242">
            <w:pPr>
              <w:pStyle w:val="MSDS-TZeile"/>
              <w:ind w:left="0"/>
              <w:jc w:val="center"/>
              <w:rPr>
                <w:rFonts w:ascii="Times New Roman" w:hAnsi="Times New Roman" w:cs="Times New Roman"/>
                <w:szCs w:val="20"/>
                <w:lang w:val="en-US"/>
              </w:rPr>
            </w:pPr>
            <w:r w:rsidRPr="00434242">
              <w:rPr>
                <w:rFonts w:ascii="Times New Roman" w:hAnsi="Times New Roman" w:cs="Times New Roman"/>
                <w:szCs w:val="20"/>
                <w:lang w:val="en-US"/>
              </w:rPr>
              <w:t>Not irritating</w:t>
            </w:r>
          </w:p>
          <w:p w:rsidR="00FD325B" w:rsidRPr="00434242" w:rsidRDefault="00FD325B" w:rsidP="00434242">
            <w:pPr>
              <w:pStyle w:val="MSDS-TUZeile"/>
              <w:jc w:val="center"/>
              <w:rPr>
                <w:szCs w:val="20"/>
                <w:lang w:val="en-US"/>
              </w:rPr>
            </w:pPr>
          </w:p>
        </w:tc>
        <w:tc>
          <w:tcPr>
            <w:tcW w:w="3018" w:type="dxa"/>
          </w:tcPr>
          <w:p w:rsidR="00040F6F" w:rsidRPr="00434242" w:rsidRDefault="00991A24" w:rsidP="00434242">
            <w:pPr>
              <w:pStyle w:val="MSDS-TZeile"/>
              <w:ind w:left="0"/>
              <w:jc w:val="center"/>
              <w:rPr>
                <w:rFonts w:ascii="Times New Roman" w:hAnsi="Times New Roman" w:cs="Times New Roman"/>
                <w:szCs w:val="20"/>
                <w:highlight w:val="cyan"/>
                <w:lang w:val="en-US"/>
              </w:rPr>
            </w:pPr>
            <w:r w:rsidRPr="00434242">
              <w:rPr>
                <w:rFonts w:ascii="Times New Roman" w:hAnsi="Times New Roman" w:cs="Times New Roman"/>
                <w:szCs w:val="20"/>
              </w:rPr>
              <w:t>Parekh, 1981</w:t>
            </w:r>
            <w:r w:rsidR="006B7461" w:rsidRPr="00434242">
              <w:rPr>
                <w:rFonts w:ascii="Times New Roman" w:hAnsi="Times New Roman" w:cs="Times New Roman"/>
                <w:szCs w:val="20"/>
              </w:rPr>
              <w:t>c</w:t>
            </w:r>
          </w:p>
        </w:tc>
      </w:tr>
    </w:tbl>
    <w:p w:rsidR="00204A39" w:rsidRPr="00606641" w:rsidRDefault="00204A39" w:rsidP="00D93802">
      <w:pPr>
        <w:pStyle w:val="Heading8"/>
        <w:spacing w:before="240"/>
        <w:jc w:val="both"/>
      </w:pPr>
      <w:r w:rsidRPr="00606641">
        <w:t>Eye Irritation</w:t>
      </w:r>
      <w:r w:rsidR="00A46E02">
        <w:t xml:space="preserve"> </w:t>
      </w:r>
    </w:p>
    <w:p w:rsidR="006B3AE0" w:rsidRPr="00DC6CA2" w:rsidRDefault="008155E0" w:rsidP="00F37C80">
      <w:pPr>
        <w:pStyle w:val="Caption"/>
        <w:ind w:left="0"/>
        <w:jc w:val="both"/>
        <w:rPr>
          <w:rStyle w:val="BodyTextChar1"/>
          <w:rFonts w:ascii="Times New Roman" w:hAnsi="Times New Roman"/>
          <w:b w:val="0"/>
          <w:bCs w:val="0"/>
          <w:iCs/>
        </w:rPr>
      </w:pPr>
      <w:bookmarkStart w:id="81" w:name="_Toc264544918"/>
      <w:proofErr w:type="gramStart"/>
      <w:r w:rsidRPr="008155E0">
        <w:rPr>
          <w:rStyle w:val="BodyTextChar1"/>
          <w:rFonts w:ascii="Times New Roman" w:hAnsi="Times New Roman"/>
          <w:b w:val="0"/>
          <w:bCs w:val="0"/>
          <w:i/>
          <w:iCs/>
          <w:u w:val="single"/>
        </w:rPr>
        <w:t>Nitromethane</w:t>
      </w:r>
      <w:r w:rsidR="009130BF">
        <w:rPr>
          <w:rStyle w:val="BodyTextChar1"/>
          <w:rFonts w:ascii="Times New Roman" w:hAnsi="Times New Roman"/>
          <w:b w:val="0"/>
          <w:bCs w:val="0"/>
          <w:iCs/>
        </w:rPr>
        <w:t>.</w:t>
      </w:r>
      <w:proofErr w:type="gramEnd"/>
      <w:r w:rsidR="009130BF">
        <w:rPr>
          <w:rStyle w:val="BodyTextChar1"/>
          <w:rFonts w:ascii="Times New Roman" w:hAnsi="Times New Roman"/>
          <w:b w:val="0"/>
          <w:bCs w:val="0"/>
          <w:iCs/>
        </w:rPr>
        <w:t xml:space="preserve">  </w:t>
      </w:r>
      <w:r w:rsidR="007E1A7C">
        <w:rPr>
          <w:rStyle w:val="BodyTextChar1"/>
          <w:rFonts w:ascii="Times New Roman" w:hAnsi="Times New Roman"/>
          <w:b w:val="0"/>
          <w:bCs w:val="0"/>
          <w:iCs/>
        </w:rPr>
        <w:t>U</w:t>
      </w:r>
      <w:r w:rsidR="009D4752">
        <w:rPr>
          <w:rStyle w:val="BodyTextChar1"/>
          <w:rFonts w:ascii="Times New Roman" w:hAnsi="Times New Roman"/>
          <w:b w:val="0"/>
          <w:bCs w:val="0"/>
          <w:iCs/>
        </w:rPr>
        <w:t>ndiluted nitrometh</w:t>
      </w:r>
      <w:r w:rsidR="008B09BF">
        <w:rPr>
          <w:rStyle w:val="BodyTextChar1"/>
          <w:rFonts w:ascii="Times New Roman" w:hAnsi="Times New Roman"/>
          <w:b w:val="0"/>
          <w:bCs w:val="0"/>
          <w:iCs/>
        </w:rPr>
        <w:t xml:space="preserve">ane </w:t>
      </w:r>
      <w:r w:rsidR="007E1A7C">
        <w:rPr>
          <w:rStyle w:val="BodyTextChar1"/>
          <w:rFonts w:ascii="Times New Roman" w:hAnsi="Times New Roman"/>
          <w:b w:val="0"/>
          <w:bCs w:val="0"/>
          <w:iCs/>
        </w:rPr>
        <w:t xml:space="preserve">(0.1 mL) was instilled into the right eyes of 6 rabbits and evaluated </w:t>
      </w:r>
      <w:proofErr w:type="gramStart"/>
      <w:r w:rsidR="007E1A7C">
        <w:rPr>
          <w:rStyle w:val="BodyTextChar1"/>
          <w:rFonts w:ascii="Times New Roman" w:hAnsi="Times New Roman"/>
          <w:b w:val="0"/>
          <w:bCs w:val="0"/>
          <w:iCs/>
        </w:rPr>
        <w:t xml:space="preserve">for </w:t>
      </w:r>
      <w:r w:rsidR="008B09BF">
        <w:rPr>
          <w:rStyle w:val="BodyTextChar1"/>
          <w:rFonts w:ascii="Times New Roman" w:hAnsi="Times New Roman"/>
          <w:b w:val="0"/>
          <w:bCs w:val="0"/>
          <w:iCs/>
        </w:rPr>
        <w:t xml:space="preserve"> 72hour</w:t>
      </w:r>
      <w:r w:rsidR="007E1A7C">
        <w:rPr>
          <w:rStyle w:val="BodyTextChar1"/>
          <w:rFonts w:ascii="Times New Roman" w:hAnsi="Times New Roman"/>
          <w:b w:val="0"/>
          <w:bCs w:val="0"/>
          <w:iCs/>
        </w:rPr>
        <w:t>s</w:t>
      </w:r>
      <w:proofErr w:type="gramEnd"/>
      <w:r w:rsidR="008B09BF">
        <w:rPr>
          <w:rStyle w:val="BodyTextChar1"/>
          <w:rFonts w:ascii="Times New Roman" w:hAnsi="Times New Roman"/>
          <w:b w:val="0"/>
          <w:bCs w:val="0"/>
          <w:iCs/>
        </w:rPr>
        <w:t xml:space="preserve"> </w:t>
      </w:r>
      <w:r w:rsidR="007E1A7C">
        <w:rPr>
          <w:rStyle w:val="BodyTextChar1"/>
          <w:rFonts w:ascii="Times New Roman" w:hAnsi="Times New Roman"/>
          <w:b w:val="0"/>
          <w:bCs w:val="0"/>
          <w:iCs/>
        </w:rPr>
        <w:t xml:space="preserve">after </w:t>
      </w:r>
      <w:r w:rsidR="008B09BF">
        <w:rPr>
          <w:rStyle w:val="BodyTextChar1"/>
          <w:rFonts w:ascii="Times New Roman" w:hAnsi="Times New Roman"/>
          <w:b w:val="0"/>
          <w:bCs w:val="0"/>
          <w:iCs/>
        </w:rPr>
        <w:t>exposure</w:t>
      </w:r>
      <w:r w:rsidR="007E1A7C">
        <w:rPr>
          <w:rStyle w:val="BodyTextChar1"/>
          <w:rFonts w:ascii="Times New Roman" w:hAnsi="Times New Roman"/>
          <w:b w:val="0"/>
          <w:bCs w:val="0"/>
          <w:iCs/>
        </w:rPr>
        <w:t>;</w:t>
      </w:r>
      <w:r w:rsidR="0090001C">
        <w:rPr>
          <w:rStyle w:val="BodyTextChar1"/>
          <w:rFonts w:ascii="Times New Roman" w:hAnsi="Times New Roman"/>
          <w:b w:val="0"/>
          <w:bCs w:val="0"/>
          <w:iCs/>
        </w:rPr>
        <w:t xml:space="preserve"> eyes were not rinsed</w:t>
      </w:r>
      <w:r w:rsidR="007E1A7C">
        <w:rPr>
          <w:rStyle w:val="BodyTextChar1"/>
          <w:rFonts w:ascii="Times New Roman" w:hAnsi="Times New Roman"/>
          <w:b w:val="0"/>
          <w:bCs w:val="0"/>
          <w:iCs/>
        </w:rPr>
        <w:t xml:space="preserve"> during this time</w:t>
      </w:r>
      <w:r w:rsidR="008B09BF">
        <w:rPr>
          <w:rStyle w:val="BodyTextChar1"/>
          <w:rFonts w:ascii="Times New Roman" w:hAnsi="Times New Roman"/>
          <w:b w:val="0"/>
          <w:bCs w:val="0"/>
          <w:iCs/>
        </w:rPr>
        <w:t xml:space="preserve">.  </w:t>
      </w:r>
      <w:r w:rsidR="00313C34">
        <w:rPr>
          <w:rStyle w:val="BodyTextChar1"/>
          <w:rFonts w:ascii="Times New Roman" w:hAnsi="Times New Roman"/>
          <w:b w:val="0"/>
          <w:bCs w:val="0"/>
          <w:iCs/>
        </w:rPr>
        <w:t>Mild c</w:t>
      </w:r>
      <w:r w:rsidR="007E1A7C">
        <w:rPr>
          <w:rStyle w:val="BodyTextChar1"/>
          <w:rFonts w:ascii="Times New Roman" w:hAnsi="Times New Roman"/>
          <w:b w:val="0"/>
          <w:bCs w:val="0"/>
          <w:iCs/>
        </w:rPr>
        <w:t xml:space="preserve">hemosis and redness as well as moderately excessive lacrimation were seen in multiple rabbits at multiple time points.  </w:t>
      </w:r>
      <w:r w:rsidR="00E430D0">
        <w:rPr>
          <w:rStyle w:val="BodyTextChar1"/>
          <w:rFonts w:ascii="Times New Roman" w:hAnsi="Times New Roman"/>
          <w:b w:val="0"/>
          <w:bCs w:val="0"/>
          <w:iCs/>
        </w:rPr>
        <w:t>Data indicate</w:t>
      </w:r>
      <w:r w:rsidR="008B09BF">
        <w:rPr>
          <w:rStyle w:val="BodyTextChar1"/>
          <w:rFonts w:ascii="Times New Roman" w:hAnsi="Times New Roman"/>
          <w:b w:val="0"/>
          <w:bCs w:val="0"/>
          <w:iCs/>
        </w:rPr>
        <w:t>s</w:t>
      </w:r>
      <w:r w:rsidR="003600BE">
        <w:rPr>
          <w:rStyle w:val="BodyTextChar1"/>
          <w:rFonts w:ascii="Times New Roman" w:hAnsi="Times New Roman"/>
          <w:b w:val="0"/>
          <w:bCs w:val="0"/>
          <w:iCs/>
        </w:rPr>
        <w:t xml:space="preserve"> that nitromethane is </w:t>
      </w:r>
      <w:r w:rsidR="007E1A7C">
        <w:rPr>
          <w:rStyle w:val="BodyTextChar1"/>
          <w:rFonts w:ascii="Times New Roman" w:hAnsi="Times New Roman"/>
          <w:b w:val="0"/>
          <w:bCs w:val="0"/>
          <w:iCs/>
        </w:rPr>
        <w:t xml:space="preserve">slightly </w:t>
      </w:r>
      <w:r w:rsidR="003600BE">
        <w:rPr>
          <w:rStyle w:val="BodyTextChar1"/>
          <w:rFonts w:ascii="Times New Roman" w:hAnsi="Times New Roman"/>
          <w:b w:val="0"/>
          <w:bCs w:val="0"/>
          <w:iCs/>
        </w:rPr>
        <w:t>irritating to the eyes of rabbits (Altech, 1974).</w:t>
      </w:r>
      <w:bookmarkEnd w:id="81"/>
      <w:r w:rsidR="0008525A">
        <w:rPr>
          <w:rStyle w:val="BodyTextChar1"/>
          <w:rFonts w:ascii="Times New Roman" w:hAnsi="Times New Roman"/>
          <w:b w:val="0"/>
          <w:bCs w:val="0"/>
          <w:iCs/>
        </w:rPr>
        <w:t xml:space="preserve"> </w:t>
      </w:r>
      <w:r w:rsidR="00313C34">
        <w:rPr>
          <w:rStyle w:val="BodyTextChar1"/>
          <w:rFonts w:ascii="Times New Roman" w:hAnsi="Times New Roman"/>
          <w:b w:val="0"/>
          <w:bCs w:val="0"/>
          <w:iCs/>
        </w:rPr>
        <w:t xml:space="preserve"> Undiluted nitromethane (0.1 mL) was instilled into the right eyes of 6 albino rabbits and evaluated for 72 hours after exposure; eyes were not rinsed during the 72 hours.  </w:t>
      </w:r>
      <w:r w:rsidR="0098256B">
        <w:rPr>
          <w:rStyle w:val="BodyTextChar1"/>
          <w:rFonts w:ascii="Times New Roman" w:hAnsi="Times New Roman"/>
          <w:b w:val="0"/>
          <w:bCs w:val="0"/>
          <w:iCs/>
        </w:rPr>
        <w:t xml:space="preserve">Moderately excessive lacrimation was observed at 48 and 72 hours.  Nitromethane is </w:t>
      </w:r>
      <w:r w:rsidR="00237AF9">
        <w:rPr>
          <w:rStyle w:val="BodyTextChar1"/>
          <w:rFonts w:ascii="Times New Roman" w:hAnsi="Times New Roman"/>
          <w:b w:val="0"/>
          <w:bCs w:val="0"/>
          <w:iCs/>
        </w:rPr>
        <w:t xml:space="preserve">moderately </w:t>
      </w:r>
      <w:r w:rsidR="0098256B">
        <w:rPr>
          <w:rStyle w:val="BodyTextChar1"/>
          <w:rFonts w:ascii="Times New Roman" w:hAnsi="Times New Roman"/>
          <w:b w:val="0"/>
          <w:bCs w:val="0"/>
          <w:iCs/>
        </w:rPr>
        <w:t xml:space="preserve">irritating (Barnes, 1974).  </w:t>
      </w:r>
      <w:r w:rsidR="00B551DB">
        <w:rPr>
          <w:rStyle w:val="BodyTextChar1"/>
          <w:rFonts w:ascii="Times New Roman" w:hAnsi="Times New Roman"/>
          <w:b w:val="0"/>
          <w:bCs w:val="0"/>
          <w:iCs/>
        </w:rPr>
        <w:t xml:space="preserve">Although </w:t>
      </w:r>
      <w:r w:rsidR="00313C34">
        <w:rPr>
          <w:rStyle w:val="BodyTextChar1"/>
          <w:rFonts w:ascii="Times New Roman" w:hAnsi="Times New Roman"/>
          <w:b w:val="0"/>
          <w:bCs w:val="0"/>
          <w:iCs/>
        </w:rPr>
        <w:t>not a true eye irritation study</w:t>
      </w:r>
      <w:proofErr w:type="gramStart"/>
      <w:r w:rsidR="00313C34">
        <w:rPr>
          <w:rStyle w:val="BodyTextChar1"/>
          <w:rFonts w:ascii="Times New Roman" w:hAnsi="Times New Roman"/>
          <w:b w:val="0"/>
          <w:bCs w:val="0"/>
          <w:iCs/>
        </w:rPr>
        <w:t xml:space="preserve">, </w:t>
      </w:r>
      <w:r w:rsidR="00AC7106">
        <w:rPr>
          <w:rStyle w:val="BodyTextChar1"/>
          <w:rFonts w:ascii="Times New Roman" w:hAnsi="Times New Roman"/>
          <w:b w:val="0"/>
          <w:bCs w:val="0"/>
          <w:iCs/>
        </w:rPr>
        <w:t xml:space="preserve"> rat</w:t>
      </w:r>
      <w:r w:rsidR="00313C34">
        <w:rPr>
          <w:rStyle w:val="BodyTextChar1"/>
          <w:rFonts w:ascii="Times New Roman" w:hAnsi="Times New Roman"/>
          <w:b w:val="0"/>
          <w:bCs w:val="0"/>
          <w:iCs/>
        </w:rPr>
        <w:t>s</w:t>
      </w:r>
      <w:proofErr w:type="gramEnd"/>
      <w:r w:rsidR="00AC7106">
        <w:rPr>
          <w:rStyle w:val="BodyTextChar1"/>
          <w:rFonts w:ascii="Times New Roman" w:hAnsi="Times New Roman"/>
          <w:b w:val="0"/>
          <w:bCs w:val="0"/>
          <w:iCs/>
        </w:rPr>
        <w:t xml:space="preserve"> showed signs of eye irritation when exposed to nitromethane vapour at 1</w:t>
      </w:r>
      <w:r w:rsidR="0090001C">
        <w:rPr>
          <w:rStyle w:val="BodyTextChar1"/>
          <w:rFonts w:ascii="Times New Roman" w:hAnsi="Times New Roman"/>
          <w:b w:val="0"/>
          <w:bCs w:val="0"/>
          <w:iCs/>
        </w:rPr>
        <w:t>2.</w:t>
      </w:r>
      <w:r w:rsidR="00AC7106">
        <w:rPr>
          <w:rStyle w:val="BodyTextChar1"/>
          <w:rFonts w:ascii="Times New Roman" w:hAnsi="Times New Roman"/>
          <w:b w:val="0"/>
          <w:bCs w:val="0"/>
          <w:iCs/>
        </w:rPr>
        <w:t>75 mg/</w:t>
      </w:r>
      <w:r w:rsidR="0090001C">
        <w:rPr>
          <w:rStyle w:val="BodyTextChar1"/>
          <w:rFonts w:ascii="Times New Roman" w:hAnsi="Times New Roman"/>
          <w:b w:val="0"/>
          <w:bCs w:val="0"/>
          <w:iCs/>
        </w:rPr>
        <w:t>L</w:t>
      </w:r>
      <w:r w:rsidR="00AC7106">
        <w:rPr>
          <w:rStyle w:val="BodyTextChar1"/>
          <w:rFonts w:ascii="Times New Roman" w:hAnsi="Times New Roman"/>
          <w:b w:val="0"/>
          <w:bCs w:val="0"/>
          <w:iCs/>
        </w:rPr>
        <w:t xml:space="preserve"> for 1 hour</w:t>
      </w:r>
      <w:r w:rsidR="00B551DB">
        <w:rPr>
          <w:rStyle w:val="BodyTextChar1"/>
          <w:rFonts w:ascii="Times New Roman" w:hAnsi="Times New Roman"/>
          <w:b w:val="0"/>
          <w:bCs w:val="0"/>
          <w:iCs/>
        </w:rPr>
        <w:t xml:space="preserve"> </w:t>
      </w:r>
      <w:r w:rsidR="0090001C">
        <w:rPr>
          <w:rStyle w:val="BodyTextChar1"/>
          <w:rFonts w:ascii="Times New Roman" w:hAnsi="Times New Roman"/>
          <w:b w:val="0"/>
          <w:bCs w:val="0"/>
          <w:iCs/>
        </w:rPr>
        <w:t xml:space="preserve"> (Baldwin, 1956)</w:t>
      </w:r>
      <w:r w:rsidR="00AC7106">
        <w:rPr>
          <w:rStyle w:val="BodyTextChar1"/>
          <w:rFonts w:ascii="Times New Roman" w:hAnsi="Times New Roman"/>
          <w:b w:val="0"/>
          <w:bCs w:val="0"/>
          <w:iCs/>
        </w:rPr>
        <w:t>.</w:t>
      </w:r>
    </w:p>
    <w:p w:rsidR="008155E0" w:rsidRDefault="008155E0" w:rsidP="00F37C80">
      <w:pPr>
        <w:jc w:val="both"/>
        <w:rPr>
          <w:i/>
          <w:u w:val="single"/>
        </w:rPr>
      </w:pPr>
    </w:p>
    <w:p w:rsidR="006B3AE0" w:rsidRDefault="006B3AE0" w:rsidP="00F37C80">
      <w:pPr>
        <w:jc w:val="both"/>
      </w:pPr>
      <w:proofErr w:type="gramStart"/>
      <w:r w:rsidRPr="00991A24">
        <w:rPr>
          <w:i/>
          <w:u w:val="single"/>
        </w:rPr>
        <w:t>Nitroethane</w:t>
      </w:r>
      <w:r w:rsidR="009130BF" w:rsidRPr="009130BF">
        <w:rPr>
          <w:i/>
        </w:rPr>
        <w:t>.</w:t>
      </w:r>
      <w:proofErr w:type="gramEnd"/>
      <w:r w:rsidR="009130BF" w:rsidRPr="009130BF">
        <w:rPr>
          <w:i/>
        </w:rPr>
        <w:t xml:space="preserve">  </w:t>
      </w:r>
      <w:r w:rsidR="0098256B">
        <w:rPr>
          <w:rStyle w:val="BodyTextChar1"/>
          <w:bCs/>
          <w:iCs/>
        </w:rPr>
        <w:t xml:space="preserve">Undiluted nitroethane (0.1 mL) was instilled in the right eyes of </w:t>
      </w:r>
      <w:r w:rsidR="00D83BAD">
        <w:rPr>
          <w:rStyle w:val="BodyTextChar1"/>
          <w:bCs/>
          <w:iCs/>
        </w:rPr>
        <w:t xml:space="preserve">6 </w:t>
      </w:r>
      <w:r w:rsidR="00B320DF" w:rsidRPr="00F37C80">
        <w:rPr>
          <w:rStyle w:val="BodyTextChar1"/>
          <w:bCs/>
          <w:iCs/>
        </w:rPr>
        <w:t>rabbits</w:t>
      </w:r>
      <w:r w:rsidR="00BF5B6D">
        <w:rPr>
          <w:rStyle w:val="BodyTextChar1"/>
          <w:bCs/>
          <w:iCs/>
        </w:rPr>
        <w:t xml:space="preserve"> and evaluated for up to 72 hours after exposure</w:t>
      </w:r>
      <w:proofErr w:type="gramStart"/>
      <w:r w:rsidR="00BF5B6D">
        <w:rPr>
          <w:rStyle w:val="BodyTextChar1"/>
          <w:bCs/>
          <w:iCs/>
        </w:rPr>
        <w:t>;</w:t>
      </w:r>
      <w:r w:rsidR="00B320DF" w:rsidRPr="00F37C80">
        <w:rPr>
          <w:rStyle w:val="BodyTextChar1"/>
          <w:bCs/>
          <w:iCs/>
        </w:rPr>
        <w:t xml:space="preserve"> </w:t>
      </w:r>
      <w:r w:rsidR="0098256B">
        <w:rPr>
          <w:rStyle w:val="BodyTextChar1"/>
          <w:bCs/>
          <w:iCs/>
        </w:rPr>
        <w:t>;</w:t>
      </w:r>
      <w:proofErr w:type="gramEnd"/>
      <w:r w:rsidR="0098256B">
        <w:rPr>
          <w:rStyle w:val="BodyTextChar1"/>
          <w:bCs/>
          <w:iCs/>
        </w:rPr>
        <w:t xml:space="preserve"> eyes were not rinsed</w:t>
      </w:r>
      <w:r w:rsidR="00BF5B6D">
        <w:rPr>
          <w:rStyle w:val="BodyTextChar1"/>
          <w:bCs/>
          <w:iCs/>
        </w:rPr>
        <w:t xml:space="preserve"> within this time</w:t>
      </w:r>
      <w:r w:rsidR="00B320DF" w:rsidRPr="00F37C80">
        <w:rPr>
          <w:rStyle w:val="BodyTextChar1"/>
          <w:bCs/>
          <w:iCs/>
        </w:rPr>
        <w:t>.</w:t>
      </w:r>
      <w:r w:rsidR="00D83BAD">
        <w:rPr>
          <w:rStyle w:val="BodyTextChar1"/>
          <w:b/>
          <w:bCs/>
          <w:iCs/>
        </w:rPr>
        <w:t xml:space="preserve"> </w:t>
      </w:r>
      <w:r w:rsidR="00B320DF" w:rsidRPr="00F37C80">
        <w:t xml:space="preserve"> </w:t>
      </w:r>
      <w:r w:rsidR="00D83BAD">
        <w:t xml:space="preserve">Data indicates </w:t>
      </w:r>
      <w:r w:rsidR="003600BE">
        <w:t xml:space="preserve">nitroethane to be </w:t>
      </w:r>
      <w:r>
        <w:t xml:space="preserve">slightly irritating to </w:t>
      </w:r>
      <w:r w:rsidR="00D83BAD">
        <w:t xml:space="preserve">the </w:t>
      </w:r>
      <w:r>
        <w:t>eyes</w:t>
      </w:r>
      <w:r w:rsidR="00D83BAD">
        <w:t xml:space="preserve"> of rabbits</w:t>
      </w:r>
      <w:r>
        <w:t xml:space="preserve"> (Reagan, 1989</w:t>
      </w:r>
      <w:r w:rsidR="0008525A">
        <w:t>a</w:t>
      </w:r>
      <w:r>
        <w:t>).</w:t>
      </w:r>
      <w:r w:rsidR="00542D47">
        <w:t xml:space="preserve">  Another eye irritation study was conducted in </w:t>
      </w:r>
      <w:proofErr w:type="gramStart"/>
      <w:r w:rsidR="00542D47">
        <w:t>rabbits</w:t>
      </w:r>
      <w:proofErr w:type="gramEnd"/>
      <w:r w:rsidR="00542D47">
        <w:t xml:space="preserve"> demonstrated slight pain upon direct cont</w:t>
      </w:r>
      <w:r w:rsidR="00FF7290">
        <w:t>a</w:t>
      </w:r>
      <w:r w:rsidR="00542D47">
        <w:t>ct and slight transient conjunctival redness that essentially subsided in 24 hours (Olson, 1964).</w:t>
      </w:r>
      <w:r w:rsidR="0098256B">
        <w:t xml:space="preserve"> </w:t>
      </w:r>
      <w:r w:rsidR="00FF7290">
        <w:t xml:space="preserve"> </w:t>
      </w:r>
      <w:r w:rsidR="0098256B">
        <w:t>Undiluted nitroethane (0.1 mL) was instilled in the right eyes of 6 albino rabbits and evaluated up to 72 hours after exposure.  A few animals exhibited moderately excessive lacrimation at 48 and 72 hours</w:t>
      </w:r>
      <w:r w:rsidR="00237AF9">
        <w:t>.  Nitroethane was moderately</w:t>
      </w:r>
      <w:r w:rsidR="00924AE8">
        <w:t xml:space="preserve"> irritating in this study</w:t>
      </w:r>
      <w:r w:rsidR="0098256B">
        <w:t xml:space="preserve"> (Barnes, 1974).</w:t>
      </w:r>
    </w:p>
    <w:p w:rsidR="008155E0" w:rsidRDefault="008155E0" w:rsidP="00F37C80">
      <w:pPr>
        <w:jc w:val="both"/>
      </w:pPr>
    </w:p>
    <w:p w:rsidR="008155E0" w:rsidRPr="008155E0" w:rsidRDefault="008155E0" w:rsidP="00F37C80">
      <w:pPr>
        <w:jc w:val="both"/>
        <w:rPr>
          <w:i/>
          <w:u w:val="single"/>
        </w:rPr>
      </w:pPr>
      <w:proofErr w:type="gramStart"/>
      <w:r w:rsidRPr="008155E0">
        <w:rPr>
          <w:i/>
          <w:u w:val="single"/>
        </w:rPr>
        <w:t>1-Nitropropane</w:t>
      </w:r>
      <w:r w:rsidR="009130BF">
        <w:rPr>
          <w:i/>
        </w:rPr>
        <w:t>.</w:t>
      </w:r>
      <w:proofErr w:type="gramEnd"/>
      <w:r w:rsidR="009130BF">
        <w:rPr>
          <w:i/>
        </w:rPr>
        <w:t xml:space="preserve">  </w:t>
      </w:r>
      <w:r w:rsidR="00B320DF" w:rsidRPr="00F37C80">
        <w:rPr>
          <w:rStyle w:val="BodyTextChar1"/>
          <w:bCs/>
          <w:iCs/>
        </w:rPr>
        <w:t>An eye irritation study in 6 rabbits was performed using 0.1 mL of undiluted 1-nitropropane with a 72 hour exposure time.</w:t>
      </w:r>
      <w:r w:rsidR="00D83BAD">
        <w:rPr>
          <w:rStyle w:val="BodyTextChar1"/>
          <w:b/>
          <w:bCs/>
          <w:iCs/>
        </w:rPr>
        <w:t xml:space="preserve">  </w:t>
      </w:r>
      <w:r w:rsidR="00D83BAD">
        <w:t>Data</w:t>
      </w:r>
      <w:r w:rsidR="003600BE">
        <w:t xml:space="preserve"> indicates that 1-nitropropane is slightly irritating to the eyes </w:t>
      </w:r>
      <w:r w:rsidR="00D83BAD">
        <w:t xml:space="preserve">of rabbits </w:t>
      </w:r>
      <w:r w:rsidR="003600BE">
        <w:t>(Reagan, 1989</w:t>
      </w:r>
      <w:r w:rsidR="0008525A">
        <w:t>b</w:t>
      </w:r>
      <w:r w:rsidR="003600BE">
        <w:t>).</w:t>
      </w:r>
      <w:r w:rsidR="0008525A">
        <w:t xml:space="preserve"> </w:t>
      </w:r>
      <w:r w:rsidR="00924AE8">
        <w:t xml:space="preserve"> Undiluted 1-nitropropane (0.1 mL) was instilled in the right eyes of 6 albino rabbits and evaluated up to 72 hours after expos</w:t>
      </w:r>
      <w:r w:rsidR="006115CF">
        <w:t>u</w:t>
      </w:r>
      <w:r w:rsidR="00924AE8">
        <w:t xml:space="preserve">re.  A few rabbits exhibited moderately excessive lacrimation at 48 and 72 hours.  1-Nitropropane was </w:t>
      </w:r>
      <w:r w:rsidR="00B320DF" w:rsidRPr="00F37C80">
        <w:t>moderately</w:t>
      </w:r>
      <w:r w:rsidR="00237AF9">
        <w:t xml:space="preserve"> </w:t>
      </w:r>
      <w:r w:rsidR="00924AE8">
        <w:t>irritating in this study (Barnes, 1974).</w:t>
      </w:r>
    </w:p>
    <w:p w:rsidR="00204A39" w:rsidRPr="00606641" w:rsidRDefault="00D93802" w:rsidP="000F7F8E">
      <w:pPr>
        <w:pStyle w:val="Caption"/>
        <w:ind w:hanging="839"/>
        <w:jc w:val="both"/>
        <w:rPr>
          <w:rFonts w:ascii="Times New Roman" w:hAnsi="Times New Roman"/>
          <w:bCs w:val="0"/>
        </w:rPr>
      </w:pPr>
      <w:bookmarkStart w:id="82" w:name="_Toc264544919"/>
      <w:bookmarkStart w:id="83" w:name="_Toc266716153"/>
      <w:r>
        <w:t xml:space="preserve"> </w:t>
      </w:r>
      <w:r w:rsidR="008105BE">
        <w:t xml:space="preserve">Table </w:t>
      </w:r>
      <w:r w:rsidR="00B320DF">
        <w:fldChar w:fldCharType="begin"/>
      </w:r>
      <w:r w:rsidR="008105BE">
        <w:instrText xml:space="preserve"> SEQ Table \* ARABIC </w:instrText>
      </w:r>
      <w:r w:rsidR="00B320DF">
        <w:fldChar w:fldCharType="separate"/>
      </w:r>
      <w:r w:rsidR="006263B7">
        <w:rPr>
          <w:noProof/>
        </w:rPr>
        <w:t>10</w:t>
      </w:r>
      <w:r w:rsidR="00B320DF">
        <w:fldChar w:fldCharType="end"/>
      </w:r>
      <w:r w:rsidR="005A43AA">
        <w:t xml:space="preserve">  </w:t>
      </w:r>
      <w:r w:rsidR="000F7F8E">
        <w:t xml:space="preserve"> </w:t>
      </w:r>
      <w:r w:rsidR="008105BE">
        <w:t>Summary of eye irritation studies (rabbits)</w:t>
      </w:r>
      <w:bookmarkEnd w:id="82"/>
      <w:bookmarkEnd w:id="83"/>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122"/>
        <w:gridCol w:w="3355"/>
        <w:gridCol w:w="3082"/>
      </w:tblGrid>
      <w:tr w:rsidR="00606641" w:rsidRPr="00040F6F" w:rsidTr="000F7F8E">
        <w:tc>
          <w:tcPr>
            <w:tcW w:w="3057" w:type="dxa"/>
            <w:tcBorders>
              <w:top w:val="single" w:sz="12" w:space="0" w:color="auto"/>
              <w:bottom w:val="single" w:sz="12" w:space="0" w:color="auto"/>
            </w:tcBorders>
          </w:tcPr>
          <w:p w:rsidR="00606641" w:rsidRPr="000F7F8E" w:rsidRDefault="00606641" w:rsidP="000F7F8E">
            <w:pPr>
              <w:pStyle w:val="MSDS-TZeile"/>
              <w:ind w:left="0"/>
              <w:jc w:val="center"/>
              <w:rPr>
                <w:rFonts w:ascii="Times New Roman" w:hAnsi="Times New Roman" w:cs="Times New Roman"/>
                <w:b/>
                <w:szCs w:val="20"/>
                <w:lang w:val="en-US"/>
              </w:rPr>
            </w:pPr>
            <w:r w:rsidRPr="000F7F8E">
              <w:rPr>
                <w:rFonts w:ascii="Times New Roman" w:hAnsi="Times New Roman" w:cs="Times New Roman"/>
                <w:b/>
                <w:szCs w:val="20"/>
                <w:lang w:val="en-US"/>
              </w:rPr>
              <w:t>Test substance</w:t>
            </w:r>
          </w:p>
        </w:tc>
        <w:tc>
          <w:tcPr>
            <w:tcW w:w="3285" w:type="dxa"/>
            <w:tcBorders>
              <w:top w:val="single" w:sz="12" w:space="0" w:color="auto"/>
              <w:bottom w:val="single" w:sz="12" w:space="0" w:color="auto"/>
            </w:tcBorders>
          </w:tcPr>
          <w:p w:rsidR="00606641" w:rsidRPr="000F7F8E" w:rsidRDefault="00606641" w:rsidP="000F7F8E">
            <w:pPr>
              <w:pStyle w:val="MSDS-TZeile"/>
              <w:ind w:left="0"/>
              <w:jc w:val="center"/>
              <w:rPr>
                <w:rFonts w:ascii="Times New Roman" w:hAnsi="Times New Roman" w:cs="Times New Roman"/>
                <w:b/>
                <w:szCs w:val="20"/>
                <w:lang w:val="en-US"/>
              </w:rPr>
            </w:pPr>
            <w:r w:rsidRPr="000F7F8E">
              <w:rPr>
                <w:rFonts w:ascii="Times New Roman" w:hAnsi="Times New Roman" w:cs="Times New Roman"/>
                <w:b/>
                <w:szCs w:val="20"/>
                <w:lang w:val="en-US"/>
              </w:rPr>
              <w:t>Result</w:t>
            </w:r>
          </w:p>
        </w:tc>
        <w:tc>
          <w:tcPr>
            <w:tcW w:w="3018" w:type="dxa"/>
            <w:tcBorders>
              <w:top w:val="single" w:sz="12" w:space="0" w:color="auto"/>
              <w:bottom w:val="single" w:sz="12" w:space="0" w:color="auto"/>
            </w:tcBorders>
          </w:tcPr>
          <w:p w:rsidR="00606641" w:rsidRPr="000F7F8E" w:rsidRDefault="00606641" w:rsidP="000F7F8E">
            <w:pPr>
              <w:pStyle w:val="MSDS-TZeile"/>
              <w:ind w:left="0"/>
              <w:jc w:val="center"/>
              <w:rPr>
                <w:rFonts w:ascii="Times New Roman" w:hAnsi="Times New Roman" w:cs="Times New Roman"/>
                <w:b/>
                <w:szCs w:val="20"/>
                <w:lang w:val="en-US"/>
              </w:rPr>
            </w:pPr>
            <w:r w:rsidRPr="000F7F8E">
              <w:rPr>
                <w:rFonts w:ascii="Times New Roman" w:hAnsi="Times New Roman" w:cs="Times New Roman"/>
                <w:b/>
                <w:szCs w:val="20"/>
                <w:lang w:val="en-US"/>
              </w:rPr>
              <w:t>Reference</w:t>
            </w:r>
            <w:r w:rsidR="0008525A" w:rsidRPr="000F7F8E">
              <w:rPr>
                <w:rFonts w:ascii="Times New Roman" w:hAnsi="Times New Roman" w:cs="Times New Roman"/>
                <w:b/>
                <w:szCs w:val="20"/>
                <w:lang w:val="en-US"/>
              </w:rPr>
              <w:t xml:space="preserve"> ok</w:t>
            </w:r>
          </w:p>
        </w:tc>
      </w:tr>
      <w:tr w:rsidR="00606641" w:rsidRPr="00FD325B" w:rsidTr="000F7F8E">
        <w:tc>
          <w:tcPr>
            <w:tcW w:w="3057" w:type="dxa"/>
            <w:tcBorders>
              <w:top w:val="single" w:sz="12" w:space="0" w:color="auto"/>
            </w:tcBorders>
          </w:tcPr>
          <w:p w:rsidR="00606641" w:rsidRPr="000F7F8E" w:rsidRDefault="00606641" w:rsidP="000F7F8E">
            <w:pPr>
              <w:pStyle w:val="MSDS-TZeile"/>
              <w:ind w:left="0"/>
              <w:jc w:val="center"/>
              <w:rPr>
                <w:rFonts w:ascii="Times New Roman" w:hAnsi="Times New Roman" w:cs="Times New Roman"/>
                <w:b/>
                <w:szCs w:val="20"/>
                <w:lang w:val="en-US"/>
              </w:rPr>
            </w:pPr>
            <w:r w:rsidRPr="000F7F8E">
              <w:rPr>
                <w:rFonts w:ascii="Times New Roman" w:hAnsi="Times New Roman" w:cs="Times New Roman"/>
                <w:b/>
                <w:szCs w:val="20"/>
                <w:lang w:val="en-US"/>
              </w:rPr>
              <w:t>Nitromethane</w:t>
            </w:r>
          </w:p>
          <w:p w:rsidR="00367552" w:rsidRPr="000F7F8E" w:rsidRDefault="00367552" w:rsidP="000F7F8E">
            <w:pPr>
              <w:pStyle w:val="MSDS-TUZeile"/>
              <w:jc w:val="center"/>
              <w:rPr>
                <w:rFonts w:ascii="Times New Roman" w:hAnsi="Times New Roman" w:cs="Times New Roman"/>
                <w:szCs w:val="20"/>
                <w:lang w:val="en-US"/>
              </w:rPr>
            </w:pPr>
          </w:p>
        </w:tc>
        <w:tc>
          <w:tcPr>
            <w:tcW w:w="3285" w:type="dxa"/>
            <w:tcBorders>
              <w:top w:val="single" w:sz="12" w:space="0" w:color="auto"/>
            </w:tcBorders>
          </w:tcPr>
          <w:p w:rsidR="00606641" w:rsidRPr="000F7F8E" w:rsidRDefault="007E1A7C"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szCs w:val="20"/>
                <w:lang w:val="en-US"/>
              </w:rPr>
              <w:t xml:space="preserve">Slightly </w:t>
            </w:r>
            <w:r w:rsidR="00307F4F" w:rsidRPr="000F7F8E">
              <w:rPr>
                <w:rFonts w:ascii="Times New Roman" w:hAnsi="Times New Roman" w:cs="Times New Roman"/>
                <w:szCs w:val="20"/>
                <w:lang w:val="en-US"/>
              </w:rPr>
              <w:t>irritating</w:t>
            </w:r>
          </w:p>
          <w:p w:rsidR="00CE20DB" w:rsidRPr="000F7F8E" w:rsidRDefault="00E97864" w:rsidP="000F7F8E">
            <w:pPr>
              <w:pStyle w:val="MSDS-TUZeile"/>
              <w:jc w:val="center"/>
              <w:rPr>
                <w:rFonts w:ascii="Times New Roman" w:hAnsi="Times New Roman" w:cs="Times New Roman"/>
                <w:caps/>
                <w:noProof/>
                <w:szCs w:val="20"/>
                <w:lang w:val="en-US"/>
              </w:rPr>
            </w:pPr>
            <w:r w:rsidRPr="000F7F8E">
              <w:rPr>
                <w:rFonts w:ascii="Times New Roman" w:hAnsi="Times New Roman" w:cs="Times New Roman"/>
                <w:szCs w:val="20"/>
                <w:lang w:val="en-US"/>
              </w:rPr>
              <w:t>Moderately</w:t>
            </w:r>
            <w:r w:rsidR="00B320DF" w:rsidRPr="000F7F8E">
              <w:rPr>
                <w:rFonts w:ascii="Times New Roman" w:hAnsi="Times New Roman" w:cs="Times New Roman"/>
                <w:szCs w:val="20"/>
                <w:lang w:val="en-US"/>
              </w:rPr>
              <w:t xml:space="preserve"> irritating</w:t>
            </w:r>
          </w:p>
        </w:tc>
        <w:tc>
          <w:tcPr>
            <w:tcW w:w="3018" w:type="dxa"/>
            <w:tcBorders>
              <w:top w:val="single" w:sz="12" w:space="0" w:color="auto"/>
            </w:tcBorders>
          </w:tcPr>
          <w:p w:rsidR="00606641" w:rsidRPr="000F7F8E" w:rsidRDefault="00307F4F" w:rsidP="000F7F8E">
            <w:pPr>
              <w:pStyle w:val="MSDS-TZeile"/>
              <w:ind w:left="0"/>
              <w:jc w:val="center"/>
              <w:rPr>
                <w:rStyle w:val="BodyTextChar1"/>
                <w:rFonts w:ascii="Times New Roman" w:hAnsi="Times New Roman" w:cs="Times New Roman"/>
                <w:bCs/>
                <w:iCs/>
                <w:sz w:val="20"/>
                <w:szCs w:val="20"/>
              </w:rPr>
            </w:pPr>
            <w:r w:rsidRPr="000F7F8E">
              <w:rPr>
                <w:rStyle w:val="BodyTextChar1"/>
                <w:rFonts w:ascii="Times New Roman" w:hAnsi="Times New Roman" w:cs="Times New Roman"/>
                <w:bCs/>
                <w:iCs/>
                <w:sz w:val="20"/>
                <w:szCs w:val="20"/>
              </w:rPr>
              <w:t>Altech, 1974</w:t>
            </w:r>
          </w:p>
          <w:p w:rsidR="00CE20DB" w:rsidRPr="000F7F8E" w:rsidRDefault="00B320DF" w:rsidP="000F7F8E">
            <w:pPr>
              <w:pStyle w:val="MSDS-TUZeile"/>
              <w:jc w:val="center"/>
              <w:rPr>
                <w:rFonts w:ascii="Times New Roman" w:hAnsi="Times New Roman" w:cs="Times New Roman"/>
                <w:szCs w:val="20"/>
                <w:lang w:val="en-GB"/>
              </w:rPr>
            </w:pPr>
            <w:r w:rsidRPr="000F7F8E">
              <w:rPr>
                <w:rFonts w:ascii="Times New Roman" w:hAnsi="Times New Roman" w:cs="Times New Roman"/>
                <w:szCs w:val="20"/>
                <w:lang w:val="en-GB"/>
              </w:rPr>
              <w:t>Barnes, 1974</w:t>
            </w:r>
          </w:p>
        </w:tc>
      </w:tr>
      <w:tr w:rsidR="00606641" w:rsidRPr="00FD325B" w:rsidTr="000F7F8E">
        <w:tc>
          <w:tcPr>
            <w:tcW w:w="3057" w:type="dxa"/>
          </w:tcPr>
          <w:p w:rsidR="00606641" w:rsidRPr="000F7F8E" w:rsidRDefault="00606641" w:rsidP="000F7F8E">
            <w:pPr>
              <w:pStyle w:val="MSDS-TZeile"/>
              <w:ind w:left="0"/>
              <w:jc w:val="center"/>
              <w:rPr>
                <w:rFonts w:ascii="Times New Roman" w:hAnsi="Times New Roman" w:cs="Times New Roman"/>
                <w:b/>
                <w:szCs w:val="20"/>
                <w:lang w:val="en-US"/>
              </w:rPr>
            </w:pPr>
            <w:r w:rsidRPr="000F7F8E">
              <w:rPr>
                <w:rFonts w:ascii="Times New Roman" w:hAnsi="Times New Roman" w:cs="Times New Roman"/>
                <w:b/>
                <w:szCs w:val="20"/>
                <w:lang w:val="en-US"/>
              </w:rPr>
              <w:t>Nitroethane</w:t>
            </w:r>
          </w:p>
          <w:p w:rsidR="00367552" w:rsidRPr="000F7F8E" w:rsidRDefault="00367552" w:rsidP="000F7F8E">
            <w:pPr>
              <w:pStyle w:val="MSDS-TUZeile"/>
              <w:jc w:val="center"/>
              <w:rPr>
                <w:rFonts w:ascii="Times New Roman" w:hAnsi="Times New Roman" w:cs="Times New Roman"/>
                <w:szCs w:val="20"/>
                <w:lang w:val="en-US"/>
              </w:rPr>
            </w:pPr>
          </w:p>
        </w:tc>
        <w:tc>
          <w:tcPr>
            <w:tcW w:w="3285" w:type="dxa"/>
          </w:tcPr>
          <w:p w:rsidR="00606641" w:rsidRPr="000F7F8E" w:rsidRDefault="00307F4F" w:rsidP="000F7F8E">
            <w:pPr>
              <w:pStyle w:val="MSDS-TUZeile"/>
              <w:ind w:left="0"/>
              <w:jc w:val="center"/>
              <w:rPr>
                <w:rFonts w:ascii="Times New Roman" w:hAnsi="Times New Roman" w:cs="Times New Roman"/>
                <w:szCs w:val="20"/>
                <w:lang w:val="en-US"/>
              </w:rPr>
            </w:pPr>
            <w:r w:rsidRPr="000F7F8E">
              <w:rPr>
                <w:rFonts w:ascii="Times New Roman" w:hAnsi="Times New Roman" w:cs="Times New Roman"/>
                <w:szCs w:val="20"/>
                <w:lang w:val="en-US"/>
              </w:rPr>
              <w:t>Slightly irritating</w:t>
            </w:r>
          </w:p>
          <w:p w:rsidR="00924AE8" w:rsidRPr="000F7F8E" w:rsidRDefault="00924AE8" w:rsidP="000F7F8E">
            <w:pPr>
              <w:pStyle w:val="MSDS-TUZeile"/>
              <w:ind w:left="0"/>
              <w:jc w:val="center"/>
              <w:rPr>
                <w:rFonts w:ascii="Times New Roman" w:hAnsi="Times New Roman" w:cs="Times New Roman"/>
                <w:szCs w:val="20"/>
                <w:lang w:val="en-US"/>
              </w:rPr>
            </w:pPr>
            <w:r w:rsidRPr="000F7F8E">
              <w:rPr>
                <w:rFonts w:ascii="Times New Roman" w:hAnsi="Times New Roman" w:cs="Times New Roman"/>
                <w:szCs w:val="20"/>
                <w:lang w:val="en-US"/>
              </w:rPr>
              <w:t>Slightly</w:t>
            </w:r>
            <w:r w:rsidR="009F5B1A" w:rsidRPr="000F7F8E">
              <w:rPr>
                <w:rFonts w:ascii="Times New Roman" w:hAnsi="Times New Roman" w:cs="Times New Roman"/>
                <w:szCs w:val="20"/>
                <w:lang w:val="en-US"/>
              </w:rPr>
              <w:t xml:space="preserve"> </w:t>
            </w:r>
            <w:r w:rsidRPr="000F7F8E">
              <w:rPr>
                <w:rFonts w:ascii="Times New Roman" w:hAnsi="Times New Roman" w:cs="Times New Roman"/>
                <w:szCs w:val="20"/>
                <w:lang w:val="en-US"/>
              </w:rPr>
              <w:t>irritating</w:t>
            </w:r>
          </w:p>
          <w:p w:rsidR="009F5B1A" w:rsidRPr="000F7F8E" w:rsidRDefault="00E97864" w:rsidP="000F7F8E">
            <w:pPr>
              <w:pStyle w:val="MSDS-TUZeile"/>
              <w:ind w:left="0"/>
              <w:jc w:val="center"/>
              <w:rPr>
                <w:rFonts w:ascii="Times New Roman" w:hAnsi="Times New Roman" w:cs="Times New Roman"/>
                <w:szCs w:val="20"/>
                <w:lang w:val="en-US"/>
              </w:rPr>
            </w:pPr>
            <w:r w:rsidRPr="000F7F8E">
              <w:rPr>
                <w:rFonts w:ascii="Times New Roman" w:hAnsi="Times New Roman" w:cs="Times New Roman"/>
                <w:szCs w:val="20"/>
                <w:lang w:val="en-US"/>
              </w:rPr>
              <w:t>Moderately</w:t>
            </w:r>
            <w:r w:rsidR="009F5B1A" w:rsidRPr="000F7F8E">
              <w:rPr>
                <w:rFonts w:ascii="Times New Roman" w:hAnsi="Times New Roman" w:cs="Times New Roman"/>
                <w:szCs w:val="20"/>
                <w:lang w:val="en-US"/>
              </w:rPr>
              <w:t xml:space="preserve"> irritating</w:t>
            </w:r>
          </w:p>
        </w:tc>
        <w:tc>
          <w:tcPr>
            <w:tcW w:w="3018" w:type="dxa"/>
          </w:tcPr>
          <w:p w:rsidR="00606641" w:rsidRPr="000F7F8E" w:rsidRDefault="00307F4F" w:rsidP="000F7F8E">
            <w:pPr>
              <w:pStyle w:val="MSDS-TUZeile"/>
              <w:ind w:left="0"/>
              <w:jc w:val="center"/>
              <w:rPr>
                <w:rFonts w:ascii="Times New Roman" w:hAnsi="Times New Roman" w:cs="Times New Roman"/>
                <w:szCs w:val="20"/>
              </w:rPr>
            </w:pPr>
            <w:r w:rsidRPr="000F7F8E">
              <w:rPr>
                <w:rFonts w:ascii="Times New Roman" w:hAnsi="Times New Roman" w:cs="Times New Roman"/>
                <w:szCs w:val="20"/>
              </w:rPr>
              <w:t>Reagan, 1989</w:t>
            </w:r>
            <w:r w:rsidR="0008525A" w:rsidRPr="000F7F8E">
              <w:rPr>
                <w:rFonts w:ascii="Times New Roman" w:hAnsi="Times New Roman" w:cs="Times New Roman"/>
                <w:szCs w:val="20"/>
              </w:rPr>
              <w:t>a</w:t>
            </w:r>
          </w:p>
          <w:p w:rsidR="009F5B1A" w:rsidRPr="000F7F8E" w:rsidRDefault="009F5B1A" w:rsidP="000F7F8E">
            <w:pPr>
              <w:pStyle w:val="MSDS-TUZeile"/>
              <w:ind w:left="0"/>
              <w:jc w:val="center"/>
              <w:rPr>
                <w:rFonts w:ascii="Times New Roman" w:hAnsi="Times New Roman" w:cs="Times New Roman"/>
                <w:szCs w:val="20"/>
              </w:rPr>
            </w:pPr>
            <w:r w:rsidRPr="000F7F8E">
              <w:rPr>
                <w:rFonts w:ascii="Times New Roman" w:hAnsi="Times New Roman" w:cs="Times New Roman"/>
                <w:szCs w:val="20"/>
              </w:rPr>
              <w:t>Olsen, 1964</w:t>
            </w:r>
          </w:p>
          <w:p w:rsidR="00924AE8" w:rsidRPr="000F7F8E" w:rsidRDefault="00924AE8" w:rsidP="000F7F8E">
            <w:pPr>
              <w:pStyle w:val="MSDS-TUZeile"/>
              <w:ind w:left="0"/>
              <w:jc w:val="center"/>
              <w:rPr>
                <w:rFonts w:ascii="Times New Roman" w:hAnsi="Times New Roman" w:cs="Times New Roman"/>
                <w:szCs w:val="20"/>
                <w:lang w:val="en-US"/>
              </w:rPr>
            </w:pPr>
            <w:r w:rsidRPr="000F7F8E">
              <w:rPr>
                <w:rFonts w:ascii="Times New Roman" w:hAnsi="Times New Roman" w:cs="Times New Roman"/>
                <w:szCs w:val="20"/>
              </w:rPr>
              <w:t>Barnes, 1974</w:t>
            </w:r>
          </w:p>
        </w:tc>
      </w:tr>
      <w:tr w:rsidR="00606641" w:rsidRPr="00FD325B" w:rsidTr="000F7F8E">
        <w:tc>
          <w:tcPr>
            <w:tcW w:w="3057" w:type="dxa"/>
          </w:tcPr>
          <w:p w:rsidR="00606641" w:rsidRPr="000F7F8E" w:rsidRDefault="00606641" w:rsidP="000F7F8E">
            <w:pPr>
              <w:pStyle w:val="MSDS-TZeile"/>
              <w:ind w:left="0"/>
              <w:jc w:val="center"/>
              <w:rPr>
                <w:rFonts w:ascii="Times New Roman" w:hAnsi="Times New Roman" w:cs="Times New Roman"/>
                <w:b/>
                <w:szCs w:val="20"/>
                <w:lang w:val="en-US"/>
              </w:rPr>
            </w:pPr>
            <w:r w:rsidRPr="000F7F8E">
              <w:rPr>
                <w:rFonts w:ascii="Times New Roman" w:hAnsi="Times New Roman" w:cs="Times New Roman"/>
                <w:b/>
                <w:szCs w:val="20"/>
                <w:lang w:val="en-US"/>
              </w:rPr>
              <w:t>1-Nitropropane</w:t>
            </w:r>
          </w:p>
          <w:p w:rsidR="00367552" w:rsidRPr="000F7F8E" w:rsidRDefault="00367552" w:rsidP="000F7F8E">
            <w:pPr>
              <w:pStyle w:val="MSDS-TUZeile"/>
              <w:jc w:val="center"/>
              <w:rPr>
                <w:rFonts w:ascii="Times New Roman" w:hAnsi="Times New Roman" w:cs="Times New Roman"/>
                <w:szCs w:val="20"/>
                <w:lang w:val="en-US"/>
              </w:rPr>
            </w:pPr>
          </w:p>
        </w:tc>
        <w:tc>
          <w:tcPr>
            <w:tcW w:w="3285" w:type="dxa"/>
          </w:tcPr>
          <w:p w:rsidR="00606641" w:rsidRPr="000F7F8E" w:rsidRDefault="00307F4F"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szCs w:val="20"/>
                <w:lang w:val="en-US"/>
              </w:rPr>
              <w:t>Slightly irritating</w:t>
            </w:r>
          </w:p>
          <w:p w:rsidR="00CE20DB" w:rsidRPr="000F7F8E" w:rsidRDefault="00E97864" w:rsidP="000F7F8E">
            <w:pPr>
              <w:pStyle w:val="MSDS-TUZeile"/>
              <w:jc w:val="center"/>
              <w:rPr>
                <w:rFonts w:ascii="Times New Roman" w:hAnsi="Times New Roman" w:cs="Times New Roman"/>
                <w:szCs w:val="20"/>
                <w:lang w:val="en-US"/>
              </w:rPr>
            </w:pPr>
            <w:r w:rsidRPr="000F7F8E">
              <w:rPr>
                <w:rFonts w:ascii="Times New Roman" w:hAnsi="Times New Roman" w:cs="Times New Roman"/>
                <w:szCs w:val="20"/>
                <w:lang w:val="en-US"/>
              </w:rPr>
              <w:t>Moderately</w:t>
            </w:r>
            <w:r w:rsidR="00B320DF" w:rsidRPr="000F7F8E">
              <w:rPr>
                <w:rFonts w:ascii="Times New Roman" w:hAnsi="Times New Roman" w:cs="Times New Roman"/>
                <w:szCs w:val="20"/>
                <w:lang w:val="en-US"/>
              </w:rPr>
              <w:t xml:space="preserve"> irritating</w:t>
            </w:r>
          </w:p>
        </w:tc>
        <w:tc>
          <w:tcPr>
            <w:tcW w:w="3018" w:type="dxa"/>
          </w:tcPr>
          <w:p w:rsidR="00606641" w:rsidRPr="000F7F8E" w:rsidRDefault="00307F4F" w:rsidP="000F7F8E">
            <w:pPr>
              <w:pStyle w:val="MSDS-TZeile"/>
              <w:ind w:left="0"/>
              <w:jc w:val="center"/>
              <w:rPr>
                <w:rFonts w:ascii="Times New Roman" w:hAnsi="Times New Roman" w:cs="Times New Roman"/>
                <w:szCs w:val="20"/>
              </w:rPr>
            </w:pPr>
            <w:r w:rsidRPr="000F7F8E">
              <w:rPr>
                <w:rFonts w:ascii="Times New Roman" w:hAnsi="Times New Roman" w:cs="Times New Roman"/>
                <w:szCs w:val="20"/>
              </w:rPr>
              <w:t>Reagan, 1989</w:t>
            </w:r>
            <w:r w:rsidR="0008525A" w:rsidRPr="000F7F8E">
              <w:rPr>
                <w:rFonts w:ascii="Times New Roman" w:hAnsi="Times New Roman" w:cs="Times New Roman"/>
                <w:szCs w:val="20"/>
              </w:rPr>
              <w:t>b</w:t>
            </w:r>
          </w:p>
          <w:p w:rsidR="00CE20DB" w:rsidRPr="000F7F8E" w:rsidRDefault="00B320DF" w:rsidP="000F7F8E">
            <w:pPr>
              <w:pStyle w:val="MSDS-TUZeile"/>
              <w:jc w:val="center"/>
              <w:rPr>
                <w:rFonts w:ascii="Times New Roman" w:hAnsi="Times New Roman" w:cs="Times New Roman"/>
                <w:szCs w:val="20"/>
              </w:rPr>
            </w:pPr>
            <w:r w:rsidRPr="000F7F8E">
              <w:rPr>
                <w:rFonts w:ascii="Times New Roman" w:hAnsi="Times New Roman" w:cs="Times New Roman"/>
                <w:szCs w:val="20"/>
              </w:rPr>
              <w:t>Barnes, 1974</w:t>
            </w:r>
          </w:p>
        </w:tc>
      </w:tr>
    </w:tbl>
    <w:p w:rsidR="00204A39" w:rsidRPr="00606641" w:rsidRDefault="00204A39" w:rsidP="00D93802">
      <w:pPr>
        <w:pStyle w:val="Heading9"/>
        <w:spacing w:before="240"/>
        <w:jc w:val="both"/>
      </w:pPr>
      <w:r w:rsidRPr="00606641">
        <w:t>Studies in Humans</w:t>
      </w:r>
    </w:p>
    <w:p w:rsidR="00204A39" w:rsidRPr="00606641" w:rsidRDefault="00204A39" w:rsidP="00F37C80">
      <w:pPr>
        <w:pStyle w:val="BodyText"/>
      </w:pPr>
      <w:r w:rsidRPr="00606641">
        <w:t>No data available.</w:t>
      </w:r>
    </w:p>
    <w:p w:rsidR="00FA058C" w:rsidRDefault="00204A39" w:rsidP="000F7F8E">
      <w:pPr>
        <w:pStyle w:val="Heading8"/>
        <w:jc w:val="both"/>
      </w:pPr>
      <w:r w:rsidRPr="00606641">
        <w:t>Respiratory Tract Irritation</w:t>
      </w:r>
    </w:p>
    <w:p w:rsidR="00CE20DB" w:rsidRDefault="00FA058C" w:rsidP="00F37C80">
      <w:pPr>
        <w:jc w:val="both"/>
        <w:rPr>
          <w:lang w:val="en-GB"/>
        </w:rPr>
      </w:pPr>
      <w:r>
        <w:rPr>
          <w:lang w:val="en-GB"/>
        </w:rPr>
        <w:t xml:space="preserve">Mild olfactory epithelial degeneration was seen in mice exposed to nitromethane at 0.47 mg/L repeatedly for 13 weeks, and mild nasal lesions were seen in rats exposed similarly to nitromethane at 0.94 mg/L (USDHHS, 1997). </w:t>
      </w:r>
    </w:p>
    <w:p w:rsidR="00CE20DB" w:rsidRDefault="00CE20DB" w:rsidP="00F37C80">
      <w:pPr>
        <w:jc w:val="both"/>
        <w:rPr>
          <w:lang w:val="en-GB"/>
        </w:rPr>
      </w:pPr>
    </w:p>
    <w:p w:rsidR="00CE20DB" w:rsidRDefault="00FA058C" w:rsidP="00F37C80">
      <w:pPr>
        <w:jc w:val="both"/>
        <w:rPr>
          <w:lang w:val="en-GB"/>
        </w:rPr>
      </w:pPr>
      <w:r>
        <w:rPr>
          <w:lang w:val="en-GB"/>
        </w:rPr>
        <w:t>Degeneration and inflammatory changes were seen in the nasal epithelium of rats and mice inhaling nitroethane at 1.07 mg/L and above in a 13-week repeated-dose study (Gushow et al. 1982).</w:t>
      </w:r>
    </w:p>
    <w:p w:rsidR="00CE20DB" w:rsidRDefault="00CE20DB" w:rsidP="00F37C80">
      <w:pPr>
        <w:jc w:val="both"/>
        <w:rPr>
          <w:lang w:val="en-GB"/>
        </w:rPr>
      </w:pPr>
    </w:p>
    <w:p w:rsidR="00CE20DB" w:rsidRDefault="00FA058C" w:rsidP="00F37C80">
      <w:pPr>
        <w:jc w:val="both"/>
        <w:rPr>
          <w:lang w:val="en-GB"/>
        </w:rPr>
      </w:pPr>
      <w:r>
        <w:rPr>
          <w:lang w:val="en-GB"/>
        </w:rPr>
        <w:t>Histopathological changes were also seen in the nasal tissues of rats exposed to 1-nitropropane at 0.35 mg/L for several weeks (Carney et al. 2003).</w:t>
      </w:r>
    </w:p>
    <w:p w:rsidR="00930634" w:rsidRDefault="00930634" w:rsidP="00D93802">
      <w:pPr>
        <w:pStyle w:val="Heading8"/>
        <w:spacing w:before="240"/>
      </w:pPr>
      <w:r>
        <w:t>Conclusion</w:t>
      </w:r>
    </w:p>
    <w:p w:rsidR="00930634" w:rsidRPr="00930634" w:rsidRDefault="00930634" w:rsidP="00F37C80">
      <w:pPr>
        <w:pStyle w:val="BodyText"/>
      </w:pPr>
      <w:r w:rsidRPr="00D97630">
        <w:t xml:space="preserve">The category members are not irritating to </w:t>
      </w:r>
      <w:r w:rsidR="00365729">
        <w:t xml:space="preserve">slightly irritating to </w:t>
      </w:r>
      <w:r w:rsidRPr="00D97630">
        <w:t xml:space="preserve">the skin. </w:t>
      </w:r>
      <w:r w:rsidR="00365729">
        <w:t xml:space="preserve"> </w:t>
      </w:r>
      <w:r w:rsidR="001A28F4" w:rsidRPr="005022AD">
        <w:t xml:space="preserve">All </w:t>
      </w:r>
      <w:r w:rsidR="00B320DF" w:rsidRPr="00F37C80">
        <w:t xml:space="preserve">category members </w:t>
      </w:r>
      <w:r w:rsidR="001A28F4" w:rsidRPr="005022AD">
        <w:t xml:space="preserve">are slightly </w:t>
      </w:r>
      <w:proofErr w:type="gramStart"/>
      <w:r w:rsidR="001A28F4" w:rsidRPr="005022AD">
        <w:t>to</w:t>
      </w:r>
      <w:proofErr w:type="gramEnd"/>
      <w:r w:rsidR="001A28F4" w:rsidRPr="005022AD">
        <w:t xml:space="preserve"> moderately irritating to the eyes.</w:t>
      </w:r>
      <w:r w:rsidR="00FA058C">
        <w:t xml:space="preserve">  All category members have shown respiratory irritation.</w:t>
      </w:r>
    </w:p>
    <w:p w:rsidR="00204A39" w:rsidRPr="00606641" w:rsidRDefault="00204A39" w:rsidP="00F37C80">
      <w:pPr>
        <w:pStyle w:val="Heading3"/>
        <w:jc w:val="both"/>
      </w:pPr>
      <w:bookmarkStart w:id="84" w:name="_Toc32726032"/>
      <w:bookmarkStart w:id="85" w:name="_Toc32727215"/>
      <w:bookmarkStart w:id="86" w:name="_Toc147824545"/>
      <w:r w:rsidRPr="00606641">
        <w:t>Sensitisation</w:t>
      </w:r>
      <w:bookmarkEnd w:id="84"/>
      <w:bookmarkEnd w:id="85"/>
      <w:bookmarkEnd w:id="86"/>
    </w:p>
    <w:p w:rsidR="00CE20DB" w:rsidRDefault="00204A39" w:rsidP="00F37C80">
      <w:pPr>
        <w:pStyle w:val="BodyText"/>
      </w:pPr>
      <w:r w:rsidRPr="002267D5">
        <w:t>Skin sensiti</w:t>
      </w:r>
      <w:r w:rsidR="0008525A">
        <w:t>s</w:t>
      </w:r>
      <w:r w:rsidRPr="002267D5">
        <w:t xml:space="preserve">ation tests </w:t>
      </w:r>
      <w:r w:rsidR="00AE0114" w:rsidRPr="002267D5">
        <w:t xml:space="preserve">have been conducted </w:t>
      </w:r>
      <w:r w:rsidRPr="002267D5">
        <w:t xml:space="preserve">with </w:t>
      </w:r>
      <w:r w:rsidR="002267D5" w:rsidRPr="002267D5">
        <w:t xml:space="preserve">all three members of the </w:t>
      </w:r>
      <w:r w:rsidR="003779A8">
        <w:t>short chain n</w:t>
      </w:r>
      <w:r w:rsidR="002267D5" w:rsidRPr="002267D5">
        <w:t>itroparaffins category.</w:t>
      </w:r>
    </w:p>
    <w:p w:rsidR="000F7F8E" w:rsidRPr="000F7F8E" w:rsidRDefault="00B320DF" w:rsidP="009C4A54">
      <w:pPr>
        <w:pStyle w:val="Heading8"/>
      </w:pPr>
      <w:r w:rsidRPr="000F7F8E">
        <w:t>Studies in Animals</w:t>
      </w:r>
    </w:p>
    <w:p w:rsidR="000F7F8E" w:rsidRDefault="005F3343" w:rsidP="009C4A54">
      <w:pPr>
        <w:pStyle w:val="Heading9"/>
      </w:pPr>
      <w:r>
        <w:t>Skin</w:t>
      </w:r>
    </w:p>
    <w:p w:rsidR="00CE20DB" w:rsidRDefault="00E34A3F" w:rsidP="00F37C80">
      <w:pPr>
        <w:pStyle w:val="BodyText"/>
      </w:pPr>
      <w:r w:rsidRPr="00E34A3F">
        <w:t xml:space="preserve">The three members of the </w:t>
      </w:r>
      <w:r w:rsidR="0008525A">
        <w:t>short chain n</w:t>
      </w:r>
      <w:r w:rsidRPr="00E34A3F">
        <w:t xml:space="preserve">itroparaffins category </w:t>
      </w:r>
      <w:r w:rsidR="00634DC5">
        <w:t xml:space="preserve">have </w:t>
      </w:r>
      <w:r w:rsidR="003779A8">
        <w:t xml:space="preserve">shown </w:t>
      </w:r>
      <w:r w:rsidR="00634DC5">
        <w:t>no evidence of skin sensiti</w:t>
      </w:r>
      <w:r w:rsidR="0008525A">
        <w:t>s</w:t>
      </w:r>
      <w:r w:rsidR="00634DC5">
        <w:t>ation in guinea pigs</w:t>
      </w:r>
      <w:r w:rsidRPr="00E34A3F">
        <w:t xml:space="preserve">.  </w:t>
      </w:r>
    </w:p>
    <w:p w:rsidR="00CE20DB" w:rsidRDefault="005F3343" w:rsidP="00F37C80">
      <w:pPr>
        <w:pStyle w:val="BodyText"/>
      </w:pPr>
      <w:r>
        <w:rPr>
          <w:i/>
          <w:u w:val="single"/>
        </w:rPr>
        <w:t>Nitromethane</w:t>
      </w:r>
      <w:r w:rsidR="00F76B4F">
        <w:rPr>
          <w:u w:val="single"/>
        </w:rPr>
        <w:t xml:space="preserve">:  </w:t>
      </w:r>
      <w:r w:rsidR="00F76B4F">
        <w:t>IMC (1979) evaluated 10 guinea pigs in each of three groups:  n</w:t>
      </w:r>
      <w:r w:rsidR="00E34A3F" w:rsidRPr="00E34A3F">
        <w:t>itromethane</w:t>
      </w:r>
      <w:r w:rsidR="00F76B4F">
        <w:t xml:space="preserve"> induction/challenge</w:t>
      </w:r>
      <w:r w:rsidR="007C0A1E">
        <w:t xml:space="preserve"> </w:t>
      </w:r>
      <w:r w:rsidR="00F76B4F">
        <w:t>(group 1)</w:t>
      </w:r>
      <w:r w:rsidR="003779A8">
        <w:t>, positive control</w:t>
      </w:r>
      <w:r w:rsidR="00F76B4F">
        <w:t xml:space="preserve"> (</w:t>
      </w:r>
      <w:r w:rsidR="00C31A59" w:rsidRPr="00C31A59">
        <w:rPr>
          <w:color w:val="000000"/>
        </w:rPr>
        <w:t>dinitrochlorobenzene</w:t>
      </w:r>
      <w:r w:rsidR="003779A8">
        <w:t xml:space="preserve"> </w:t>
      </w:r>
      <w:r w:rsidR="00F76B4F">
        <w:t>or DNCB</w:t>
      </w:r>
      <w:r w:rsidR="00C7358A">
        <w:t>) induction/challenge</w:t>
      </w:r>
      <w:r w:rsidR="00F76B4F">
        <w:t xml:space="preserve"> </w:t>
      </w:r>
      <w:r w:rsidR="00C7358A">
        <w:t>(</w:t>
      </w:r>
      <w:r w:rsidR="00F76B4F">
        <w:t>group 2)</w:t>
      </w:r>
      <w:r w:rsidR="007C0A1E">
        <w:t xml:space="preserve">, </w:t>
      </w:r>
      <w:r w:rsidR="003779A8">
        <w:t>and negative control</w:t>
      </w:r>
      <w:r w:rsidR="00E34A3F" w:rsidRPr="00E34A3F">
        <w:t xml:space="preserve"> </w:t>
      </w:r>
      <w:r w:rsidR="00F76B4F">
        <w:t>induction/nitromethan</w:t>
      </w:r>
      <w:r w:rsidR="00C7358A">
        <w:t>e</w:t>
      </w:r>
      <w:r w:rsidR="00F76B4F">
        <w:t xml:space="preserve"> or DNCB challenge (group 3).  Each group had </w:t>
      </w:r>
      <w:r w:rsidR="00E34A3F" w:rsidRPr="00E34A3F">
        <w:t xml:space="preserve">10 </w:t>
      </w:r>
      <w:r w:rsidR="007C0A1E">
        <w:t xml:space="preserve">daily </w:t>
      </w:r>
      <w:r w:rsidR="00EB4C51">
        <w:t>intradermal</w:t>
      </w:r>
      <w:r w:rsidR="00EB4C51" w:rsidRPr="00E34A3F">
        <w:t xml:space="preserve"> </w:t>
      </w:r>
      <w:r w:rsidR="00E34A3F" w:rsidRPr="00E34A3F">
        <w:t xml:space="preserve">inductions </w:t>
      </w:r>
      <w:r w:rsidR="00E34A3F" w:rsidRPr="006D26E4">
        <w:t>followed by a topical challenge</w:t>
      </w:r>
      <w:r w:rsidR="007C0A1E" w:rsidRPr="00AB50FB">
        <w:t>.</w:t>
      </w:r>
      <w:r w:rsidR="007C0A1E">
        <w:t xml:space="preserve">  The study didn’t state the time period between induction and challenge.  </w:t>
      </w:r>
      <w:r w:rsidR="00F76B4F">
        <w:t xml:space="preserve">In the induction phase, </w:t>
      </w:r>
      <w:r w:rsidR="007C0A1E">
        <w:t xml:space="preserve">10% </w:t>
      </w:r>
      <w:r w:rsidR="00F76B4F">
        <w:t xml:space="preserve">nitromethane </w:t>
      </w:r>
      <w:r w:rsidR="007C0A1E">
        <w:t xml:space="preserve">caused necrosis, 5% caused mild irritation and 1% caused no irritation.  Upon challenge, two animals each from the </w:t>
      </w:r>
      <w:r w:rsidR="001272B9">
        <w:t xml:space="preserve">nitromethane </w:t>
      </w:r>
      <w:r w:rsidR="007C0A1E">
        <w:t xml:space="preserve">induction/challenge groups </w:t>
      </w:r>
      <w:r w:rsidR="00F76B4F">
        <w:t>(group 1) and negative control induction/</w:t>
      </w:r>
      <w:r w:rsidR="001272B9">
        <w:t xml:space="preserve">nitromethane </w:t>
      </w:r>
      <w:r w:rsidR="00F76B4F">
        <w:t xml:space="preserve">challenge (group </w:t>
      </w:r>
      <w:r w:rsidR="001272B9">
        <w:t>3</w:t>
      </w:r>
      <w:r w:rsidR="00F76B4F">
        <w:t xml:space="preserve">) had positive </w:t>
      </w:r>
      <w:r w:rsidR="007C0A1E">
        <w:t>react</w:t>
      </w:r>
      <w:r w:rsidR="00F76B4F">
        <w:t>ions</w:t>
      </w:r>
      <w:r w:rsidR="001272B9">
        <w:t>.  Eight animals from the DNCB induction/challenge (group 2) had positive reactions</w:t>
      </w:r>
      <w:r w:rsidR="003779A8">
        <w:t xml:space="preserve"> </w:t>
      </w:r>
      <w:r w:rsidR="001272B9">
        <w:t>upon challenge</w:t>
      </w:r>
      <w:r w:rsidR="00E34A3F" w:rsidRPr="00E34A3F">
        <w:t>.</w:t>
      </w:r>
      <w:r w:rsidR="00950431">
        <w:t xml:space="preserve">  Nitromethane was not a sensitiser in this test</w:t>
      </w:r>
      <w:r w:rsidR="006D26E4">
        <w:t xml:space="preserve"> but it is possible that evaporation may have occurred.  </w:t>
      </w:r>
    </w:p>
    <w:p w:rsidR="00CE20DB" w:rsidRDefault="00B320DF" w:rsidP="00F37C80">
      <w:pPr>
        <w:pStyle w:val="BodyText"/>
      </w:pPr>
      <w:r w:rsidRPr="00F37C80">
        <w:rPr>
          <w:i/>
          <w:u w:val="single"/>
        </w:rPr>
        <w:t>Nitroethane</w:t>
      </w:r>
      <w:r w:rsidR="00F76B4F">
        <w:t>:</w:t>
      </w:r>
      <w:r w:rsidR="00E34A3F" w:rsidRPr="00E34A3F">
        <w:t xml:space="preserve"> </w:t>
      </w:r>
      <w:r w:rsidR="00F76B4F">
        <w:t>Parekh and Wilbur (1981) also evaluated 10 guinea in each of three groups:  nitroethan</w:t>
      </w:r>
      <w:r w:rsidR="00950431">
        <w:t>e</w:t>
      </w:r>
      <w:r w:rsidR="00F76B4F">
        <w:t xml:space="preserve"> induction/challenge (group 1), positive control </w:t>
      </w:r>
      <w:r w:rsidR="0009691B">
        <w:t xml:space="preserve">(DNCB) </w:t>
      </w:r>
      <w:r w:rsidR="00F76B4F">
        <w:t>induction/challenge (group 2), and negative control</w:t>
      </w:r>
      <w:r w:rsidR="00F76B4F" w:rsidRPr="00E34A3F">
        <w:t xml:space="preserve"> </w:t>
      </w:r>
      <w:r w:rsidR="00F76B4F">
        <w:t>induction/</w:t>
      </w:r>
      <w:r w:rsidR="0009691B">
        <w:t xml:space="preserve">nitroethane or DNCB </w:t>
      </w:r>
      <w:r w:rsidR="00F76B4F">
        <w:t>challenge (group 3)</w:t>
      </w:r>
      <w:r w:rsidR="00950431">
        <w:t>.  Guinea pigs received</w:t>
      </w:r>
      <w:r w:rsidR="00F76B4F">
        <w:t xml:space="preserve"> </w:t>
      </w:r>
      <w:r w:rsidR="00F76B4F" w:rsidRPr="00E34A3F">
        <w:t xml:space="preserve">10 </w:t>
      </w:r>
      <w:r w:rsidR="00950431">
        <w:t xml:space="preserve">intradermal </w:t>
      </w:r>
      <w:r w:rsidR="00F76B4F" w:rsidRPr="00E34A3F">
        <w:t xml:space="preserve">inductions </w:t>
      </w:r>
      <w:r w:rsidR="00F76B4F">
        <w:t xml:space="preserve">(2-3/week) </w:t>
      </w:r>
      <w:r w:rsidR="00D10FAF">
        <w:t>followed by a</w:t>
      </w:r>
      <w:r w:rsidR="00F76B4F">
        <w:t xml:space="preserve"> 2-week rest period and then </w:t>
      </w:r>
      <w:r w:rsidR="0009691B">
        <w:t xml:space="preserve">a single intradermal </w:t>
      </w:r>
      <w:r w:rsidR="00F76B4F">
        <w:t>challenge</w:t>
      </w:r>
      <w:r w:rsidR="0009691B">
        <w:t xml:space="preserve"> injection</w:t>
      </w:r>
      <w:r w:rsidR="00F76B4F">
        <w:t xml:space="preserve">.  </w:t>
      </w:r>
      <w:r w:rsidR="001272B9">
        <w:t xml:space="preserve">Skin reactions were observed during the induction phase using 5 and 10% nitroethane.  Upon challenge, none of the animals in group 1 reacted, whereas several in group 2 reacted and when the negative induction was challenged with nitroethane </w:t>
      </w:r>
      <w:r w:rsidR="00D10FAF">
        <w:t>(</w:t>
      </w:r>
      <w:r w:rsidR="001272B9">
        <w:t>2 reacted at 24 hours and 1 at 48 hours</w:t>
      </w:r>
      <w:r w:rsidR="00D10FAF">
        <w:t>)</w:t>
      </w:r>
      <w:r w:rsidR="001272B9">
        <w:t xml:space="preserve">. </w:t>
      </w:r>
      <w:r w:rsidR="00D10FAF">
        <w:t xml:space="preserve">In </w:t>
      </w:r>
      <w:r w:rsidR="00052F80">
        <w:t xml:space="preserve">both groups 2 and </w:t>
      </w:r>
      <w:r w:rsidR="00D10FAF">
        <w:t xml:space="preserve">3, </w:t>
      </w:r>
      <w:r w:rsidR="00052F80">
        <w:t xml:space="preserve">only </w:t>
      </w:r>
      <w:r w:rsidR="00D10FAF">
        <w:t>t</w:t>
      </w:r>
      <w:r w:rsidR="001272B9">
        <w:t xml:space="preserve">he higher of </w:t>
      </w:r>
      <w:r w:rsidR="00D10FAF">
        <w:t xml:space="preserve">two </w:t>
      </w:r>
      <w:r w:rsidR="001272B9">
        <w:t xml:space="preserve">DNCB </w:t>
      </w:r>
      <w:r w:rsidR="00D10FAF">
        <w:t xml:space="preserve">concentrations at </w:t>
      </w:r>
      <w:r w:rsidR="001272B9">
        <w:t xml:space="preserve">challenge resulted in reactions </w:t>
      </w:r>
      <w:r w:rsidR="00052F80">
        <w:t>(</w:t>
      </w:r>
      <w:r w:rsidR="001272B9">
        <w:t>all animals</w:t>
      </w:r>
      <w:r w:rsidR="00052F80">
        <w:t>)</w:t>
      </w:r>
      <w:r w:rsidR="001272B9">
        <w:t xml:space="preserve">.  </w:t>
      </w:r>
      <w:r w:rsidR="00687849">
        <w:t>Nitroethane was negative</w:t>
      </w:r>
      <w:r w:rsidR="00FB2AB9">
        <w:t xml:space="preserve"> in this test.</w:t>
      </w:r>
      <w:r w:rsidR="00687849">
        <w:t xml:space="preserve"> </w:t>
      </w:r>
    </w:p>
    <w:p w:rsidR="00367552" w:rsidRDefault="0009691B" w:rsidP="009C4A54">
      <w:r w:rsidRPr="009C4A54">
        <w:rPr>
          <w:i/>
          <w:u w:val="single"/>
        </w:rPr>
        <w:t>1-Nitropropane</w:t>
      </w:r>
      <w:r>
        <w:rPr>
          <w:u w:val="single"/>
        </w:rPr>
        <w:t xml:space="preserve">:  </w:t>
      </w:r>
      <w:r>
        <w:t xml:space="preserve">Parekh (1981d) </w:t>
      </w:r>
      <w:r w:rsidR="00E34A3F" w:rsidRPr="00E34A3F">
        <w:t xml:space="preserve">evaluated </w:t>
      </w:r>
      <w:r w:rsidR="00950431">
        <w:t xml:space="preserve">10 </w:t>
      </w:r>
      <w:r w:rsidR="00E34A3F" w:rsidRPr="00E34A3F">
        <w:t xml:space="preserve">guinea pigs </w:t>
      </w:r>
      <w:r w:rsidR="00950431">
        <w:t>in each of three groups:  1-nitropropane induction/challenge (group 1), positive control (DNCB) induction/challenge (group 2), and negative control</w:t>
      </w:r>
      <w:r w:rsidR="00950431" w:rsidRPr="00E34A3F">
        <w:t xml:space="preserve"> </w:t>
      </w:r>
      <w:r w:rsidR="00950431">
        <w:t xml:space="preserve">induction/nitroethane or DNCB challenge (group 3).  All animals had </w:t>
      </w:r>
      <w:r w:rsidR="00950431" w:rsidRPr="00E34A3F">
        <w:t xml:space="preserve">10 </w:t>
      </w:r>
      <w:r w:rsidR="00950431">
        <w:t xml:space="preserve">intradermal </w:t>
      </w:r>
      <w:r w:rsidR="00950431" w:rsidRPr="00E34A3F">
        <w:t xml:space="preserve">inductions </w:t>
      </w:r>
      <w:r w:rsidR="00950431">
        <w:t xml:space="preserve">(2-3/week) followed by a 2-week rest period and then a single intradermal challenge injection.  </w:t>
      </w:r>
      <w:r w:rsidR="00687849">
        <w:t>Necrosis was observed during induction using 5% 1-nitropropane.  Upon challenge, no animals reacted in group 1</w:t>
      </w:r>
      <w:r w:rsidR="00687849" w:rsidRPr="00687849">
        <w:t xml:space="preserve">, </w:t>
      </w:r>
      <w:r w:rsidR="00687849">
        <w:t xml:space="preserve">whereas </w:t>
      </w:r>
      <w:r w:rsidR="00B320DF" w:rsidRPr="00F37C80">
        <w:rPr>
          <w:color w:val="000000"/>
        </w:rPr>
        <w:t xml:space="preserve">8 </w:t>
      </w:r>
      <w:r w:rsidR="00687849">
        <w:rPr>
          <w:color w:val="000000"/>
        </w:rPr>
        <w:t xml:space="preserve">and 0 of the </w:t>
      </w:r>
      <w:r w:rsidR="00B320DF" w:rsidRPr="00F37C80">
        <w:rPr>
          <w:color w:val="000000"/>
        </w:rPr>
        <w:t xml:space="preserve">0.03% DNCB animals </w:t>
      </w:r>
      <w:r w:rsidR="00687849">
        <w:rPr>
          <w:color w:val="000000"/>
        </w:rPr>
        <w:t xml:space="preserve">and 10 and 10 </w:t>
      </w:r>
      <w:r w:rsidR="00B320DF" w:rsidRPr="00F37C80">
        <w:rPr>
          <w:color w:val="000000"/>
        </w:rPr>
        <w:t xml:space="preserve">0.3% DNCB had skin reactions at 24 </w:t>
      </w:r>
      <w:r w:rsidR="000C2F3B">
        <w:rPr>
          <w:color w:val="000000"/>
        </w:rPr>
        <w:t xml:space="preserve">and </w:t>
      </w:r>
      <w:r w:rsidR="00B320DF" w:rsidRPr="00F37C80">
        <w:rPr>
          <w:color w:val="000000"/>
        </w:rPr>
        <w:t xml:space="preserve">48 hours, </w:t>
      </w:r>
      <w:r w:rsidR="000C2F3B">
        <w:rPr>
          <w:color w:val="000000"/>
        </w:rPr>
        <w:t>respectively</w:t>
      </w:r>
      <w:r w:rsidR="005E0E69">
        <w:rPr>
          <w:color w:val="000000"/>
        </w:rPr>
        <w:t>, in group 2.  Group 3 animals reacted at the higher DNCB challenge but not at the lower DNB challenge concentration</w:t>
      </w:r>
      <w:r w:rsidR="000C2F3B">
        <w:rPr>
          <w:color w:val="000000"/>
        </w:rPr>
        <w:t xml:space="preserve">.  </w:t>
      </w:r>
      <w:r w:rsidR="005E0E69">
        <w:rPr>
          <w:color w:val="000000"/>
        </w:rPr>
        <w:t xml:space="preserve">1-Nitropropane was not a sensitiser in this test.  </w:t>
      </w:r>
      <w:r w:rsidR="007C0A1E" w:rsidRPr="00E34A3F">
        <w:t xml:space="preserve"> </w:t>
      </w:r>
    </w:p>
    <w:p w:rsidR="009C4A54" w:rsidRPr="00E34A3F" w:rsidRDefault="009C4A54" w:rsidP="009C4A54"/>
    <w:p w:rsidR="00367552" w:rsidRPr="009C4A54" w:rsidRDefault="00D93802" w:rsidP="009C4A54">
      <w:pPr>
        <w:rPr>
          <w:b/>
          <w:bCs/>
        </w:rPr>
      </w:pPr>
      <w:bookmarkStart w:id="87" w:name="_Toc264544920"/>
      <w:bookmarkStart w:id="88" w:name="_Toc266716154"/>
      <w:r>
        <w:rPr>
          <w:b/>
        </w:rPr>
        <w:t xml:space="preserve"> </w:t>
      </w:r>
      <w:r w:rsidR="008105BE" w:rsidRPr="009C4A54">
        <w:rPr>
          <w:b/>
        </w:rPr>
        <w:t xml:space="preserve">Table </w:t>
      </w:r>
      <w:r w:rsidR="00B320DF" w:rsidRPr="009C4A54">
        <w:rPr>
          <w:b/>
        </w:rPr>
        <w:fldChar w:fldCharType="begin"/>
      </w:r>
      <w:r w:rsidR="008105BE" w:rsidRPr="009C4A54">
        <w:rPr>
          <w:b/>
        </w:rPr>
        <w:instrText xml:space="preserve"> SEQ Table \* ARABIC </w:instrText>
      </w:r>
      <w:r w:rsidR="00B320DF" w:rsidRPr="009C4A54">
        <w:rPr>
          <w:b/>
        </w:rPr>
        <w:fldChar w:fldCharType="separate"/>
      </w:r>
      <w:r w:rsidR="006263B7" w:rsidRPr="009C4A54">
        <w:rPr>
          <w:b/>
          <w:noProof/>
        </w:rPr>
        <w:t>11</w:t>
      </w:r>
      <w:r w:rsidR="00B320DF" w:rsidRPr="009C4A54">
        <w:rPr>
          <w:b/>
        </w:rPr>
        <w:fldChar w:fldCharType="end"/>
      </w:r>
      <w:r w:rsidR="005A43AA" w:rsidRPr="009C4A54">
        <w:rPr>
          <w:b/>
        </w:rPr>
        <w:t xml:space="preserve">  </w:t>
      </w:r>
      <w:r w:rsidR="008105BE" w:rsidRPr="009C4A54">
        <w:rPr>
          <w:b/>
        </w:rPr>
        <w:t>Summary of sensitization studies (guinea pigs)</w:t>
      </w:r>
      <w:bookmarkEnd w:id="87"/>
      <w:bookmarkEnd w:id="88"/>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5"/>
        <w:gridCol w:w="1568"/>
        <w:gridCol w:w="1871"/>
        <w:gridCol w:w="2051"/>
        <w:gridCol w:w="1944"/>
      </w:tblGrid>
      <w:tr w:rsidR="0079186D" w:rsidRPr="000F7F8E" w:rsidTr="000F7F8E">
        <w:tc>
          <w:tcPr>
            <w:tcW w:w="2138" w:type="dxa"/>
            <w:tcBorders>
              <w:top w:val="single" w:sz="12" w:space="0" w:color="auto"/>
              <w:bottom w:val="single" w:sz="12" w:space="0" w:color="auto"/>
            </w:tcBorders>
          </w:tcPr>
          <w:p w:rsidR="0079186D" w:rsidRPr="000F7F8E" w:rsidRDefault="0079186D" w:rsidP="000F7F8E">
            <w:pPr>
              <w:pStyle w:val="MSDS-TZeile"/>
              <w:ind w:left="0"/>
              <w:jc w:val="center"/>
              <w:rPr>
                <w:rFonts w:ascii="Times New Roman" w:hAnsi="Times New Roman" w:cs="Times New Roman"/>
                <w:b/>
                <w:szCs w:val="20"/>
                <w:lang w:val="en-US"/>
              </w:rPr>
            </w:pPr>
            <w:r w:rsidRPr="000F7F8E">
              <w:rPr>
                <w:rFonts w:ascii="Times New Roman" w:hAnsi="Times New Roman" w:cs="Times New Roman"/>
                <w:b/>
                <w:szCs w:val="20"/>
                <w:lang w:val="en-US"/>
              </w:rPr>
              <w:t>Test substance, application</w:t>
            </w:r>
          </w:p>
        </w:tc>
        <w:tc>
          <w:tcPr>
            <w:tcW w:w="1569" w:type="dxa"/>
            <w:tcBorders>
              <w:top w:val="single" w:sz="12" w:space="0" w:color="auto"/>
              <w:bottom w:val="single" w:sz="12" w:space="0" w:color="auto"/>
            </w:tcBorders>
          </w:tcPr>
          <w:p w:rsidR="0079186D" w:rsidRPr="000F7F8E" w:rsidRDefault="0079186D" w:rsidP="000F7F8E">
            <w:pPr>
              <w:pStyle w:val="MSDS-TZeile"/>
              <w:ind w:left="0"/>
              <w:jc w:val="center"/>
              <w:rPr>
                <w:rFonts w:ascii="Times New Roman" w:hAnsi="Times New Roman" w:cs="Times New Roman"/>
                <w:b/>
                <w:szCs w:val="20"/>
                <w:lang w:val="en-US"/>
              </w:rPr>
            </w:pPr>
            <w:r w:rsidRPr="000F7F8E">
              <w:rPr>
                <w:rFonts w:ascii="Times New Roman" w:hAnsi="Times New Roman" w:cs="Times New Roman"/>
                <w:b/>
                <w:szCs w:val="20"/>
                <w:lang w:val="en-US"/>
              </w:rPr>
              <w:t>Animals/group</w:t>
            </w:r>
          </w:p>
        </w:tc>
        <w:tc>
          <w:tcPr>
            <w:tcW w:w="1887" w:type="dxa"/>
            <w:tcBorders>
              <w:top w:val="single" w:sz="12" w:space="0" w:color="auto"/>
              <w:bottom w:val="single" w:sz="12" w:space="0" w:color="auto"/>
            </w:tcBorders>
          </w:tcPr>
          <w:p w:rsidR="0079186D" w:rsidRPr="000F7F8E" w:rsidRDefault="0079186D" w:rsidP="000F7F8E">
            <w:pPr>
              <w:pStyle w:val="MSDS-TZeile"/>
              <w:ind w:left="0"/>
              <w:jc w:val="center"/>
              <w:rPr>
                <w:rFonts w:ascii="Times New Roman" w:hAnsi="Times New Roman" w:cs="Times New Roman"/>
                <w:b/>
                <w:szCs w:val="20"/>
                <w:lang w:val="en-US"/>
              </w:rPr>
            </w:pPr>
            <w:r w:rsidRPr="000F7F8E">
              <w:rPr>
                <w:rFonts w:ascii="Times New Roman" w:hAnsi="Times New Roman" w:cs="Times New Roman"/>
                <w:b/>
                <w:szCs w:val="20"/>
                <w:lang w:val="en-US"/>
              </w:rPr>
              <w:t>Dose</w:t>
            </w:r>
          </w:p>
        </w:tc>
        <w:tc>
          <w:tcPr>
            <w:tcW w:w="2071" w:type="dxa"/>
            <w:tcBorders>
              <w:top w:val="single" w:sz="12" w:space="0" w:color="auto"/>
              <w:bottom w:val="single" w:sz="12" w:space="0" w:color="auto"/>
            </w:tcBorders>
          </w:tcPr>
          <w:p w:rsidR="0079186D" w:rsidRPr="000F7F8E" w:rsidRDefault="0079186D" w:rsidP="000F7F8E">
            <w:pPr>
              <w:pStyle w:val="MSDS-TZeile"/>
              <w:ind w:left="0"/>
              <w:jc w:val="center"/>
              <w:rPr>
                <w:rFonts w:ascii="Times New Roman" w:hAnsi="Times New Roman" w:cs="Times New Roman"/>
                <w:b/>
                <w:szCs w:val="20"/>
                <w:lang w:val="en-US"/>
              </w:rPr>
            </w:pPr>
            <w:r w:rsidRPr="000F7F8E">
              <w:rPr>
                <w:rFonts w:ascii="Times New Roman" w:hAnsi="Times New Roman" w:cs="Times New Roman"/>
                <w:b/>
                <w:szCs w:val="20"/>
                <w:lang w:val="en-US"/>
              </w:rPr>
              <w:t>Result</w:t>
            </w:r>
          </w:p>
        </w:tc>
        <w:tc>
          <w:tcPr>
            <w:tcW w:w="1962" w:type="dxa"/>
            <w:tcBorders>
              <w:top w:val="single" w:sz="12" w:space="0" w:color="auto"/>
              <w:bottom w:val="single" w:sz="12" w:space="0" w:color="auto"/>
            </w:tcBorders>
          </w:tcPr>
          <w:p w:rsidR="0079186D" w:rsidRPr="000F7F8E" w:rsidRDefault="0079186D" w:rsidP="000F7F8E">
            <w:pPr>
              <w:pStyle w:val="MSDS-TZeile"/>
              <w:ind w:left="0"/>
              <w:jc w:val="center"/>
              <w:rPr>
                <w:rFonts w:ascii="Times New Roman" w:hAnsi="Times New Roman" w:cs="Times New Roman"/>
                <w:b/>
                <w:szCs w:val="20"/>
                <w:lang w:val="en-US"/>
              </w:rPr>
            </w:pPr>
            <w:r w:rsidRPr="000F7F8E">
              <w:rPr>
                <w:rFonts w:ascii="Times New Roman" w:hAnsi="Times New Roman" w:cs="Times New Roman"/>
                <w:b/>
                <w:szCs w:val="20"/>
                <w:lang w:val="en-US"/>
              </w:rPr>
              <w:t>Reference</w:t>
            </w:r>
          </w:p>
        </w:tc>
      </w:tr>
      <w:tr w:rsidR="0079186D" w:rsidRPr="00FD325B" w:rsidTr="000F7F8E">
        <w:tc>
          <w:tcPr>
            <w:tcW w:w="2138" w:type="dxa"/>
            <w:tcBorders>
              <w:top w:val="single" w:sz="12" w:space="0" w:color="auto"/>
            </w:tcBorders>
          </w:tcPr>
          <w:p w:rsidR="0079186D" w:rsidRPr="000F7F8E" w:rsidRDefault="0079186D"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b/>
                <w:szCs w:val="20"/>
                <w:lang w:val="en-US"/>
              </w:rPr>
              <w:t xml:space="preserve">Nitromethane, </w:t>
            </w:r>
            <w:r w:rsidRPr="000F7F8E">
              <w:rPr>
                <w:rFonts w:ascii="Times New Roman" w:hAnsi="Times New Roman" w:cs="Times New Roman"/>
                <w:szCs w:val="20"/>
                <w:lang w:val="en-US"/>
              </w:rPr>
              <w:t>topical</w:t>
            </w:r>
          </w:p>
          <w:p w:rsidR="0079186D" w:rsidRPr="000F7F8E" w:rsidRDefault="0079186D" w:rsidP="000F7F8E">
            <w:pPr>
              <w:pStyle w:val="MSDS-TUZeile"/>
              <w:jc w:val="center"/>
              <w:rPr>
                <w:szCs w:val="20"/>
                <w:lang w:val="en-US"/>
              </w:rPr>
            </w:pPr>
          </w:p>
        </w:tc>
        <w:tc>
          <w:tcPr>
            <w:tcW w:w="1569" w:type="dxa"/>
            <w:tcBorders>
              <w:top w:val="single" w:sz="12" w:space="0" w:color="auto"/>
            </w:tcBorders>
          </w:tcPr>
          <w:p w:rsidR="00CE20DB" w:rsidRPr="000F7F8E" w:rsidRDefault="0079186D"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szCs w:val="20"/>
                <w:lang w:val="en-US"/>
              </w:rPr>
              <w:t>10</w:t>
            </w:r>
          </w:p>
        </w:tc>
        <w:tc>
          <w:tcPr>
            <w:tcW w:w="1887" w:type="dxa"/>
            <w:tcBorders>
              <w:top w:val="single" w:sz="12" w:space="0" w:color="auto"/>
            </w:tcBorders>
          </w:tcPr>
          <w:p w:rsidR="0079186D" w:rsidRPr="000F7F8E" w:rsidRDefault="0079186D"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szCs w:val="20"/>
                <w:lang w:val="en-US"/>
              </w:rPr>
              <w:t>Induction: 10% (day 1), 1% (days 2 and 4-10), 5% (day 3)</w:t>
            </w:r>
          </w:p>
          <w:p w:rsidR="00CE20DB" w:rsidRPr="000F7F8E" w:rsidRDefault="00B320DF" w:rsidP="000F7F8E">
            <w:pPr>
              <w:pStyle w:val="MSDS-TUZeile"/>
              <w:ind w:left="0"/>
              <w:jc w:val="center"/>
              <w:rPr>
                <w:szCs w:val="20"/>
                <w:lang w:val="en-US"/>
              </w:rPr>
            </w:pPr>
            <w:r w:rsidRPr="000F7F8E">
              <w:rPr>
                <w:rFonts w:ascii="Times New Roman" w:hAnsi="Times New Roman" w:cs="Times New Roman"/>
                <w:szCs w:val="20"/>
                <w:lang w:val="en-US"/>
              </w:rPr>
              <w:t>Challenge: 1%</w:t>
            </w:r>
          </w:p>
        </w:tc>
        <w:tc>
          <w:tcPr>
            <w:tcW w:w="2071" w:type="dxa"/>
            <w:tcBorders>
              <w:top w:val="single" w:sz="12" w:space="0" w:color="auto"/>
            </w:tcBorders>
          </w:tcPr>
          <w:p w:rsidR="0079186D" w:rsidRPr="000F7F8E" w:rsidRDefault="0079186D"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szCs w:val="20"/>
                <w:lang w:val="en-US"/>
              </w:rPr>
              <w:t>Not sensitising</w:t>
            </w:r>
          </w:p>
        </w:tc>
        <w:tc>
          <w:tcPr>
            <w:tcW w:w="1962" w:type="dxa"/>
            <w:tcBorders>
              <w:top w:val="single" w:sz="12" w:space="0" w:color="auto"/>
            </w:tcBorders>
          </w:tcPr>
          <w:p w:rsidR="0079186D" w:rsidRPr="000F7F8E" w:rsidRDefault="0079186D"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szCs w:val="20"/>
                <w:lang w:val="en-US"/>
              </w:rPr>
              <w:t>IMC, 1979</w:t>
            </w:r>
          </w:p>
        </w:tc>
      </w:tr>
      <w:tr w:rsidR="0079186D" w:rsidRPr="00FD325B" w:rsidTr="000F7F8E">
        <w:tc>
          <w:tcPr>
            <w:tcW w:w="2138" w:type="dxa"/>
          </w:tcPr>
          <w:p w:rsidR="0079186D" w:rsidRPr="000F7F8E" w:rsidRDefault="0079186D"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b/>
                <w:szCs w:val="20"/>
                <w:lang w:val="en-US"/>
              </w:rPr>
              <w:t xml:space="preserve">Nitroethane, </w:t>
            </w:r>
            <w:r w:rsidRPr="000F7F8E">
              <w:rPr>
                <w:rFonts w:ascii="Times New Roman" w:hAnsi="Times New Roman" w:cs="Times New Roman"/>
                <w:szCs w:val="20"/>
                <w:lang w:val="en-US"/>
              </w:rPr>
              <w:t>intracutaneous</w:t>
            </w:r>
          </w:p>
          <w:p w:rsidR="0079186D" w:rsidRPr="000F7F8E" w:rsidRDefault="0079186D" w:rsidP="000F7F8E">
            <w:pPr>
              <w:pStyle w:val="MSDS-TUZeile"/>
              <w:jc w:val="center"/>
              <w:rPr>
                <w:szCs w:val="20"/>
                <w:lang w:val="en-US"/>
              </w:rPr>
            </w:pPr>
          </w:p>
        </w:tc>
        <w:tc>
          <w:tcPr>
            <w:tcW w:w="1569" w:type="dxa"/>
          </w:tcPr>
          <w:p w:rsidR="00CE20DB" w:rsidRPr="000F7F8E" w:rsidRDefault="00F76B4F" w:rsidP="000F7F8E">
            <w:pPr>
              <w:pStyle w:val="MSDS-TUZeile"/>
              <w:ind w:left="0"/>
              <w:jc w:val="center"/>
              <w:rPr>
                <w:rFonts w:ascii="Times New Roman" w:hAnsi="Times New Roman" w:cs="Times New Roman"/>
                <w:szCs w:val="20"/>
                <w:lang w:val="en-US"/>
              </w:rPr>
            </w:pPr>
            <w:r w:rsidRPr="000F7F8E">
              <w:rPr>
                <w:rFonts w:ascii="Times New Roman" w:hAnsi="Times New Roman" w:cs="Times New Roman"/>
                <w:szCs w:val="20"/>
                <w:lang w:val="en-US"/>
              </w:rPr>
              <w:t>10</w:t>
            </w:r>
          </w:p>
        </w:tc>
        <w:tc>
          <w:tcPr>
            <w:tcW w:w="1887" w:type="dxa"/>
          </w:tcPr>
          <w:p w:rsidR="0079186D" w:rsidRPr="000F7F8E" w:rsidRDefault="0079186D" w:rsidP="000F7F8E">
            <w:pPr>
              <w:pStyle w:val="MSDS-TUZeile"/>
              <w:ind w:left="0"/>
              <w:jc w:val="center"/>
              <w:rPr>
                <w:rFonts w:ascii="Times New Roman" w:hAnsi="Times New Roman" w:cs="Times New Roman"/>
                <w:szCs w:val="20"/>
                <w:lang w:val="en-US"/>
              </w:rPr>
            </w:pPr>
            <w:r w:rsidRPr="000F7F8E">
              <w:rPr>
                <w:rFonts w:ascii="Times New Roman" w:hAnsi="Times New Roman" w:cs="Times New Roman"/>
                <w:szCs w:val="20"/>
                <w:lang w:val="en-US"/>
              </w:rPr>
              <w:t>Induction: 1</w:t>
            </w:r>
            <w:r w:rsidR="00F76B4F" w:rsidRPr="000F7F8E">
              <w:rPr>
                <w:rFonts w:ascii="Times New Roman" w:hAnsi="Times New Roman" w:cs="Times New Roman"/>
                <w:szCs w:val="20"/>
                <w:lang w:val="en-US"/>
              </w:rPr>
              <w:t>0</w:t>
            </w:r>
            <w:r w:rsidRPr="000F7F8E">
              <w:rPr>
                <w:rFonts w:ascii="Times New Roman" w:hAnsi="Times New Roman" w:cs="Times New Roman"/>
                <w:szCs w:val="20"/>
                <w:lang w:val="en-US"/>
              </w:rPr>
              <w:t>%</w:t>
            </w:r>
            <w:r w:rsidR="00F76B4F" w:rsidRPr="000F7F8E">
              <w:rPr>
                <w:rFonts w:ascii="Times New Roman" w:hAnsi="Times New Roman" w:cs="Times New Roman"/>
                <w:szCs w:val="20"/>
                <w:lang w:val="en-US"/>
              </w:rPr>
              <w:t xml:space="preserve"> (injections 1 and 2), 5% (injection 3), 1% (injections 4-10)</w:t>
            </w:r>
          </w:p>
          <w:p w:rsidR="0079186D" w:rsidRPr="000F7F8E" w:rsidRDefault="0079186D" w:rsidP="000F7F8E">
            <w:pPr>
              <w:pStyle w:val="MSDS-TUZeile"/>
              <w:ind w:left="0"/>
              <w:jc w:val="center"/>
              <w:rPr>
                <w:rFonts w:ascii="Times New Roman" w:hAnsi="Times New Roman" w:cs="Times New Roman"/>
                <w:szCs w:val="20"/>
                <w:lang w:val="en-US"/>
              </w:rPr>
            </w:pPr>
            <w:r w:rsidRPr="000F7F8E">
              <w:rPr>
                <w:rFonts w:ascii="Times New Roman" w:hAnsi="Times New Roman" w:cs="Times New Roman"/>
                <w:szCs w:val="20"/>
                <w:lang w:val="en-US"/>
              </w:rPr>
              <w:t>Challenge: 1%</w:t>
            </w:r>
          </w:p>
        </w:tc>
        <w:tc>
          <w:tcPr>
            <w:tcW w:w="2071" w:type="dxa"/>
          </w:tcPr>
          <w:p w:rsidR="0079186D" w:rsidRPr="000F7F8E" w:rsidRDefault="0079186D" w:rsidP="000F7F8E">
            <w:pPr>
              <w:pStyle w:val="MSDS-TUZeile"/>
              <w:ind w:left="0"/>
              <w:jc w:val="center"/>
              <w:rPr>
                <w:rFonts w:ascii="Times New Roman" w:hAnsi="Times New Roman" w:cs="Times New Roman"/>
                <w:szCs w:val="20"/>
                <w:lang w:val="en-US"/>
              </w:rPr>
            </w:pPr>
            <w:r w:rsidRPr="000F7F8E">
              <w:rPr>
                <w:rFonts w:ascii="Times New Roman" w:hAnsi="Times New Roman" w:cs="Times New Roman"/>
                <w:szCs w:val="20"/>
                <w:lang w:val="en-US"/>
              </w:rPr>
              <w:t>Not sensitising</w:t>
            </w:r>
          </w:p>
        </w:tc>
        <w:tc>
          <w:tcPr>
            <w:tcW w:w="1962" w:type="dxa"/>
          </w:tcPr>
          <w:p w:rsidR="0079186D" w:rsidRPr="000F7F8E" w:rsidRDefault="0079186D" w:rsidP="000F7F8E">
            <w:pPr>
              <w:pStyle w:val="MSDS-TUZeile"/>
              <w:ind w:left="30"/>
              <w:jc w:val="center"/>
              <w:rPr>
                <w:rFonts w:ascii="Times New Roman" w:hAnsi="Times New Roman" w:cs="Times New Roman"/>
                <w:szCs w:val="20"/>
                <w:lang w:val="en-US"/>
              </w:rPr>
            </w:pPr>
            <w:r w:rsidRPr="000F7F8E">
              <w:rPr>
                <w:rFonts w:ascii="Times New Roman" w:hAnsi="Times New Roman" w:cs="Times New Roman"/>
                <w:szCs w:val="20"/>
                <w:lang w:val="en-US"/>
              </w:rPr>
              <w:t>Parekh and Wilbur, 1981</w:t>
            </w:r>
          </w:p>
        </w:tc>
      </w:tr>
      <w:tr w:rsidR="0079186D" w:rsidRPr="00FD325B" w:rsidTr="000F7F8E">
        <w:tc>
          <w:tcPr>
            <w:tcW w:w="2138" w:type="dxa"/>
          </w:tcPr>
          <w:p w:rsidR="0079186D" w:rsidRPr="000F7F8E" w:rsidRDefault="0079186D"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b/>
                <w:szCs w:val="20"/>
                <w:lang w:val="en-US"/>
              </w:rPr>
              <w:t xml:space="preserve">1-Nitropropane, </w:t>
            </w:r>
            <w:r w:rsidRPr="000F7F8E">
              <w:rPr>
                <w:rFonts w:ascii="Times New Roman" w:hAnsi="Times New Roman" w:cs="Times New Roman"/>
                <w:szCs w:val="20"/>
                <w:lang w:val="en-US"/>
              </w:rPr>
              <w:t>intracutaneous</w:t>
            </w:r>
          </w:p>
          <w:p w:rsidR="0079186D" w:rsidRPr="000F7F8E" w:rsidRDefault="0079186D" w:rsidP="000F7F8E">
            <w:pPr>
              <w:pStyle w:val="MSDS-TUZeile"/>
              <w:jc w:val="center"/>
              <w:rPr>
                <w:szCs w:val="20"/>
                <w:lang w:val="en-US"/>
              </w:rPr>
            </w:pPr>
          </w:p>
        </w:tc>
        <w:tc>
          <w:tcPr>
            <w:tcW w:w="1569" w:type="dxa"/>
          </w:tcPr>
          <w:p w:rsidR="00CE20DB" w:rsidRPr="000F7F8E" w:rsidRDefault="00365729"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szCs w:val="20"/>
                <w:lang w:val="en-US"/>
              </w:rPr>
              <w:t>10</w:t>
            </w:r>
          </w:p>
        </w:tc>
        <w:tc>
          <w:tcPr>
            <w:tcW w:w="1887" w:type="dxa"/>
          </w:tcPr>
          <w:p w:rsidR="0079186D" w:rsidRPr="000F7F8E" w:rsidRDefault="0079186D"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szCs w:val="20"/>
                <w:lang w:val="en-US"/>
              </w:rPr>
              <w:t xml:space="preserve">Induction: </w:t>
            </w:r>
            <w:r w:rsidR="00950431" w:rsidRPr="000F7F8E">
              <w:rPr>
                <w:rFonts w:ascii="Times New Roman" w:hAnsi="Times New Roman" w:cs="Times New Roman"/>
                <w:szCs w:val="20"/>
                <w:lang w:val="en-US"/>
              </w:rPr>
              <w:t xml:space="preserve">5% (injections 1-3), </w:t>
            </w:r>
            <w:r w:rsidRPr="000F7F8E">
              <w:rPr>
                <w:rFonts w:ascii="Times New Roman" w:hAnsi="Times New Roman" w:cs="Times New Roman"/>
                <w:szCs w:val="20"/>
                <w:lang w:val="en-US"/>
              </w:rPr>
              <w:t>1%</w:t>
            </w:r>
            <w:r w:rsidR="00950431" w:rsidRPr="000F7F8E">
              <w:rPr>
                <w:rFonts w:ascii="Times New Roman" w:hAnsi="Times New Roman" w:cs="Times New Roman"/>
                <w:szCs w:val="20"/>
                <w:lang w:val="en-US"/>
              </w:rPr>
              <w:t xml:space="preserve"> (injections 4-10)</w:t>
            </w:r>
          </w:p>
          <w:p w:rsidR="0079186D" w:rsidRPr="000F7F8E" w:rsidRDefault="0079186D"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szCs w:val="20"/>
                <w:lang w:val="en-US"/>
              </w:rPr>
              <w:t>Challenge: 1%</w:t>
            </w:r>
          </w:p>
        </w:tc>
        <w:tc>
          <w:tcPr>
            <w:tcW w:w="2071" w:type="dxa"/>
          </w:tcPr>
          <w:p w:rsidR="0079186D" w:rsidRPr="000F7F8E" w:rsidRDefault="0079186D"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szCs w:val="20"/>
                <w:lang w:val="en-US"/>
              </w:rPr>
              <w:t>Not sensitising</w:t>
            </w:r>
          </w:p>
        </w:tc>
        <w:tc>
          <w:tcPr>
            <w:tcW w:w="1962" w:type="dxa"/>
          </w:tcPr>
          <w:p w:rsidR="0079186D" w:rsidRPr="000F7F8E" w:rsidRDefault="0079186D" w:rsidP="000F7F8E">
            <w:pPr>
              <w:pStyle w:val="MSDS-TZeile"/>
              <w:ind w:left="0"/>
              <w:jc w:val="center"/>
              <w:rPr>
                <w:rFonts w:ascii="Times New Roman" w:hAnsi="Times New Roman" w:cs="Times New Roman"/>
                <w:szCs w:val="20"/>
                <w:lang w:val="en-US"/>
              </w:rPr>
            </w:pPr>
            <w:r w:rsidRPr="000F7F8E">
              <w:rPr>
                <w:rFonts w:ascii="Times New Roman" w:hAnsi="Times New Roman" w:cs="Times New Roman"/>
                <w:szCs w:val="20"/>
                <w:lang w:val="en-US"/>
              </w:rPr>
              <w:t>Parekh, 1981d</w:t>
            </w:r>
          </w:p>
        </w:tc>
      </w:tr>
    </w:tbl>
    <w:p w:rsidR="00367552" w:rsidRPr="00606641" w:rsidRDefault="00367552" w:rsidP="00F37C80">
      <w:pPr>
        <w:pStyle w:val="BodyText"/>
        <w:rPr>
          <w:lang w:val="en-US"/>
        </w:rPr>
      </w:pPr>
    </w:p>
    <w:p w:rsidR="00204A39" w:rsidRPr="002267D5" w:rsidRDefault="0038288D" w:rsidP="00F37C80">
      <w:pPr>
        <w:pStyle w:val="Heading9"/>
        <w:jc w:val="both"/>
      </w:pPr>
      <w:r>
        <w:t>R</w:t>
      </w:r>
      <w:r w:rsidR="00204A39" w:rsidRPr="002267D5">
        <w:t>espiratory Tract</w:t>
      </w:r>
    </w:p>
    <w:p w:rsidR="00204A39" w:rsidRPr="002267D5" w:rsidRDefault="00204A39" w:rsidP="00F37C80">
      <w:pPr>
        <w:pStyle w:val="BodyText"/>
      </w:pPr>
      <w:r w:rsidRPr="002267D5">
        <w:t>No data available.</w:t>
      </w:r>
    </w:p>
    <w:p w:rsidR="00204A39" w:rsidRPr="002267D5" w:rsidRDefault="00204A39" w:rsidP="00F37C80">
      <w:pPr>
        <w:pStyle w:val="Heading8"/>
        <w:jc w:val="both"/>
      </w:pPr>
      <w:r w:rsidRPr="002267D5">
        <w:t>Studies in Humans</w:t>
      </w:r>
    </w:p>
    <w:p w:rsidR="00204A39" w:rsidRPr="002267D5" w:rsidRDefault="00204A39" w:rsidP="00F37C80">
      <w:pPr>
        <w:pStyle w:val="BodyText"/>
      </w:pPr>
      <w:r w:rsidRPr="002267D5">
        <w:t>No data available.</w:t>
      </w:r>
    </w:p>
    <w:p w:rsidR="00204A39" w:rsidRPr="00152B17" w:rsidRDefault="00204A39" w:rsidP="00F37C80">
      <w:pPr>
        <w:pStyle w:val="Heading8"/>
        <w:jc w:val="both"/>
      </w:pPr>
      <w:r w:rsidRPr="00152B17">
        <w:t>Conclusion</w:t>
      </w:r>
    </w:p>
    <w:p w:rsidR="00210426" w:rsidRPr="00152B17" w:rsidRDefault="00210426" w:rsidP="00F37C80">
      <w:pPr>
        <w:pStyle w:val="BodyText"/>
      </w:pPr>
      <w:r w:rsidRPr="00D97630">
        <w:t xml:space="preserve">The members of the </w:t>
      </w:r>
      <w:r w:rsidR="00430890">
        <w:t xml:space="preserve">short chain </w:t>
      </w:r>
      <w:r w:rsidRPr="00D97630">
        <w:t xml:space="preserve">nitroparaffins </w:t>
      </w:r>
      <w:r w:rsidR="00430890">
        <w:t xml:space="preserve">category </w:t>
      </w:r>
      <w:r w:rsidR="00907898">
        <w:t xml:space="preserve">have </w:t>
      </w:r>
      <w:r w:rsidR="003779A8">
        <w:t xml:space="preserve">shown </w:t>
      </w:r>
      <w:r w:rsidR="00907898">
        <w:t>no skin sensiti</w:t>
      </w:r>
      <w:r w:rsidR="003779A8">
        <w:t>s</w:t>
      </w:r>
      <w:r w:rsidR="00907898">
        <w:t xml:space="preserve">ing ability </w:t>
      </w:r>
      <w:r w:rsidR="003779A8">
        <w:t xml:space="preserve">at </w:t>
      </w:r>
      <w:r w:rsidR="00D038F1">
        <w:t xml:space="preserve">1-10% </w:t>
      </w:r>
      <w:r w:rsidR="003779A8">
        <w:t xml:space="preserve">concentrations in guinea pig tests. </w:t>
      </w:r>
      <w:r w:rsidR="009A15A1">
        <w:t xml:space="preserve"> </w:t>
      </w:r>
      <w:r w:rsidR="006D26E4">
        <w:t xml:space="preserve">However, in one case, evaporation may have occurred because administration was done topically </w:t>
      </w:r>
      <w:r w:rsidR="006D26E4" w:rsidRPr="006D26E4">
        <w:t>during challenge.</w:t>
      </w:r>
      <w:r w:rsidR="002B06BD">
        <w:t xml:space="preserve">  Also, i</w:t>
      </w:r>
      <w:r w:rsidR="003779A8">
        <w:t xml:space="preserve">t is not known whether higher doses </w:t>
      </w:r>
      <w:r w:rsidR="0035159A">
        <w:t xml:space="preserve">might </w:t>
      </w:r>
      <w:r w:rsidR="003779A8">
        <w:t xml:space="preserve">result in sensitisation.  </w:t>
      </w:r>
    </w:p>
    <w:p w:rsidR="00204A39" w:rsidRPr="00152B17" w:rsidRDefault="00204A39" w:rsidP="00F37C80">
      <w:pPr>
        <w:pStyle w:val="Heading3"/>
        <w:jc w:val="both"/>
      </w:pPr>
      <w:bookmarkStart w:id="89" w:name="_Toc32726033"/>
      <w:bookmarkStart w:id="90" w:name="_Toc32727216"/>
      <w:bookmarkStart w:id="91" w:name="_Toc147824546"/>
      <w:r w:rsidRPr="00152B17">
        <w:t>Repeated Dose Toxicity</w:t>
      </w:r>
      <w:bookmarkEnd w:id="89"/>
      <w:bookmarkEnd w:id="90"/>
      <w:bookmarkEnd w:id="91"/>
    </w:p>
    <w:p w:rsidR="00204A39" w:rsidRPr="00443C11" w:rsidRDefault="00204A39" w:rsidP="00F37C80">
      <w:pPr>
        <w:pStyle w:val="BodyText"/>
      </w:pPr>
      <w:r w:rsidRPr="00443C11">
        <w:t>Repeat</w:t>
      </w:r>
      <w:r w:rsidR="007860A2">
        <w:t>ed</w:t>
      </w:r>
      <w:r w:rsidR="00DB0053">
        <w:t>-</w:t>
      </w:r>
      <w:r w:rsidRPr="00443C11">
        <w:t xml:space="preserve">dose studies </w:t>
      </w:r>
      <w:r w:rsidR="00DB0053">
        <w:t>are available for the</w:t>
      </w:r>
      <w:r w:rsidR="00B140A9">
        <w:t xml:space="preserve"> </w:t>
      </w:r>
      <w:r w:rsidR="00B072A1" w:rsidRPr="00443C11">
        <w:t>inhalation</w:t>
      </w:r>
      <w:r w:rsidRPr="00443C11">
        <w:t xml:space="preserve"> </w:t>
      </w:r>
      <w:r w:rsidR="00DB0053">
        <w:t>(all category members) and oral (</w:t>
      </w:r>
      <w:r w:rsidR="00455929">
        <w:t xml:space="preserve">nitromethane and </w:t>
      </w:r>
      <w:r w:rsidR="00DB0053">
        <w:t xml:space="preserve">1-nitropropane) </w:t>
      </w:r>
      <w:r w:rsidRPr="00443C11">
        <w:t>route</w:t>
      </w:r>
      <w:r w:rsidR="00DB0053">
        <w:t>s</w:t>
      </w:r>
      <w:r w:rsidRPr="00443C11">
        <w:t xml:space="preserve"> of exposure</w:t>
      </w:r>
      <w:r w:rsidR="00DB0053">
        <w:t xml:space="preserve">. </w:t>
      </w:r>
      <w:r w:rsidRPr="00443C11">
        <w:t xml:space="preserve"> </w:t>
      </w:r>
      <w:r w:rsidR="00C650D0">
        <w:t>Please also refer to Section 3.1.7 (Carcinogenicity) for some additional information on non-neoplastic lesions from carcinogenicity studies.</w:t>
      </w:r>
    </w:p>
    <w:p w:rsidR="00204A39" w:rsidRPr="00424854" w:rsidRDefault="00204A39" w:rsidP="00F37C80">
      <w:pPr>
        <w:pStyle w:val="Heading8"/>
        <w:jc w:val="both"/>
      </w:pPr>
      <w:r w:rsidRPr="00424854">
        <w:t>Studies in Animals</w:t>
      </w:r>
    </w:p>
    <w:p w:rsidR="00204A39" w:rsidRPr="00424854" w:rsidRDefault="00DB0053" w:rsidP="00F37C80">
      <w:pPr>
        <w:pStyle w:val="Heading9"/>
        <w:jc w:val="both"/>
      </w:pPr>
      <w:r>
        <w:t>Inhalation</w:t>
      </w:r>
    </w:p>
    <w:p w:rsidR="002D636B" w:rsidRDefault="002D636B" w:rsidP="00F37C80">
      <w:pPr>
        <w:jc w:val="both"/>
      </w:pPr>
      <w:proofErr w:type="gramStart"/>
      <w:r w:rsidRPr="002D636B">
        <w:rPr>
          <w:i/>
          <w:u w:val="single"/>
        </w:rPr>
        <w:t>Nitromethane</w:t>
      </w:r>
      <w:r w:rsidR="00C1513D">
        <w:rPr>
          <w:i/>
        </w:rPr>
        <w:t>.</w:t>
      </w:r>
      <w:proofErr w:type="gramEnd"/>
      <w:r w:rsidR="00C1513D">
        <w:rPr>
          <w:i/>
        </w:rPr>
        <w:t xml:space="preserve">  </w:t>
      </w:r>
      <w:r w:rsidR="00C76CCB">
        <w:t>In a 13-week repeated-dose study</w:t>
      </w:r>
      <w:r w:rsidR="00AC7106">
        <w:t xml:space="preserve"> (6 hours/day, 5 days/week)</w:t>
      </w:r>
      <w:proofErr w:type="gramStart"/>
      <w:r w:rsidR="00C76CCB">
        <w:t xml:space="preserve">, </w:t>
      </w:r>
      <w:r>
        <w:t xml:space="preserve"> </w:t>
      </w:r>
      <w:r w:rsidR="00C76CCB">
        <w:t>Fischer</w:t>
      </w:r>
      <w:proofErr w:type="gramEnd"/>
      <w:r w:rsidR="00C76CCB">
        <w:t xml:space="preserve"> rats (10/sex/concentration) were exposed via inhalation to 94, 188, 375, 750 or 1500 ppm (</w:t>
      </w:r>
      <w:r w:rsidR="00C76CCB" w:rsidRPr="00E04EED">
        <w:t xml:space="preserve">approximately </w:t>
      </w:r>
      <w:r w:rsidR="00E04EED" w:rsidRPr="00E04EED">
        <w:t xml:space="preserve">0.23, 0.47, 0.94, 1.9 </w:t>
      </w:r>
      <w:r w:rsidR="005A4384">
        <w:t xml:space="preserve">or </w:t>
      </w:r>
      <w:r w:rsidR="00E04EED" w:rsidRPr="00E04EED">
        <w:t xml:space="preserve">3.7 </w:t>
      </w:r>
      <w:r w:rsidR="00C76CCB" w:rsidRPr="00E04EED">
        <w:t>mg/L</w:t>
      </w:r>
      <w:r w:rsidR="005A4384">
        <w:t>,</w:t>
      </w:r>
      <w:r w:rsidR="00E04EED" w:rsidRPr="00E04EED">
        <w:t xml:space="preserve"> respectively</w:t>
      </w:r>
      <w:r w:rsidR="00C76CCB" w:rsidRPr="00E04EED">
        <w:t>)</w:t>
      </w:r>
      <w:r w:rsidR="00C76CCB">
        <w:t xml:space="preserve"> nitromethane</w:t>
      </w:r>
      <w:r w:rsidR="00F54239">
        <w:t xml:space="preserve"> vapour</w:t>
      </w:r>
      <w:r w:rsidR="005A4384">
        <w:t xml:space="preserve"> </w:t>
      </w:r>
      <w:r w:rsidR="005A4384" w:rsidRPr="003C63D6">
        <w:t>(USDHHS, 1997).</w:t>
      </w:r>
      <w:r w:rsidR="00C76CCB">
        <w:t xml:space="preserve"> </w:t>
      </w:r>
      <w:r w:rsidR="002C4F76">
        <w:t xml:space="preserve"> </w:t>
      </w:r>
      <w:r w:rsidR="00990A9F">
        <w:t>Final body weights in males were 88% of controls</w:t>
      </w:r>
      <w:r w:rsidR="00926E03">
        <w:t xml:space="preserve"> at 1500 ppm</w:t>
      </w:r>
      <w:r w:rsidR="00990A9F">
        <w:t xml:space="preserve">.  There was a concentration-dependent microcytic, responsive anemia, which </w:t>
      </w:r>
      <w:r>
        <w:t xml:space="preserve">was most pronounced in males and females exposed to concentrations greater than or equal to 375 ppm.  The presence of increased Heinz bodies </w:t>
      </w:r>
      <w:r w:rsidR="00EC0695">
        <w:t>(750/</w:t>
      </w:r>
      <w:r w:rsidR="003D024E">
        <w:t xml:space="preserve">1500 ppm in males) </w:t>
      </w:r>
      <w:r>
        <w:t>and increased mean cell hemoglobin</w:t>
      </w:r>
      <w:r w:rsidR="003D024E">
        <w:t xml:space="preserve"> (</w:t>
      </w:r>
      <w:r w:rsidR="00EC0695">
        <w:t xml:space="preserve">750 ppm in males and 1500 ppm in males and females) </w:t>
      </w:r>
      <w:r>
        <w:t xml:space="preserve"> and methemoglobin concentrations</w:t>
      </w:r>
      <w:r w:rsidR="00EC0695">
        <w:t xml:space="preserve"> (375 ppm or greater in males and 750/1500 ppm in females)</w:t>
      </w:r>
      <w:r>
        <w:t xml:space="preserve"> were evidence that a hemolytic process was occurring.  Thrombocytosis </w:t>
      </w:r>
      <w:r w:rsidR="00F66B71">
        <w:t xml:space="preserve">(high numbers of platelets in the blood) </w:t>
      </w:r>
      <w:r>
        <w:t xml:space="preserve">accompanied the anemia (which could have been due to reactive bone marrow or the erroneous inclusion of small erythrocyte fragments in the platelet count).  Minimal to mild hyperplasia of the bone marrow was seen in males and females treated with concentrations greater than or equal to 750 ppm and greater than or equal to188 ppm, respectively.  Transient decreases in triidothyronine, thyroxine and free thyroxine were observed </w:t>
      </w:r>
      <w:r w:rsidR="00DF2879">
        <w:t xml:space="preserve">at </w:t>
      </w:r>
      <w:r>
        <w:t xml:space="preserve">concentrations greater than or equal to 375 ppm and greater than or equal to 750 ppm, </w:t>
      </w:r>
      <w:r w:rsidR="00DF2879">
        <w:t xml:space="preserve">in males and females, </w:t>
      </w:r>
      <w:r>
        <w:t xml:space="preserve">respectively.  There was little or no pituitary response as evidenced by the lack of increased concentrations of thyroid-stimulating hormone in exposed rats. A significant decrease in sperm mobility was noted in male rats exposed to 750 and 1500 ppm.  Male rats exposed to 1500 ppm also had decreased cauda epididymis and testes weights.  </w:t>
      </w:r>
    </w:p>
    <w:p w:rsidR="002D636B" w:rsidRDefault="00DF2879" w:rsidP="00F37C80">
      <w:pPr>
        <w:jc w:val="both"/>
      </w:pPr>
      <w:r>
        <w:t xml:space="preserve">Several </w:t>
      </w:r>
      <w:r w:rsidR="002D636B">
        <w:t>effect</w:t>
      </w:r>
      <w:r>
        <w:t>s</w:t>
      </w:r>
      <w:r w:rsidR="002D636B">
        <w:t xml:space="preserve"> on the nervous system w</w:t>
      </w:r>
      <w:r>
        <w:t>ere</w:t>
      </w:r>
      <w:r w:rsidR="002D636B">
        <w:t xml:space="preserve"> noted. </w:t>
      </w:r>
      <w:r>
        <w:t xml:space="preserve"> </w:t>
      </w:r>
      <w:r w:rsidR="002D636B">
        <w:t xml:space="preserve">The forelimb and hindlimb grip strengths of males in the 1500 ppm group and the hindlimb grip strength of females in the 750 and 1500 ppm groups were less than control.  Degeneration of the sciatic nerve and lumbar spinal cord were observed in rats exposed to concentrations greater than or equal to 375 ppm.  </w:t>
      </w:r>
      <w:r w:rsidR="00074748">
        <w:t xml:space="preserve">Hind limb paralysis was noted in all males and females beginning on day 21 </w:t>
      </w:r>
      <w:r>
        <w:t>in</w:t>
      </w:r>
      <w:r w:rsidR="00074748">
        <w:t xml:space="preserve"> the 1500 ppm group and in 1 male and 4 females beginning on day 63 </w:t>
      </w:r>
      <w:r>
        <w:t>in</w:t>
      </w:r>
      <w:r w:rsidR="00074748">
        <w:t xml:space="preserve"> the 750 ppm group.  </w:t>
      </w:r>
      <w:r w:rsidR="002D636B">
        <w:t xml:space="preserve">Nasal lesions </w:t>
      </w:r>
      <w:r>
        <w:t xml:space="preserve">(a local effect) </w:t>
      </w:r>
      <w:r w:rsidR="002D636B">
        <w:t xml:space="preserve">were also observed in rats exposed to </w:t>
      </w:r>
      <w:r w:rsidR="00DD0DE4">
        <w:t>375 ppm and higher</w:t>
      </w:r>
      <w:r w:rsidR="002D636B">
        <w:t xml:space="preserve">. </w:t>
      </w:r>
      <w:r w:rsidR="00DD0DE4">
        <w:t xml:space="preserve"> </w:t>
      </w:r>
      <w:r w:rsidR="002D636B">
        <w:t>All lesions were minimal to mild in severity.</w:t>
      </w:r>
      <w:r w:rsidR="0004566C">
        <w:t xml:space="preserve">  Based on hematological findings, the LOAEC </w:t>
      </w:r>
      <w:r>
        <w:t xml:space="preserve">for systemic toxicity </w:t>
      </w:r>
      <w:r w:rsidR="0004566C">
        <w:t>was 94 ppm (</w:t>
      </w:r>
      <w:r w:rsidR="005541DD" w:rsidRPr="005541DD">
        <w:t>0</w:t>
      </w:r>
      <w:r w:rsidR="00911966">
        <w:t>.</w:t>
      </w:r>
      <w:r w:rsidR="005541DD" w:rsidRPr="005541DD">
        <w:t>23</w:t>
      </w:r>
      <w:r w:rsidR="0004566C" w:rsidRPr="005541DD">
        <w:t xml:space="preserve"> mg/L)</w:t>
      </w:r>
      <w:r>
        <w:t xml:space="preserve"> and the NOAEC could not be established</w:t>
      </w:r>
      <w:r w:rsidR="0004566C" w:rsidRPr="005541DD">
        <w:t>.</w:t>
      </w:r>
      <w:r>
        <w:t xml:space="preserve">  </w:t>
      </w:r>
      <w:r w:rsidR="00DD0DE4">
        <w:t>The local LOAEC and NOAEC were 375 and 188 ppm (0.94 and 0.47 mg/L), respectively.</w:t>
      </w:r>
    </w:p>
    <w:p w:rsidR="002D636B" w:rsidRDefault="002D636B" w:rsidP="00F37C80">
      <w:pPr>
        <w:jc w:val="both"/>
      </w:pPr>
    </w:p>
    <w:p w:rsidR="002D636B" w:rsidRDefault="00965D4D" w:rsidP="00F37C80">
      <w:pPr>
        <w:jc w:val="both"/>
      </w:pPr>
      <w:r>
        <w:t>In a similar study</w:t>
      </w:r>
      <w:r w:rsidR="002C4F76">
        <w:t xml:space="preserve"> </w:t>
      </w:r>
      <w:r w:rsidR="002C4F76" w:rsidRPr="00A508E9">
        <w:t>(USDHHS, 1997)</w:t>
      </w:r>
      <w:r>
        <w:t xml:space="preserve">, </w:t>
      </w:r>
      <w:r w:rsidR="0004566C">
        <w:t>B6C3F1 mice (10/sex/concentration) were exposed via inhalation to 94, 188, 375, 750 or 1500 ppm (</w:t>
      </w:r>
      <w:r w:rsidR="0004566C" w:rsidRPr="00F164ED">
        <w:t>approximately</w:t>
      </w:r>
      <w:r w:rsidR="005541DD" w:rsidRPr="00F164ED">
        <w:t xml:space="preserve"> 0.23, 0.47, 0.94, 1.9, and 3.7 </w:t>
      </w:r>
      <w:r w:rsidR="0004566C" w:rsidRPr="00F164ED">
        <w:t>mg/L)</w:t>
      </w:r>
      <w:r w:rsidR="0004566C">
        <w:t xml:space="preserve"> nitromethane for 13 weeks.  </w:t>
      </w:r>
      <w:r>
        <w:t xml:space="preserve">Results </w:t>
      </w:r>
      <w:r w:rsidR="002C4F76">
        <w:t xml:space="preserve">in mice </w:t>
      </w:r>
      <w:r>
        <w:t xml:space="preserve">showed a somewhat different profile of toxicity than in the </w:t>
      </w:r>
      <w:r w:rsidRPr="00A508E9">
        <w:t>rat</w:t>
      </w:r>
      <w:r>
        <w:t xml:space="preserve">, partly due to the types of evaluations conducted (no neurobehavioural or neuropathology evaluations </w:t>
      </w:r>
      <w:r w:rsidR="002F099C">
        <w:t xml:space="preserve">were conducted </w:t>
      </w:r>
      <w:r>
        <w:t xml:space="preserve">and no analysis of hematology or clinical chemistry was done on mice), although </w:t>
      </w:r>
      <w:r w:rsidR="002C4F76">
        <w:t xml:space="preserve">there may also be </w:t>
      </w:r>
      <w:r>
        <w:t xml:space="preserve">inherent differences between these species. </w:t>
      </w:r>
      <w:r w:rsidRPr="00A508E9">
        <w:t xml:space="preserve"> </w:t>
      </w:r>
      <w:r w:rsidR="002D636B" w:rsidRPr="00A508E9">
        <w:t>Bone</w:t>
      </w:r>
      <w:r w:rsidR="002D636B">
        <w:t xml:space="preserve"> marrow toxicity w</w:t>
      </w:r>
      <w:r>
        <w:t>as</w:t>
      </w:r>
      <w:r w:rsidR="002D636B">
        <w:t xml:space="preserve"> not observed in mice exposed to up to 1500 ppm, and all males and 9 females in the 1500 ppm group</w:t>
      </w:r>
      <w:r w:rsidR="0060612E">
        <w:t xml:space="preserve">, 2 males and three females in the 750 ppm group, and one male and two </w:t>
      </w:r>
      <w:r w:rsidR="0060612E" w:rsidRPr="002C4F76">
        <w:t xml:space="preserve">females in the </w:t>
      </w:r>
      <w:r w:rsidR="00B320DF" w:rsidRPr="00F37C80">
        <w:t xml:space="preserve">375 ppm group had extramedullary hematopoiesis of the spleen.  </w:t>
      </w:r>
      <w:r w:rsidR="002C4F76" w:rsidRPr="002C4F76">
        <w:t xml:space="preserve">Since indices of red blood toxicity were not measured in this study, it is unknown whether any of the effects observed were related to anemia.  </w:t>
      </w:r>
      <w:r w:rsidR="00B320DF" w:rsidRPr="00F37C80">
        <w:t>Nasal tissues of mice appeared to be more sensitive than rats to nitromethane.  Olfactory epithelial degeneration and respiratory epithelial hyaline droplets were observed in all mice exposed to concentrations greater than or equal to 375 ppm.  Olfactory degeneration also occurred in female mice in the 188 ppm group, and hyaline droplets were found in females in the 94 and 188 ppm groups.  The severity of all lesions was minimal to mild (with the exception of moderate epithelial hyaline droplets in high</w:t>
      </w:r>
      <w:r w:rsidR="002D636B" w:rsidRPr="002C4F76">
        <w:t xml:space="preserve"> dose females).  </w:t>
      </w:r>
    </w:p>
    <w:p w:rsidR="002D636B" w:rsidRPr="00260461" w:rsidRDefault="00761353" w:rsidP="00F37C80">
      <w:pPr>
        <w:jc w:val="both"/>
        <w:rPr>
          <w:color w:val="000000"/>
        </w:rPr>
      </w:pPr>
      <w:r w:rsidRPr="00260461">
        <w:rPr>
          <w:color w:val="000000"/>
        </w:rPr>
        <w:t>T</w:t>
      </w:r>
      <w:r w:rsidR="002D636B" w:rsidRPr="00260461">
        <w:rPr>
          <w:color w:val="000000"/>
        </w:rPr>
        <w:t xml:space="preserve">he absolute </w:t>
      </w:r>
      <w:r w:rsidR="004C1D92" w:rsidRPr="00260461">
        <w:rPr>
          <w:color w:val="000000"/>
        </w:rPr>
        <w:t xml:space="preserve">right </w:t>
      </w:r>
      <w:r w:rsidR="002D636B" w:rsidRPr="00260461">
        <w:rPr>
          <w:color w:val="000000"/>
        </w:rPr>
        <w:t>kidney</w:t>
      </w:r>
      <w:r w:rsidR="006E4BB2" w:rsidRPr="00260461">
        <w:rPr>
          <w:color w:val="000000"/>
        </w:rPr>
        <w:t xml:space="preserve"> weights </w:t>
      </w:r>
      <w:r w:rsidR="002D636B" w:rsidRPr="00260461">
        <w:rPr>
          <w:color w:val="000000"/>
        </w:rPr>
        <w:t xml:space="preserve">of all groups of exposed </w:t>
      </w:r>
      <w:r w:rsidR="004C1D92" w:rsidRPr="00260461">
        <w:rPr>
          <w:color w:val="000000"/>
        </w:rPr>
        <w:t xml:space="preserve">male </w:t>
      </w:r>
      <w:r w:rsidR="002D636B" w:rsidRPr="00260461">
        <w:rPr>
          <w:color w:val="000000"/>
        </w:rPr>
        <w:t xml:space="preserve">mice except the 1500 ppm group </w:t>
      </w:r>
      <w:r w:rsidR="004C1D92" w:rsidRPr="00260461">
        <w:rPr>
          <w:color w:val="000000"/>
        </w:rPr>
        <w:t xml:space="preserve">and the relative right kidney weights of all groups of exposed males </w:t>
      </w:r>
      <w:r w:rsidR="00260461" w:rsidRPr="00260461">
        <w:rPr>
          <w:color w:val="000000"/>
        </w:rPr>
        <w:t xml:space="preserve">were significantly greater than those of controls. </w:t>
      </w:r>
      <w:r w:rsidR="002C4F76">
        <w:rPr>
          <w:color w:val="000000"/>
        </w:rPr>
        <w:t xml:space="preserve"> </w:t>
      </w:r>
      <w:r w:rsidR="00260461" w:rsidRPr="00260461">
        <w:rPr>
          <w:color w:val="000000"/>
        </w:rPr>
        <w:t xml:space="preserve">The absolute right kidney weights of </w:t>
      </w:r>
      <w:r w:rsidR="002D636B" w:rsidRPr="00260461">
        <w:rPr>
          <w:color w:val="000000"/>
        </w:rPr>
        <w:t>females exposed to concentrations greater than or equal to 188 ppm and the relative right kidney weights of all groups of exposed males and females in the 750 and 1500 ppm groups were significantly greater than control</w:t>
      </w:r>
      <w:r w:rsidR="00260461" w:rsidRPr="00260461">
        <w:rPr>
          <w:color w:val="000000"/>
        </w:rPr>
        <w:t>s</w:t>
      </w:r>
      <w:r w:rsidR="00C1513D">
        <w:rPr>
          <w:color w:val="000000"/>
        </w:rPr>
        <w:t>.</w:t>
      </w:r>
      <w:r w:rsidR="002D636B" w:rsidRPr="00260461">
        <w:rPr>
          <w:color w:val="000000"/>
        </w:rPr>
        <w:t xml:space="preserve"> </w:t>
      </w:r>
      <w:r w:rsidR="00E44B10">
        <w:rPr>
          <w:color w:val="000000"/>
        </w:rPr>
        <w:t xml:space="preserve"> </w:t>
      </w:r>
      <w:r w:rsidR="002D636B" w:rsidRPr="00260461">
        <w:rPr>
          <w:color w:val="000000"/>
        </w:rPr>
        <w:t xml:space="preserve">The absolute liver weight of male mice in the 750 ppm group and the relative liver weights of males exposed to concentrations greater than or equal to 375 ppm were significantly greater than control.  Since the histopathology of the liver was normal, the significance of the increased liver weights is </w:t>
      </w:r>
      <w:r w:rsidR="0004566C" w:rsidRPr="00260461">
        <w:rPr>
          <w:color w:val="000000"/>
        </w:rPr>
        <w:t>not known</w:t>
      </w:r>
      <w:r w:rsidR="002D636B" w:rsidRPr="00260461">
        <w:rPr>
          <w:color w:val="000000"/>
        </w:rPr>
        <w:t>.  In this study, a significant decrease in sperm mobility was noted in male mice exposed to 375, 750 or 1500 ppm for 13 weeks.  Female mice had a dose-depen</w:t>
      </w:r>
      <w:r w:rsidR="002D636B" w:rsidRPr="002F099C">
        <w:rPr>
          <w:color w:val="000000"/>
        </w:rPr>
        <w:t>dent increase in estrous cycle length, beginning at 375 ppm.  Additional reproductive toxicity information from this study is presented in Section 5.4.4.</w:t>
      </w:r>
      <w:r w:rsidR="0004566C" w:rsidRPr="002F099C">
        <w:rPr>
          <w:color w:val="000000"/>
        </w:rPr>
        <w:t xml:space="preserve">  The </w:t>
      </w:r>
      <w:r w:rsidR="00E44B10" w:rsidRPr="002F099C">
        <w:rPr>
          <w:color w:val="000000"/>
        </w:rPr>
        <w:t xml:space="preserve">systemic LOAEC and </w:t>
      </w:r>
      <w:r w:rsidR="0004566C" w:rsidRPr="002F099C">
        <w:rPr>
          <w:color w:val="000000"/>
        </w:rPr>
        <w:t xml:space="preserve">NOAEC </w:t>
      </w:r>
      <w:r w:rsidR="00E44B10" w:rsidRPr="002F099C">
        <w:rPr>
          <w:color w:val="000000"/>
        </w:rPr>
        <w:t>is 375 and 188 ppm (</w:t>
      </w:r>
      <w:r w:rsidR="00B320DF" w:rsidRPr="00F37C80">
        <w:rPr>
          <w:color w:val="000000"/>
        </w:rPr>
        <w:t xml:space="preserve">0.94 and 0.47 </w:t>
      </w:r>
      <w:r w:rsidR="00E44B10" w:rsidRPr="002F099C">
        <w:rPr>
          <w:color w:val="000000"/>
        </w:rPr>
        <w:t>mg/L) based on changes in multiple organ weights, changes in sperm motility and oestrous cycle leng</w:t>
      </w:r>
      <w:r w:rsidR="00B320DF" w:rsidRPr="00F37C80">
        <w:rPr>
          <w:color w:val="000000"/>
        </w:rPr>
        <w:t xml:space="preserve">ths.  Since the only significant effect observed at 94 ppm were increased absolute and relative kidney weights in the absence of histopathology and kidney weight increases were not dose-dependent, this effect was not considered to be adverse by itself.  The local LOAEC and NOAEC are 188 and 94 ppm (0.47 and 0.23 </w:t>
      </w:r>
      <w:r w:rsidR="00E44B10" w:rsidRPr="002F099C">
        <w:rPr>
          <w:color w:val="000000"/>
        </w:rPr>
        <w:t>mg/L) based</w:t>
      </w:r>
      <w:r w:rsidR="00E44B10">
        <w:rPr>
          <w:color w:val="000000"/>
        </w:rPr>
        <w:t xml:space="preserve"> on changes in the nasal turbinates</w:t>
      </w:r>
      <w:r w:rsidR="00F66B71">
        <w:t>.</w:t>
      </w:r>
    </w:p>
    <w:p w:rsidR="002D636B" w:rsidRDefault="002D636B" w:rsidP="00F37C80">
      <w:pPr>
        <w:jc w:val="both"/>
      </w:pPr>
      <w:r>
        <w:t xml:space="preserve">In an additional repeated dose study, rats and rabbits were exposed to 98 or </w:t>
      </w:r>
      <w:r w:rsidR="003C63D6">
        <w:t>7</w:t>
      </w:r>
      <w:r>
        <w:t>45 ppm nitromethane by inhalation for 7 hours/day, 5 days/week for 6 months. There were no consistent effects of treatment with 98 ppm in rats</w:t>
      </w:r>
      <w:r w:rsidR="0018240A">
        <w:t xml:space="preserve"> (</w:t>
      </w:r>
      <w:r w:rsidR="003C63D6">
        <w:t>Lewis, 1977</w:t>
      </w:r>
      <w:r w:rsidR="0018240A">
        <w:t>)</w:t>
      </w:r>
      <w:r>
        <w:t xml:space="preserve">.  Rats exposed to 745 ppm had reduced body weight gains, decreased hemoglobin and hematocrits at most time points, and increased thyroid weights. </w:t>
      </w:r>
      <w:r w:rsidR="002C4F76">
        <w:t xml:space="preserve"> </w:t>
      </w:r>
      <w:r>
        <w:t xml:space="preserve">Increased thyroid weights were also observed in rabbits exposed to 98 or 745 ppm.  Rabbits exposed to </w:t>
      </w:r>
      <w:r w:rsidR="003C63D6">
        <w:t>98</w:t>
      </w:r>
      <w:r>
        <w:t xml:space="preserve"> or </w:t>
      </w:r>
      <w:r w:rsidR="003C63D6">
        <w:t>745</w:t>
      </w:r>
      <w:r>
        <w:t xml:space="preserve"> ppm had depressed thyroxin concentrations by </w:t>
      </w:r>
      <w:r w:rsidR="003C63D6">
        <w:t>6</w:t>
      </w:r>
      <w:r>
        <w:t xml:space="preserve"> and </w:t>
      </w:r>
      <w:r w:rsidR="003C63D6">
        <w:t>1</w:t>
      </w:r>
      <w:r>
        <w:t xml:space="preserve"> months, respectively. Hematologic parameters in rabbits exposed to either concentration were not affected, except for a transient depression in hemoglobin concentration at 1 month.  In rabbits, ornithine carbamyl transferase activities were elevated after 1 and 3 months, and less than control at 6 months.</w:t>
      </w:r>
    </w:p>
    <w:p w:rsidR="002D636B" w:rsidRDefault="002D636B" w:rsidP="00F37C80">
      <w:pPr>
        <w:jc w:val="both"/>
      </w:pPr>
    </w:p>
    <w:p w:rsidR="00577C40" w:rsidRDefault="00424854" w:rsidP="00F37C80">
      <w:pPr>
        <w:jc w:val="both"/>
      </w:pPr>
      <w:proofErr w:type="gramStart"/>
      <w:r w:rsidRPr="00577C40">
        <w:rPr>
          <w:i/>
          <w:u w:val="single"/>
        </w:rPr>
        <w:t>Nitroethane</w:t>
      </w:r>
      <w:r w:rsidR="00C1513D" w:rsidRPr="00BD159C">
        <w:rPr>
          <w:i/>
        </w:rPr>
        <w:t>.</w:t>
      </w:r>
      <w:proofErr w:type="gramEnd"/>
      <w:r w:rsidR="00577C40" w:rsidRPr="00BD159C">
        <w:t xml:space="preserve">   </w:t>
      </w:r>
      <w:r w:rsidR="00003672" w:rsidRPr="00BD159C">
        <w:t xml:space="preserve">Fischer rats (10/sex/concentration) were exposed via inhalation to 100, 350 or 1000 ppm (approximately </w:t>
      </w:r>
      <w:r w:rsidR="00AF1AE3" w:rsidRPr="00BD159C">
        <w:t xml:space="preserve">0.31, 1.07, and 3.07 </w:t>
      </w:r>
      <w:r w:rsidR="00B320DF" w:rsidRPr="00F37C80">
        <w:t>mg/L) nitroethane for 13 weeks (6 hours/day, 5 days/week).  Inhalation exposure of rats to 1000 ppm nitroethane resulted in decreased weight gain</w:t>
      </w:r>
      <w:r w:rsidR="00577C40" w:rsidRPr="00BD159C">
        <w:t xml:space="preserve">, elevated methemoglobin levels with cyanosis, increased reticulocytes and Heinz bodies in blood and associated </w:t>
      </w:r>
      <w:r w:rsidR="00B320DF" w:rsidRPr="00F37C80">
        <w:t>splenic extrameduallary hematopoiesis</w:t>
      </w:r>
      <w:r w:rsidR="0018240A" w:rsidRPr="00BD159C">
        <w:t xml:space="preserve"> (</w:t>
      </w:r>
      <w:r w:rsidR="00A508E9" w:rsidRPr="00BD159C">
        <w:t xml:space="preserve">Gushow </w:t>
      </w:r>
      <w:r w:rsidR="00A508E9" w:rsidRPr="00BD159C">
        <w:rPr>
          <w:i/>
        </w:rPr>
        <w:t>et al</w:t>
      </w:r>
      <w:r w:rsidR="00A508E9" w:rsidRPr="00BD159C">
        <w:t>., 1982</w:t>
      </w:r>
      <w:r w:rsidR="0018240A" w:rsidRPr="00BD159C">
        <w:t>)</w:t>
      </w:r>
      <w:r w:rsidR="00B320DF" w:rsidRPr="00F37C80">
        <w:t>.  Additional effects were decreased body weight gain (with secondary effects on other parameters such as organ weights, adipose tissues and glucose), moderate degenerative and inflammatory changes in the nasal epithelium in all rats, slight hepatocellular vacuolization, and slight decreases in the cytoplasmic granularity of the cortical tubular epithelium of the kidneys and ductal epithelial cells of the salivary glands</w:t>
      </w:r>
      <w:r w:rsidR="00577C40" w:rsidRPr="00BD159C">
        <w:t xml:space="preserve">.  Rats exposed to 350 ppm showed similar but less severe changes in </w:t>
      </w:r>
      <w:r w:rsidR="00B320DF" w:rsidRPr="00F37C80">
        <w:t>body weight,</w:t>
      </w:r>
      <w:r w:rsidR="00577C40" w:rsidRPr="00BD159C">
        <w:t xml:space="preserve"> methemoglobin, and </w:t>
      </w:r>
      <w:r w:rsidR="00B320DF" w:rsidRPr="00F37C80">
        <w:t>histopathology of the spleen</w:t>
      </w:r>
      <w:r w:rsidR="00577C40" w:rsidRPr="00BD159C">
        <w:t xml:space="preserve">, nasal turbinates, liver and </w:t>
      </w:r>
      <w:r w:rsidR="00B320DF" w:rsidRPr="00F37C80">
        <w:t>salivary glands</w:t>
      </w:r>
      <w:r w:rsidR="00577C40" w:rsidRPr="00BD159C">
        <w:t xml:space="preserve">.  Minimal changes in methemoglobin, spleen and salivary glands were observed in rats inhaling 100 ppm.  </w:t>
      </w:r>
      <w:r w:rsidR="00003672" w:rsidRPr="00BD159C">
        <w:t>There was a concentration</w:t>
      </w:r>
      <w:r w:rsidR="00B320DF" w:rsidRPr="00F37C80">
        <w:t xml:space="preserve"> and time-dependent increase in</w:t>
      </w:r>
      <w:r w:rsidR="00003672">
        <w:t xml:space="preserve"> methemoglobin in all groups. </w:t>
      </w:r>
      <w:r w:rsidR="00E44B10">
        <w:t xml:space="preserve">The systemic </w:t>
      </w:r>
      <w:r w:rsidR="00003672">
        <w:t xml:space="preserve">LOAEC was 100 ppm </w:t>
      </w:r>
      <w:r w:rsidR="00003672" w:rsidRPr="00AF1AE3">
        <w:t>(</w:t>
      </w:r>
      <w:r w:rsidR="00AF1AE3" w:rsidRPr="00AF1AE3">
        <w:t>0.31</w:t>
      </w:r>
      <w:r w:rsidR="00003672" w:rsidRPr="00AF1AE3">
        <w:t xml:space="preserve"> mg/L)</w:t>
      </w:r>
      <w:r w:rsidR="00E44B10">
        <w:t xml:space="preserve"> and the systemic NOAEC was not established</w:t>
      </w:r>
      <w:r w:rsidR="00003672" w:rsidRPr="00AF1AE3">
        <w:t>.</w:t>
      </w:r>
      <w:r w:rsidR="00E44B10">
        <w:t xml:space="preserve">  The local LOAEC and NOAEC are 350 and 100 ppm (1.07 and 0.31 mg/L), respectively.</w:t>
      </w:r>
    </w:p>
    <w:p w:rsidR="00577C40" w:rsidRDefault="00003672" w:rsidP="00F37C80">
      <w:pPr>
        <w:jc w:val="both"/>
      </w:pPr>
      <w:r>
        <w:t xml:space="preserve">B6C3F1 mice (10/sex/concentration) were exposed via inhalation to </w:t>
      </w:r>
      <w:r w:rsidR="00980973">
        <w:t>100</w:t>
      </w:r>
      <w:r>
        <w:t xml:space="preserve">, </w:t>
      </w:r>
      <w:r w:rsidR="00980973">
        <w:t>350</w:t>
      </w:r>
      <w:r>
        <w:t xml:space="preserve"> or 1</w:t>
      </w:r>
      <w:r w:rsidR="00980973">
        <w:t>0</w:t>
      </w:r>
      <w:r>
        <w:t>00 ppm (</w:t>
      </w:r>
      <w:r w:rsidRPr="00980973">
        <w:t xml:space="preserve">approximately </w:t>
      </w:r>
      <w:r w:rsidR="00980973">
        <w:t>0.3</w:t>
      </w:r>
      <w:r w:rsidR="00AF1AE3">
        <w:t>1</w:t>
      </w:r>
      <w:r w:rsidR="00980973">
        <w:t>, 1.0</w:t>
      </w:r>
      <w:r w:rsidR="00AF1AE3">
        <w:t>7</w:t>
      </w:r>
      <w:r w:rsidR="00980973">
        <w:t xml:space="preserve"> or 3.0</w:t>
      </w:r>
      <w:r w:rsidR="00AF1AE3">
        <w:t>7</w:t>
      </w:r>
      <w:r w:rsidR="00980973">
        <w:t xml:space="preserve"> </w:t>
      </w:r>
      <w:r w:rsidRPr="00980973">
        <w:t>mg/L</w:t>
      </w:r>
      <w:r w:rsidR="00980973">
        <w:t>, respectively</w:t>
      </w:r>
      <w:r w:rsidRPr="00980973">
        <w:t>)</w:t>
      </w:r>
      <w:r>
        <w:t xml:space="preserve"> nitroethane for 13 weeks</w:t>
      </w:r>
      <w:r w:rsidR="00074748">
        <w:t xml:space="preserve"> (6 hours/day, 5 days/week)</w:t>
      </w:r>
      <w:r>
        <w:t xml:space="preserve">.  </w:t>
      </w:r>
      <w:r w:rsidR="00577C40">
        <w:t xml:space="preserve">Mice exposed to 1000 ppm had </w:t>
      </w:r>
      <w:r w:rsidR="00F53E29">
        <w:t xml:space="preserve">the following evidence of toxicity: </w:t>
      </w:r>
      <w:r w:rsidR="005B7857">
        <w:t xml:space="preserve"> </w:t>
      </w:r>
      <w:r w:rsidR="00577C40">
        <w:t xml:space="preserve">increased methemoglobin, </w:t>
      </w:r>
      <w:r w:rsidR="00234427">
        <w:t xml:space="preserve">multinucleated </w:t>
      </w:r>
      <w:r w:rsidR="00F53E29">
        <w:t xml:space="preserve">spermatids in the testes, degenerative and inflammatory changes in the olfactory nasal epithelium, hepatocellular vacuolization, and decreased cytoplasmic granularity of renal cortical tubular epithelium and aductal epithelial cells of the salivary glands </w:t>
      </w:r>
      <w:r w:rsidR="00A508E9" w:rsidRPr="00A508E9">
        <w:t>(</w:t>
      </w:r>
      <w:r w:rsidR="00A508E9">
        <w:t xml:space="preserve">Gushow </w:t>
      </w:r>
      <w:r w:rsidR="00A508E9" w:rsidRPr="00A508E9">
        <w:rPr>
          <w:i/>
        </w:rPr>
        <w:t>et al</w:t>
      </w:r>
      <w:r w:rsidR="00A508E9">
        <w:t>., 1982</w:t>
      </w:r>
      <w:r w:rsidR="00A508E9" w:rsidRPr="00A508E9">
        <w:t>)</w:t>
      </w:r>
      <w:r w:rsidR="00577C40" w:rsidRPr="00A508E9">
        <w:t>.</w:t>
      </w:r>
      <w:r w:rsidR="00577C40">
        <w:t xml:space="preserve"> </w:t>
      </w:r>
      <w:r w:rsidR="005B7857">
        <w:t xml:space="preserve"> </w:t>
      </w:r>
      <w:r w:rsidR="00577C40">
        <w:t xml:space="preserve">A decrease in heart weight also was noted at this concentration. The significance of this finding is unclear, since histopathology of the heart was normal.  Findings in mice exposed to 350 ppm were similar (but less severe) than those observed at 1000 ppm, with the exception that histopathology of the testes was normal.  Mice exposed to 100 ppm had transient effects on salivary glands.  </w:t>
      </w:r>
      <w:r w:rsidR="00980973">
        <w:t xml:space="preserve">The </w:t>
      </w:r>
      <w:r w:rsidR="00333FCA">
        <w:t xml:space="preserve">systemic </w:t>
      </w:r>
      <w:r w:rsidR="00980973">
        <w:t>NOAEC was 100 ppm (~0.3 mg/L).</w:t>
      </w:r>
    </w:p>
    <w:p w:rsidR="00577C40" w:rsidRDefault="00980973" w:rsidP="00F37C80">
      <w:pPr>
        <w:jc w:val="both"/>
      </w:pPr>
      <w:r>
        <w:t>In a two-year inhalation study</w:t>
      </w:r>
      <w:r w:rsidR="00074748">
        <w:t xml:space="preserve"> (7 hours/day, 5 days/week)</w:t>
      </w:r>
      <w:r>
        <w:t xml:space="preserve">, </w:t>
      </w:r>
      <w:r w:rsidR="00577C40">
        <w:t xml:space="preserve">Long Evans rats </w:t>
      </w:r>
      <w:r>
        <w:t xml:space="preserve">(40/sex/concentration) </w:t>
      </w:r>
      <w:r w:rsidR="00577C40">
        <w:t xml:space="preserve">showed that exposure to 100 or 200 ppm </w:t>
      </w:r>
      <w:r w:rsidRPr="00AF1AE3">
        <w:t>(</w:t>
      </w:r>
      <w:r w:rsidR="00AF1AE3" w:rsidRPr="00DF0D09">
        <w:t>0.31 and 0.61</w:t>
      </w:r>
      <w:r w:rsidRPr="00DF0D09">
        <w:t xml:space="preserve"> mg/L</w:t>
      </w:r>
      <w:r>
        <w:t xml:space="preserve">) </w:t>
      </w:r>
      <w:r w:rsidR="00577C40">
        <w:t>had no effect on mortality, tumor incidences, or histopathology</w:t>
      </w:r>
      <w:r w:rsidR="0018240A">
        <w:t xml:space="preserve"> </w:t>
      </w:r>
      <w:r w:rsidR="0018240A" w:rsidRPr="00A508E9">
        <w:t>(</w:t>
      </w:r>
      <w:r w:rsidR="00A508E9">
        <w:t xml:space="preserve">Griffin </w:t>
      </w:r>
      <w:r w:rsidR="00A508E9" w:rsidRPr="00A508E9">
        <w:rPr>
          <w:i/>
        </w:rPr>
        <w:t>et al</w:t>
      </w:r>
      <w:r w:rsidR="00A508E9">
        <w:t>., 1986, 1988</w:t>
      </w:r>
      <w:r w:rsidR="0018240A">
        <w:t>)</w:t>
      </w:r>
      <w:r w:rsidR="00577C40">
        <w:t xml:space="preserve">.  Body weights of males and females in both exposure groups were slightly less than controls during the study.  However, the lack of a well-defined dose-response relationship suggested that this finding was due to factors other than just exposure to nitroethane.  Changes that occurred in clinical chemistry measures and/or organ weights were not </w:t>
      </w:r>
      <w:r>
        <w:t>considered treatment-</w:t>
      </w:r>
      <w:r w:rsidR="00577C40">
        <w:t xml:space="preserve">related </w:t>
      </w:r>
      <w:r>
        <w:t>because they</w:t>
      </w:r>
      <w:r w:rsidR="00577C40">
        <w:t xml:space="preserve"> were not dose-dependent</w:t>
      </w:r>
      <w:r>
        <w:t xml:space="preserve"> or supported by histopathological findings</w:t>
      </w:r>
      <w:r w:rsidR="00577C40">
        <w:t>.</w:t>
      </w:r>
      <w:r>
        <w:t xml:space="preserve">  The NOAEC was 200 ppm (</w:t>
      </w:r>
      <w:r w:rsidR="00AF1AE3" w:rsidRPr="00AF1AE3">
        <w:t>0.61</w:t>
      </w:r>
      <w:r w:rsidRPr="00AF1AE3">
        <w:t xml:space="preserve"> mg/L</w:t>
      </w:r>
      <w:r>
        <w:t>) (highest concentration tested).</w:t>
      </w:r>
    </w:p>
    <w:p w:rsidR="00577C40" w:rsidRDefault="00577C40" w:rsidP="00F37C80">
      <w:pPr>
        <w:jc w:val="both"/>
      </w:pPr>
    </w:p>
    <w:p w:rsidR="00577C40" w:rsidRDefault="00091F5A" w:rsidP="00F37C80">
      <w:pPr>
        <w:jc w:val="both"/>
      </w:pPr>
      <w:proofErr w:type="gramStart"/>
      <w:r w:rsidRPr="00091F5A">
        <w:rPr>
          <w:i/>
          <w:u w:val="single"/>
        </w:rPr>
        <w:t>1-Nitropropane</w:t>
      </w:r>
      <w:r w:rsidR="00C1513D" w:rsidRPr="00C1513D">
        <w:rPr>
          <w:i/>
        </w:rPr>
        <w:t>.</w:t>
      </w:r>
      <w:proofErr w:type="gramEnd"/>
      <w:r w:rsidRPr="00C1513D">
        <w:t xml:space="preserve"> </w:t>
      </w:r>
      <w:r>
        <w:t xml:space="preserve"> </w:t>
      </w:r>
      <w:r w:rsidR="00433CB9">
        <w:t>In a combined inhalation repeated-dose/reproductive/developmental screening test (</w:t>
      </w:r>
      <w:r w:rsidR="00577C40">
        <w:t xml:space="preserve">OECD </w:t>
      </w:r>
      <w:r w:rsidR="00433CB9">
        <w:t>T</w:t>
      </w:r>
      <w:r w:rsidR="00577C40">
        <w:t>G 422</w:t>
      </w:r>
      <w:r w:rsidR="00433CB9">
        <w:t>)</w:t>
      </w:r>
      <w:r w:rsidR="00AF1AE3">
        <w:t xml:space="preserve"> </w:t>
      </w:r>
      <w:r w:rsidR="00577C40">
        <w:t>with neurological tests</w:t>
      </w:r>
      <w:r w:rsidR="00433CB9">
        <w:t xml:space="preserve">, Sprague-Dawley rats (12/sex/concentration) </w:t>
      </w:r>
      <w:r w:rsidR="00577C40">
        <w:t xml:space="preserve">were  exposed </w:t>
      </w:r>
      <w:r w:rsidR="00433CB9">
        <w:t xml:space="preserve">whole-body </w:t>
      </w:r>
      <w:r w:rsidR="00577C40">
        <w:t xml:space="preserve">to </w:t>
      </w:r>
      <w:r w:rsidR="00433CB9">
        <w:t>target concentrations</w:t>
      </w:r>
      <w:r w:rsidR="00074748">
        <w:t xml:space="preserve"> (6 hours/day, 7 days/week)</w:t>
      </w:r>
      <w:r w:rsidR="00433CB9">
        <w:t xml:space="preserve"> of 0, 25, 450 or 100 ppm (actual </w:t>
      </w:r>
      <w:r w:rsidR="00577C40">
        <w:t>24, 48 or 96 ppm</w:t>
      </w:r>
      <w:r w:rsidR="00433CB9">
        <w:t>,</w:t>
      </w:r>
      <w:r w:rsidR="00577C40">
        <w:t xml:space="preserve"> </w:t>
      </w:r>
      <w:r w:rsidR="00433CB9" w:rsidRPr="00AF1AE3">
        <w:t xml:space="preserve">corresponding to </w:t>
      </w:r>
      <w:r w:rsidR="00AF1AE3" w:rsidRPr="00AF1AE3">
        <w:t xml:space="preserve">0.09, 0.17, and 0.35 </w:t>
      </w:r>
      <w:r w:rsidR="00433CB9" w:rsidRPr="00AF1AE3">
        <w:t>mg/L, respectively)</w:t>
      </w:r>
      <w:r w:rsidR="00577C40">
        <w:t xml:space="preserve"> 1-nitropropane before and during breeding, and during gestation (Carney </w:t>
      </w:r>
      <w:r w:rsidR="00577C40" w:rsidRPr="0018240A">
        <w:rPr>
          <w:i/>
        </w:rPr>
        <w:t>et al</w:t>
      </w:r>
      <w:r w:rsidR="00577C40">
        <w:t xml:space="preserve">., 2003).  </w:t>
      </w:r>
      <w:r w:rsidR="00074748">
        <w:t xml:space="preserve">Males were treated for 19-28 days, while females were treated for 38-47 days.  </w:t>
      </w:r>
      <w:r w:rsidR="00577C40">
        <w:t>Exposure to 96 ppm resulted in decreased food consumption in males and females</w:t>
      </w:r>
      <w:r w:rsidR="00102F6C">
        <w:t>, decrease</w:t>
      </w:r>
      <w:r w:rsidR="00E44B10">
        <w:t>d</w:t>
      </w:r>
      <w:r w:rsidR="00577C40">
        <w:t xml:space="preserve"> body weights </w:t>
      </w:r>
      <w:r w:rsidR="00E44B10">
        <w:t xml:space="preserve">(by 6.9% on one test day) </w:t>
      </w:r>
      <w:r w:rsidR="00577C40">
        <w:t xml:space="preserve">of males prior to mating, increased relative brain and testes weights (without histological changes) in males, and histopathologic changes in the nasal tissues of one male and up to seven females. </w:t>
      </w:r>
      <w:r w:rsidR="00E44B10">
        <w:t xml:space="preserve"> </w:t>
      </w:r>
      <w:r w:rsidR="00102F6C">
        <w:t xml:space="preserve">The </w:t>
      </w:r>
      <w:r w:rsidR="00942246">
        <w:t>increase</w:t>
      </w:r>
      <w:r w:rsidR="00102F6C">
        <w:t xml:space="preserve"> in relative organ weights is likely due to the decr</w:t>
      </w:r>
      <w:r w:rsidR="00E44B10">
        <w:t>e</w:t>
      </w:r>
      <w:r w:rsidR="00102F6C">
        <w:t xml:space="preserve">ase in body weight.  </w:t>
      </w:r>
      <w:r w:rsidR="00E44B10">
        <w:t xml:space="preserve">Nasal lesions were slight or very slight and included cell degeneration and inflammation.  </w:t>
      </w:r>
      <w:r w:rsidR="00577C40">
        <w:t>There was no effect of exposure to 96 ppm on any neurological test.</w:t>
      </w:r>
      <w:r w:rsidR="00433CB9">
        <w:t xml:space="preserve">  Based on these findings, the NOAEC </w:t>
      </w:r>
      <w:r w:rsidR="00856DAB">
        <w:t xml:space="preserve">(systemic) </w:t>
      </w:r>
      <w:r w:rsidR="00433CB9">
        <w:t xml:space="preserve">was </w:t>
      </w:r>
      <w:r w:rsidR="00884A24">
        <w:t xml:space="preserve">96 ppm (0.35 mg/L) (highest dose tested) </w:t>
      </w:r>
      <w:r w:rsidR="00856DAB">
        <w:t>and the NOAEC (local) was 24 ppm</w:t>
      </w:r>
      <w:r w:rsidR="00884A24">
        <w:t xml:space="preserve"> based on slight effects in the nasal tissues</w:t>
      </w:r>
      <w:r w:rsidR="00433CB9">
        <w:t>.</w:t>
      </w:r>
    </w:p>
    <w:p w:rsidR="00577C40" w:rsidRDefault="00B320DF" w:rsidP="00F37C80">
      <w:pPr>
        <w:jc w:val="both"/>
      </w:pPr>
      <w:r w:rsidRPr="00F37C80">
        <w:t xml:space="preserve">In a chronic toxicity study, inhalation of 100 ppm (0.36 mg/L) 1-nitropropane for a period of up to 21.5 months (7 hours/day, 5 days/week) had no effect on male or female Long-Evans rats (Griffin </w:t>
      </w:r>
      <w:r w:rsidRPr="00F37C80">
        <w:rPr>
          <w:i/>
        </w:rPr>
        <w:t>et al</w:t>
      </w:r>
      <w:r w:rsidRPr="00F37C80">
        <w:t xml:space="preserve">., 1982).  Grossly, there was no evidence of any gross or microscopic, treatment-related effect in any organ examined. The incidences of liver vacuolization and parenchymal abscesses in exposed animals that were found dead or euthanized moribund did not differ from controls.  Additionally, there was no effect of exposure on serum chemistry, hematology or organ weights.  Reductions in body weight that were observed at some time points  due to inconsistency and small sample size(male 580 +/- 78 g versus controls of 655 +/- 65 g and female 349 +/- 28 g versus controls of 428 +/-67g at 18 months).  </w:t>
      </w:r>
    </w:p>
    <w:p w:rsidR="00C76CCB" w:rsidRDefault="00C76CCB" w:rsidP="00F37C80">
      <w:pPr>
        <w:jc w:val="both"/>
      </w:pPr>
    </w:p>
    <w:p w:rsidR="00C76CCB" w:rsidRDefault="00C76CCB" w:rsidP="00D8614C">
      <w:pPr>
        <w:pStyle w:val="Heading9"/>
      </w:pPr>
      <w:r w:rsidRPr="00C76CCB">
        <w:t>Oral</w:t>
      </w:r>
    </w:p>
    <w:p w:rsidR="00CE20DB" w:rsidRDefault="00B320DF" w:rsidP="00F37C80">
      <w:pPr>
        <w:pStyle w:val="NormalWeb"/>
        <w:spacing w:before="0" w:beforeAutospacing="0"/>
        <w:jc w:val="both"/>
        <w:rPr>
          <w:rFonts w:ascii="Times New Roman" w:eastAsia="Times New Roman" w:hAnsi="Times New Roman" w:cs="Times New Roman"/>
          <w:color w:val="auto"/>
        </w:rPr>
      </w:pPr>
      <w:proofErr w:type="gramStart"/>
      <w:r w:rsidRPr="00F37C80">
        <w:rPr>
          <w:rFonts w:ascii="Times New Roman" w:hAnsi="Times New Roman" w:cs="Times New Roman"/>
          <w:i/>
          <w:u w:val="single"/>
        </w:rPr>
        <w:t>Nitromethane.</w:t>
      </w:r>
      <w:proofErr w:type="gramEnd"/>
      <w:r w:rsidRPr="00F37C80">
        <w:rPr>
          <w:rFonts w:ascii="Times New Roman" w:hAnsi="Times New Roman" w:cs="Times New Roman"/>
        </w:rPr>
        <w:t xml:space="preserve">  </w:t>
      </w:r>
      <w:r w:rsidRPr="00F37C80">
        <w:rPr>
          <w:rFonts w:ascii="Times New Roman" w:eastAsia="Times New Roman" w:hAnsi="Times New Roman" w:cs="Times New Roman"/>
          <w:color w:val="auto"/>
        </w:rPr>
        <w:t xml:space="preserve">The test material was administered to young male albino rats (10/dose) at concentrations of 0.1, 0.25, 0.5, 1 or 2% in the drinking water for 15 weeks.  At 0.25% nitromethane in the drinking water, the average amount ingested through the study was ~285 mg/kg/day.  After one week, rats would not tolerate concentrations 0.5% or higher and these dose groups were eliminated.  Three animals in the 0.25% group and four in the 0.1% group died during the course of the experiment while none of the ten control animals died.  Young rats that received 0.1 and 0.25% nitromethane in their drinking water for a period of 15 weeks failed to gain weight as rapidly as control animals, though most appeared to be in moderately good health at the end of the experimental period. Definite, though relatively mild, pathological changes were found in those animals which received 0.25 % nitromethane. </w:t>
      </w:r>
      <w:r w:rsidR="00884A24">
        <w:rPr>
          <w:rFonts w:ascii="Times New Roman" w:eastAsia="Times New Roman" w:hAnsi="Times New Roman" w:cs="Times New Roman"/>
          <w:color w:val="auto"/>
        </w:rPr>
        <w:t xml:space="preserve"> </w:t>
      </w:r>
      <w:r w:rsidR="00827D5F" w:rsidRPr="00884A24">
        <w:rPr>
          <w:rFonts w:ascii="Times New Roman" w:eastAsia="Times New Roman" w:hAnsi="Times New Roman" w:cs="Times New Roman"/>
          <w:color w:val="auto"/>
        </w:rPr>
        <w:t xml:space="preserve">At the lowest dose, 0.1% in the drinking water, histopathologic effects were comparable to control values. </w:t>
      </w:r>
      <w:r w:rsidR="00884A24">
        <w:rPr>
          <w:rFonts w:ascii="Times New Roman" w:eastAsia="Times New Roman" w:hAnsi="Times New Roman" w:cs="Times New Roman"/>
          <w:color w:val="auto"/>
        </w:rPr>
        <w:t xml:space="preserve"> The LOAEL is 0.1% (approximately 150 mg/kg bw/day) based on mortality</w:t>
      </w:r>
      <w:r w:rsidR="002F099C">
        <w:rPr>
          <w:rFonts w:ascii="Times New Roman" w:eastAsia="Times New Roman" w:hAnsi="Times New Roman" w:cs="Times New Roman"/>
          <w:color w:val="auto"/>
        </w:rPr>
        <w:t xml:space="preserve"> (Weatherby, 1955)</w:t>
      </w:r>
      <w:r w:rsidR="00884A24">
        <w:rPr>
          <w:rFonts w:ascii="Times New Roman" w:eastAsia="Times New Roman" w:hAnsi="Times New Roman" w:cs="Times New Roman"/>
          <w:color w:val="auto"/>
        </w:rPr>
        <w:t>.</w:t>
      </w:r>
    </w:p>
    <w:p w:rsidR="00827D5F" w:rsidRPr="00F37C80" w:rsidRDefault="00827D5F" w:rsidP="00F37C80">
      <w:pPr>
        <w:jc w:val="both"/>
      </w:pPr>
    </w:p>
    <w:p w:rsidR="00C76CCB" w:rsidRDefault="00884DE9" w:rsidP="00F37C80">
      <w:pPr>
        <w:jc w:val="both"/>
      </w:pPr>
      <w:proofErr w:type="gramStart"/>
      <w:r w:rsidRPr="00091F5A">
        <w:rPr>
          <w:i/>
          <w:u w:val="single"/>
        </w:rPr>
        <w:t>1-Nitropropane</w:t>
      </w:r>
      <w:r w:rsidR="00C1513D">
        <w:rPr>
          <w:i/>
        </w:rPr>
        <w:t>.</w:t>
      </w:r>
      <w:proofErr w:type="gramEnd"/>
      <w:r w:rsidR="00C1513D">
        <w:rPr>
          <w:i/>
        </w:rPr>
        <w:t xml:space="preserve"> </w:t>
      </w:r>
      <w:r>
        <w:t xml:space="preserve"> </w:t>
      </w:r>
      <w:r w:rsidR="006B47C7">
        <w:t xml:space="preserve"> </w:t>
      </w:r>
      <w:r>
        <w:t>In a 28-day study, Sprague-Dawley rats (5/sex/dose) were administered 10, 30 or 100 mg/kg</w:t>
      </w:r>
      <w:r w:rsidR="00102F6C">
        <w:t xml:space="preserve"> bw/</w:t>
      </w:r>
      <w:r>
        <w:t>day</w:t>
      </w:r>
      <w:r w:rsidR="00C76CCB">
        <w:t xml:space="preserve"> 1-nitropropane </w:t>
      </w:r>
      <w:r w:rsidR="006B47C7">
        <w:t xml:space="preserve">via oral gavage </w:t>
      </w:r>
      <w:r w:rsidR="00C76CCB">
        <w:t>(</w:t>
      </w:r>
      <w:r w:rsidR="00C76CCB">
        <w:rPr>
          <w:snapToGrid w:val="0"/>
        </w:rPr>
        <w:t>Coles and Brooks, 1994</w:t>
      </w:r>
      <w:r w:rsidR="00C76CCB">
        <w:t xml:space="preserve">).  Clinical findings in </w:t>
      </w:r>
      <w:r w:rsidR="00DA349A">
        <w:t>one male and two female rats</w:t>
      </w:r>
      <w:r w:rsidR="00C76CCB">
        <w:t xml:space="preserve"> dosed with 100 mg/kg </w:t>
      </w:r>
      <w:r w:rsidR="00102F6C">
        <w:t xml:space="preserve">bw/day </w:t>
      </w:r>
      <w:r w:rsidR="00C76CCB">
        <w:t>were consistent with toxicity to the nervous system</w:t>
      </w:r>
      <w:r w:rsidR="00836315">
        <w:t xml:space="preserve"> (ataxia, salivation, hunched posture)</w:t>
      </w:r>
      <w:r w:rsidR="00C76CCB">
        <w:t>.  Organ weight data revealed significant increases</w:t>
      </w:r>
      <w:r w:rsidR="009A0997">
        <w:t xml:space="preserve"> (p &lt; 0.05)</w:t>
      </w:r>
      <w:r w:rsidR="00C76CCB">
        <w:t xml:space="preserve"> in </w:t>
      </w:r>
      <w:r w:rsidR="00664396">
        <w:t xml:space="preserve">absolute and </w:t>
      </w:r>
      <w:r w:rsidR="00664396" w:rsidRPr="00BD159C">
        <w:t xml:space="preserve">relative </w:t>
      </w:r>
      <w:r w:rsidR="00B320DF" w:rsidRPr="00F37C80">
        <w:t>brain weights</w:t>
      </w:r>
      <w:r w:rsidR="00C76CCB" w:rsidRPr="00BD159C">
        <w:t xml:space="preserve"> in high</w:t>
      </w:r>
      <w:r w:rsidR="00C76CCB">
        <w:t xml:space="preserve"> dose </w:t>
      </w:r>
      <w:r w:rsidR="009A0997">
        <w:t xml:space="preserve">male </w:t>
      </w:r>
      <w:r w:rsidR="00C76CCB">
        <w:t>animals</w:t>
      </w:r>
      <w:r>
        <w:t>; h</w:t>
      </w:r>
      <w:r w:rsidR="00C76CCB">
        <w:t>owever, there were no treatment-related morphologic changes in the brain</w:t>
      </w:r>
      <w:r w:rsidR="00156F0C">
        <w:t>.</w:t>
      </w:r>
      <w:r w:rsidR="00C76CCB">
        <w:t xml:space="preserve">  None of the other changes observed were considered to be related to treatment, since they occurred in isolation and/or were transient and/or not dose-dependent.  </w:t>
      </w:r>
      <w:r w:rsidR="00C76CCB" w:rsidRPr="00EA2F9B">
        <w:t>The NOAEL and LOAEL were 30 and 100 mg/kg</w:t>
      </w:r>
      <w:r w:rsidR="00102F6C">
        <w:t xml:space="preserve"> bw</w:t>
      </w:r>
      <w:r w:rsidR="00797B69">
        <w:t>/day</w:t>
      </w:r>
      <w:r w:rsidR="00C76CCB" w:rsidRPr="00EA2F9B">
        <w:t>, respectively</w:t>
      </w:r>
      <w:r w:rsidR="00884A24">
        <w:t xml:space="preserve"> based on effects related to the nervous system</w:t>
      </w:r>
      <w:r w:rsidR="00C76CCB" w:rsidRPr="00EA2F9B">
        <w:t>.</w:t>
      </w:r>
    </w:p>
    <w:p w:rsidR="00DF2879" w:rsidRDefault="00DF2879" w:rsidP="00F37C80">
      <w:pPr>
        <w:jc w:val="both"/>
        <w:sectPr w:rsidR="00DF2879" w:rsidSect="00B260D6">
          <w:type w:val="oddPage"/>
          <w:pgSz w:w="11907" w:h="16840" w:code="9"/>
          <w:pgMar w:top="1418" w:right="1134" w:bottom="1134" w:left="1134" w:header="737" w:footer="737" w:gutter="0"/>
          <w:cols w:space="720"/>
          <w:docGrid w:linePitch="360"/>
        </w:sectPr>
      </w:pPr>
      <w:bookmarkStart w:id="92" w:name="_Toc264544921"/>
      <w:bookmarkStart w:id="93" w:name="_Toc266716155"/>
    </w:p>
    <w:p w:rsidR="00DF2879" w:rsidRDefault="00DF2879" w:rsidP="00F37C80">
      <w:pPr>
        <w:jc w:val="both"/>
      </w:pPr>
    </w:p>
    <w:p w:rsidR="00E01A4D" w:rsidRPr="00F37C80" w:rsidRDefault="00D93802" w:rsidP="00F37C80">
      <w:pPr>
        <w:jc w:val="both"/>
        <w:rPr>
          <w:b/>
        </w:rPr>
      </w:pPr>
      <w:r>
        <w:rPr>
          <w:b/>
        </w:rPr>
        <w:t xml:space="preserve"> </w:t>
      </w:r>
      <w:r w:rsidR="00B320DF" w:rsidRPr="00F37C80">
        <w:rPr>
          <w:b/>
        </w:rPr>
        <w:t xml:space="preserve">Table </w:t>
      </w:r>
      <w:r w:rsidR="00B320DF" w:rsidRPr="00F37C80">
        <w:rPr>
          <w:b/>
        </w:rPr>
        <w:fldChar w:fldCharType="begin"/>
      </w:r>
      <w:r w:rsidR="00B320DF" w:rsidRPr="00F37C80">
        <w:rPr>
          <w:b/>
        </w:rPr>
        <w:instrText xml:space="preserve"> SEQ Table \* ARABIC </w:instrText>
      </w:r>
      <w:r w:rsidR="00B320DF" w:rsidRPr="00F37C80">
        <w:rPr>
          <w:b/>
        </w:rPr>
        <w:fldChar w:fldCharType="separate"/>
      </w:r>
      <w:r w:rsidR="006263B7">
        <w:rPr>
          <w:b/>
          <w:noProof/>
        </w:rPr>
        <w:t>12</w:t>
      </w:r>
      <w:r w:rsidR="00B320DF" w:rsidRPr="00F37C80">
        <w:rPr>
          <w:b/>
        </w:rPr>
        <w:fldChar w:fldCharType="end"/>
      </w:r>
      <w:r w:rsidR="00B320DF" w:rsidRPr="00F37C80">
        <w:rPr>
          <w:b/>
        </w:rPr>
        <w:t xml:space="preserve">  Summary of </w:t>
      </w:r>
      <w:r w:rsidR="00CB3B4E">
        <w:rPr>
          <w:b/>
        </w:rPr>
        <w:t>R</w:t>
      </w:r>
      <w:r w:rsidR="00B320DF" w:rsidRPr="00F37C80">
        <w:rPr>
          <w:b/>
        </w:rPr>
        <w:t>epeated</w:t>
      </w:r>
      <w:r w:rsidR="00CB3B4E">
        <w:rPr>
          <w:b/>
        </w:rPr>
        <w:t>-</w:t>
      </w:r>
      <w:r w:rsidR="00B320DF" w:rsidRPr="00F37C80">
        <w:rPr>
          <w:b/>
        </w:rPr>
        <w:t xml:space="preserve">dose </w:t>
      </w:r>
      <w:r w:rsidR="00CB3B4E">
        <w:rPr>
          <w:b/>
        </w:rPr>
        <w:t>T</w:t>
      </w:r>
      <w:r w:rsidR="00B320DF" w:rsidRPr="00F37C80">
        <w:rPr>
          <w:b/>
        </w:rPr>
        <w:t>oxicity</w:t>
      </w:r>
      <w:bookmarkEnd w:id="92"/>
      <w:bookmarkEnd w:id="93"/>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04"/>
        <w:gridCol w:w="55"/>
        <w:gridCol w:w="1351"/>
        <w:gridCol w:w="2702"/>
        <w:gridCol w:w="2612"/>
        <w:gridCol w:w="3693"/>
        <w:gridCol w:w="2252"/>
      </w:tblGrid>
      <w:tr w:rsidR="00A21467" w:rsidRPr="00FE7390" w:rsidTr="00D8614C">
        <w:trPr>
          <w:trHeight w:val="530"/>
          <w:tblHeader/>
        </w:trPr>
        <w:tc>
          <w:tcPr>
            <w:tcW w:w="1403" w:type="dxa"/>
            <w:tcBorders>
              <w:top w:val="single" w:sz="12" w:space="0" w:color="auto"/>
              <w:bottom w:val="single" w:sz="12" w:space="0" w:color="auto"/>
            </w:tcBorders>
          </w:tcPr>
          <w:p w:rsidR="00A21467" w:rsidRPr="000F7F8E" w:rsidRDefault="00A21467" w:rsidP="000F7F8E">
            <w:pPr>
              <w:jc w:val="center"/>
              <w:rPr>
                <w:b/>
                <w:sz w:val="20"/>
                <w:szCs w:val="20"/>
              </w:rPr>
            </w:pPr>
            <w:r w:rsidRPr="000F7F8E">
              <w:rPr>
                <w:b/>
                <w:sz w:val="20"/>
                <w:szCs w:val="20"/>
              </w:rPr>
              <w:t>Species/</w:t>
            </w:r>
          </w:p>
          <w:p w:rsidR="00A21467" w:rsidRPr="000F7F8E" w:rsidRDefault="00A21467" w:rsidP="000F7F8E">
            <w:pPr>
              <w:jc w:val="center"/>
              <w:rPr>
                <w:b/>
                <w:sz w:val="20"/>
                <w:szCs w:val="20"/>
              </w:rPr>
            </w:pPr>
            <w:r w:rsidRPr="000F7F8E">
              <w:rPr>
                <w:b/>
                <w:sz w:val="20"/>
                <w:szCs w:val="20"/>
              </w:rPr>
              <w:t>Exposure;</w:t>
            </w:r>
          </w:p>
        </w:tc>
        <w:tc>
          <w:tcPr>
            <w:tcW w:w="1405" w:type="dxa"/>
            <w:gridSpan w:val="2"/>
            <w:tcBorders>
              <w:top w:val="single" w:sz="12" w:space="0" w:color="auto"/>
              <w:bottom w:val="single" w:sz="12" w:space="0" w:color="auto"/>
            </w:tcBorders>
          </w:tcPr>
          <w:p w:rsidR="00A21467" w:rsidRPr="000F7F8E" w:rsidRDefault="00A21467" w:rsidP="000F7F8E">
            <w:pPr>
              <w:jc w:val="center"/>
              <w:rPr>
                <w:b/>
                <w:sz w:val="20"/>
                <w:szCs w:val="20"/>
                <w:vertAlign w:val="superscript"/>
              </w:rPr>
            </w:pPr>
            <w:r w:rsidRPr="000F7F8E">
              <w:rPr>
                <w:b/>
                <w:sz w:val="20"/>
                <w:szCs w:val="20"/>
              </w:rPr>
              <w:t>Dose</w:t>
            </w:r>
            <w:r w:rsidRPr="000F7F8E">
              <w:rPr>
                <w:b/>
                <w:sz w:val="20"/>
                <w:szCs w:val="20"/>
                <w:vertAlign w:val="superscript"/>
              </w:rPr>
              <w:t>a</w:t>
            </w:r>
          </w:p>
          <w:p w:rsidR="00A21467" w:rsidRPr="000F7F8E" w:rsidRDefault="00A21467" w:rsidP="000F7F8E">
            <w:pPr>
              <w:jc w:val="center"/>
              <w:rPr>
                <w:b/>
                <w:sz w:val="20"/>
                <w:szCs w:val="20"/>
              </w:rPr>
            </w:pPr>
          </w:p>
        </w:tc>
        <w:tc>
          <w:tcPr>
            <w:tcW w:w="2700" w:type="dxa"/>
            <w:tcBorders>
              <w:top w:val="single" w:sz="12" w:space="0" w:color="auto"/>
              <w:bottom w:val="single" w:sz="12" w:space="0" w:color="auto"/>
            </w:tcBorders>
          </w:tcPr>
          <w:p w:rsidR="00A21467" w:rsidRPr="000F7F8E" w:rsidRDefault="00A21467" w:rsidP="000F7F8E">
            <w:pPr>
              <w:jc w:val="center"/>
              <w:rPr>
                <w:b/>
                <w:sz w:val="20"/>
                <w:szCs w:val="20"/>
              </w:rPr>
            </w:pPr>
            <w:r w:rsidRPr="000F7F8E">
              <w:rPr>
                <w:b/>
                <w:sz w:val="20"/>
                <w:szCs w:val="20"/>
              </w:rPr>
              <w:t>Gross Changes</w:t>
            </w:r>
          </w:p>
        </w:tc>
        <w:tc>
          <w:tcPr>
            <w:tcW w:w="2610" w:type="dxa"/>
            <w:tcBorders>
              <w:top w:val="single" w:sz="12" w:space="0" w:color="auto"/>
              <w:bottom w:val="single" w:sz="12" w:space="0" w:color="auto"/>
            </w:tcBorders>
          </w:tcPr>
          <w:p w:rsidR="00A21467" w:rsidRPr="000F7F8E" w:rsidRDefault="00A21467" w:rsidP="000F7F8E">
            <w:pPr>
              <w:jc w:val="center"/>
              <w:rPr>
                <w:b/>
                <w:sz w:val="20"/>
                <w:szCs w:val="20"/>
              </w:rPr>
            </w:pPr>
            <w:r w:rsidRPr="000F7F8E">
              <w:rPr>
                <w:b/>
                <w:sz w:val="20"/>
                <w:szCs w:val="20"/>
              </w:rPr>
              <w:t>Histopathological Changes</w:t>
            </w:r>
          </w:p>
        </w:tc>
        <w:tc>
          <w:tcPr>
            <w:tcW w:w="3690" w:type="dxa"/>
            <w:tcBorders>
              <w:top w:val="single" w:sz="12" w:space="0" w:color="auto"/>
              <w:bottom w:val="single" w:sz="12" w:space="0" w:color="auto"/>
            </w:tcBorders>
          </w:tcPr>
          <w:p w:rsidR="00A21467" w:rsidRPr="000F7F8E" w:rsidRDefault="00A21467" w:rsidP="000F7F8E">
            <w:pPr>
              <w:jc w:val="center"/>
              <w:rPr>
                <w:b/>
                <w:sz w:val="20"/>
                <w:szCs w:val="20"/>
              </w:rPr>
            </w:pPr>
            <w:r w:rsidRPr="000F7F8E">
              <w:rPr>
                <w:b/>
                <w:sz w:val="20"/>
                <w:szCs w:val="20"/>
              </w:rPr>
              <w:t>Clin. Chem/Hemat. Changes</w:t>
            </w:r>
          </w:p>
        </w:tc>
        <w:tc>
          <w:tcPr>
            <w:tcW w:w="2250" w:type="dxa"/>
            <w:tcBorders>
              <w:top w:val="single" w:sz="12" w:space="0" w:color="auto"/>
              <w:bottom w:val="single" w:sz="12" w:space="0" w:color="auto"/>
            </w:tcBorders>
          </w:tcPr>
          <w:p w:rsidR="00A21467" w:rsidRPr="000F7F8E" w:rsidRDefault="00A21467" w:rsidP="000F7F8E">
            <w:pPr>
              <w:jc w:val="center"/>
              <w:rPr>
                <w:b/>
                <w:sz w:val="20"/>
                <w:szCs w:val="20"/>
              </w:rPr>
            </w:pPr>
            <w:r w:rsidRPr="000F7F8E">
              <w:rPr>
                <w:b/>
                <w:sz w:val="20"/>
                <w:szCs w:val="20"/>
              </w:rPr>
              <w:t>Reference</w:t>
            </w:r>
          </w:p>
        </w:tc>
      </w:tr>
      <w:tr w:rsidR="00A21467" w:rsidTr="00D8614C">
        <w:trPr>
          <w:trHeight w:val="521"/>
        </w:trPr>
        <w:tc>
          <w:tcPr>
            <w:tcW w:w="14058" w:type="dxa"/>
            <w:gridSpan w:val="7"/>
            <w:tcBorders>
              <w:top w:val="single" w:sz="12" w:space="0" w:color="auto"/>
              <w:bottom w:val="single" w:sz="6" w:space="0" w:color="auto"/>
            </w:tcBorders>
            <w:vAlign w:val="center"/>
          </w:tcPr>
          <w:p w:rsidR="00A21467" w:rsidRPr="000F7F8E" w:rsidRDefault="00A21467" w:rsidP="000F7F8E">
            <w:pPr>
              <w:jc w:val="center"/>
              <w:rPr>
                <w:b/>
                <w:sz w:val="20"/>
                <w:szCs w:val="20"/>
              </w:rPr>
            </w:pPr>
            <w:r w:rsidRPr="000F7F8E">
              <w:rPr>
                <w:b/>
                <w:sz w:val="20"/>
                <w:szCs w:val="20"/>
              </w:rPr>
              <w:t>Nitromethane</w:t>
            </w:r>
          </w:p>
        </w:tc>
      </w:tr>
      <w:tr w:rsidR="00A21467" w:rsidTr="00D8614C">
        <w:trPr>
          <w:trHeight w:val="2782"/>
        </w:trPr>
        <w:tc>
          <w:tcPr>
            <w:tcW w:w="1458" w:type="dxa"/>
            <w:gridSpan w:val="2"/>
            <w:tcBorders>
              <w:top w:val="single" w:sz="6" w:space="0" w:color="auto"/>
              <w:bottom w:val="single" w:sz="6" w:space="0" w:color="auto"/>
            </w:tcBorders>
          </w:tcPr>
          <w:p w:rsidR="00A21467" w:rsidRPr="000F7F8E" w:rsidRDefault="00A21467" w:rsidP="000F7F8E">
            <w:pPr>
              <w:jc w:val="center"/>
              <w:rPr>
                <w:sz w:val="20"/>
                <w:szCs w:val="20"/>
              </w:rPr>
            </w:pPr>
            <w:r w:rsidRPr="000F7F8E">
              <w:rPr>
                <w:sz w:val="20"/>
                <w:szCs w:val="20"/>
              </w:rPr>
              <w:t>F344 rat</w:t>
            </w:r>
          </w:p>
          <w:p w:rsidR="00A21467" w:rsidRPr="000F7F8E" w:rsidRDefault="00A21467" w:rsidP="000F7F8E">
            <w:pPr>
              <w:jc w:val="center"/>
              <w:rPr>
                <w:sz w:val="20"/>
                <w:szCs w:val="20"/>
              </w:rPr>
            </w:pPr>
            <w:r w:rsidRPr="000F7F8E">
              <w:rPr>
                <w:sz w:val="20"/>
                <w:szCs w:val="20"/>
              </w:rPr>
              <w:t>Inhalation</w:t>
            </w:r>
          </w:p>
          <w:p w:rsidR="00333FCA" w:rsidRPr="000F7F8E" w:rsidRDefault="00A21467" w:rsidP="000F7F8E">
            <w:pPr>
              <w:jc w:val="center"/>
              <w:rPr>
                <w:sz w:val="20"/>
                <w:szCs w:val="20"/>
              </w:rPr>
            </w:pPr>
            <w:r w:rsidRPr="000F7F8E">
              <w:rPr>
                <w:sz w:val="20"/>
                <w:szCs w:val="20"/>
              </w:rPr>
              <w:t>13 wk</w:t>
            </w:r>
            <w:r w:rsidR="00150D36" w:rsidRPr="000F7F8E">
              <w:rPr>
                <w:sz w:val="20"/>
                <w:szCs w:val="20"/>
              </w:rPr>
              <w:t xml:space="preserve">; </w:t>
            </w:r>
            <w:r w:rsidRPr="000F7F8E">
              <w:rPr>
                <w:sz w:val="20"/>
                <w:szCs w:val="20"/>
              </w:rPr>
              <w:t>6 h/d</w:t>
            </w:r>
            <w:r w:rsidR="00150D36" w:rsidRPr="000F7F8E">
              <w:rPr>
                <w:sz w:val="20"/>
                <w:szCs w:val="20"/>
              </w:rPr>
              <w:t>;</w:t>
            </w:r>
          </w:p>
          <w:p w:rsidR="00A21467" w:rsidRPr="000F7F8E" w:rsidRDefault="00A21467" w:rsidP="000F7F8E">
            <w:pPr>
              <w:jc w:val="center"/>
              <w:rPr>
                <w:sz w:val="20"/>
                <w:szCs w:val="20"/>
              </w:rPr>
            </w:pPr>
            <w:r w:rsidRPr="000F7F8E">
              <w:rPr>
                <w:sz w:val="20"/>
                <w:szCs w:val="20"/>
              </w:rPr>
              <w:t>5 d/wk</w:t>
            </w:r>
          </w:p>
          <w:p w:rsidR="00A21467" w:rsidRPr="000F7F8E" w:rsidRDefault="00A21467" w:rsidP="000F7F8E">
            <w:pPr>
              <w:jc w:val="center"/>
              <w:rPr>
                <w:sz w:val="20"/>
                <w:szCs w:val="20"/>
              </w:rPr>
            </w:pPr>
          </w:p>
        </w:tc>
        <w:tc>
          <w:tcPr>
            <w:tcW w:w="1350" w:type="dxa"/>
            <w:tcBorders>
              <w:top w:val="single" w:sz="6" w:space="0" w:color="auto"/>
              <w:bottom w:val="single" w:sz="6" w:space="0" w:color="auto"/>
            </w:tcBorders>
          </w:tcPr>
          <w:p w:rsidR="00A21467" w:rsidRPr="000F7F8E" w:rsidRDefault="00A21467" w:rsidP="000F7F8E">
            <w:pPr>
              <w:jc w:val="center"/>
              <w:rPr>
                <w:sz w:val="20"/>
                <w:szCs w:val="20"/>
              </w:rPr>
            </w:pPr>
            <w:r w:rsidRPr="000F7F8E">
              <w:rPr>
                <w:sz w:val="20"/>
                <w:szCs w:val="20"/>
              </w:rPr>
              <w:t>94 ppm</w:t>
            </w:r>
          </w:p>
          <w:p w:rsidR="00A21467" w:rsidRPr="000F7F8E" w:rsidRDefault="00A21467" w:rsidP="000F7F8E">
            <w:pPr>
              <w:jc w:val="center"/>
              <w:rPr>
                <w:sz w:val="20"/>
                <w:szCs w:val="20"/>
              </w:rPr>
            </w:pPr>
            <w:r w:rsidRPr="000F7F8E">
              <w:rPr>
                <w:sz w:val="20"/>
                <w:szCs w:val="20"/>
              </w:rPr>
              <w:t>[LOAEC</w:t>
            </w:r>
            <w:r w:rsidR="00D41789" w:rsidRPr="000F7F8E">
              <w:rPr>
                <w:sz w:val="20"/>
                <w:szCs w:val="20"/>
                <w:vertAlign w:val="subscript"/>
              </w:rPr>
              <w:t>sys</w:t>
            </w:r>
            <w:r w:rsidRPr="000F7F8E">
              <w:rPr>
                <w:sz w:val="20"/>
                <w:szCs w:val="20"/>
              </w:rPr>
              <w:t>]</w:t>
            </w: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A21467" w:rsidP="000F7F8E">
            <w:pPr>
              <w:jc w:val="center"/>
              <w:rPr>
                <w:sz w:val="20"/>
                <w:szCs w:val="20"/>
              </w:rPr>
            </w:pPr>
            <w:r w:rsidRPr="000F7F8E">
              <w:rPr>
                <w:sz w:val="20"/>
                <w:szCs w:val="20"/>
              </w:rPr>
              <w:t>188 ppm</w:t>
            </w:r>
          </w:p>
          <w:p w:rsidR="00A21467" w:rsidRPr="000F7F8E" w:rsidRDefault="00A21467" w:rsidP="000F7F8E">
            <w:pPr>
              <w:jc w:val="center"/>
              <w:rPr>
                <w:sz w:val="20"/>
                <w:szCs w:val="20"/>
              </w:rPr>
            </w:pPr>
            <w:r w:rsidRPr="000F7F8E">
              <w:rPr>
                <w:sz w:val="20"/>
                <w:szCs w:val="20"/>
              </w:rPr>
              <w:t>[NOAEC</w:t>
            </w:r>
            <w:r w:rsidR="00D41789" w:rsidRPr="000F7F8E">
              <w:rPr>
                <w:sz w:val="20"/>
                <w:szCs w:val="20"/>
                <w:vertAlign w:val="subscript"/>
              </w:rPr>
              <w:t>local</w:t>
            </w:r>
            <w:r w:rsidRPr="000F7F8E">
              <w:rPr>
                <w:sz w:val="20"/>
                <w:szCs w:val="20"/>
              </w:rPr>
              <w:t>]</w:t>
            </w:r>
          </w:p>
          <w:p w:rsidR="00A21467" w:rsidRPr="000F7F8E" w:rsidRDefault="00A21467" w:rsidP="000F7F8E">
            <w:pPr>
              <w:jc w:val="center"/>
              <w:rPr>
                <w:sz w:val="20"/>
                <w:szCs w:val="20"/>
              </w:rPr>
            </w:pPr>
          </w:p>
          <w:p w:rsidR="00D76F9E" w:rsidRPr="000F7F8E" w:rsidRDefault="00D76F9E" w:rsidP="000F7F8E">
            <w:pPr>
              <w:jc w:val="center"/>
              <w:rPr>
                <w:sz w:val="20"/>
                <w:szCs w:val="20"/>
              </w:rPr>
            </w:pPr>
          </w:p>
          <w:p w:rsidR="0010683D" w:rsidRPr="000F7F8E" w:rsidRDefault="0010683D" w:rsidP="000F7F8E">
            <w:pPr>
              <w:jc w:val="center"/>
              <w:rPr>
                <w:sz w:val="20"/>
                <w:szCs w:val="20"/>
              </w:rPr>
            </w:pPr>
          </w:p>
          <w:p w:rsidR="00A21467" w:rsidRPr="000F7F8E" w:rsidRDefault="00A21467" w:rsidP="000F7F8E">
            <w:pPr>
              <w:jc w:val="center"/>
              <w:rPr>
                <w:sz w:val="20"/>
                <w:szCs w:val="20"/>
              </w:rPr>
            </w:pPr>
            <w:r w:rsidRPr="000F7F8E">
              <w:rPr>
                <w:sz w:val="20"/>
                <w:szCs w:val="20"/>
              </w:rPr>
              <w:t>375 ppm</w:t>
            </w:r>
          </w:p>
          <w:p w:rsidR="00A21467" w:rsidRPr="000F7F8E" w:rsidRDefault="00A21467" w:rsidP="000F7F8E">
            <w:pPr>
              <w:jc w:val="center"/>
              <w:rPr>
                <w:sz w:val="20"/>
                <w:szCs w:val="20"/>
              </w:rPr>
            </w:pPr>
            <w:r w:rsidRPr="000F7F8E">
              <w:rPr>
                <w:sz w:val="20"/>
                <w:szCs w:val="20"/>
              </w:rPr>
              <w:t>[LOAEC</w:t>
            </w:r>
            <w:r w:rsidR="00D41789" w:rsidRPr="000F7F8E">
              <w:rPr>
                <w:sz w:val="20"/>
                <w:szCs w:val="20"/>
                <w:vertAlign w:val="subscript"/>
              </w:rPr>
              <w:t>local</w:t>
            </w:r>
            <w:r w:rsidRPr="000F7F8E">
              <w:rPr>
                <w:sz w:val="20"/>
                <w:szCs w:val="20"/>
              </w:rPr>
              <w:t>]</w:t>
            </w: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A21467" w:rsidP="000F7F8E">
            <w:pPr>
              <w:jc w:val="center"/>
              <w:rPr>
                <w:sz w:val="20"/>
                <w:szCs w:val="20"/>
              </w:rPr>
            </w:pPr>
            <w:r w:rsidRPr="000F7F8E">
              <w:rPr>
                <w:sz w:val="20"/>
                <w:szCs w:val="20"/>
              </w:rPr>
              <w:t>750 ppm</w:t>
            </w: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A21467" w:rsidP="000F7F8E">
            <w:pPr>
              <w:jc w:val="center"/>
              <w:rPr>
                <w:sz w:val="20"/>
                <w:szCs w:val="20"/>
              </w:rPr>
            </w:pPr>
            <w:r w:rsidRPr="000F7F8E">
              <w:rPr>
                <w:sz w:val="20"/>
                <w:szCs w:val="20"/>
              </w:rPr>
              <w:t>1500 ppm</w:t>
            </w: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A21467" w:rsidP="000F7F8E">
            <w:pPr>
              <w:jc w:val="center"/>
              <w:rPr>
                <w:sz w:val="20"/>
                <w:szCs w:val="20"/>
                <w:vertAlign w:val="superscript"/>
              </w:rPr>
            </w:pPr>
            <w:bookmarkStart w:id="94" w:name="_GoBack"/>
            <w:bookmarkEnd w:id="94"/>
          </w:p>
        </w:tc>
        <w:tc>
          <w:tcPr>
            <w:tcW w:w="2700" w:type="dxa"/>
            <w:tcBorders>
              <w:top w:val="single" w:sz="6" w:space="0" w:color="auto"/>
              <w:bottom w:val="single" w:sz="6" w:space="0" w:color="auto"/>
            </w:tcBorders>
          </w:tcPr>
          <w:p w:rsidR="00A21467" w:rsidRPr="000F7F8E" w:rsidRDefault="00A21467" w:rsidP="000F7F8E">
            <w:pPr>
              <w:jc w:val="center"/>
              <w:rPr>
                <w:sz w:val="20"/>
                <w:szCs w:val="20"/>
              </w:rPr>
            </w:pPr>
            <w:r w:rsidRPr="000F7F8E">
              <w:rPr>
                <w:sz w:val="20"/>
                <w:szCs w:val="20"/>
              </w:rPr>
              <w:t>none</w:t>
            </w: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D41789" w:rsidP="000F7F8E">
            <w:pPr>
              <w:jc w:val="center"/>
              <w:rPr>
                <w:sz w:val="20"/>
                <w:szCs w:val="20"/>
              </w:rPr>
            </w:pPr>
            <w:r w:rsidRPr="000F7F8E">
              <w:rPr>
                <w:sz w:val="20"/>
                <w:szCs w:val="20"/>
              </w:rPr>
              <w:sym w:font="Symbol" w:char="F0AD"/>
            </w:r>
            <w:r w:rsidRPr="000F7F8E">
              <w:rPr>
                <w:sz w:val="20"/>
                <w:szCs w:val="20"/>
              </w:rPr>
              <w:t xml:space="preserve"> </w:t>
            </w:r>
            <w:r w:rsidR="00A21467" w:rsidRPr="000F7F8E">
              <w:rPr>
                <w:sz w:val="20"/>
                <w:szCs w:val="20"/>
              </w:rPr>
              <w:t>thymus weight (females)</w:t>
            </w: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D76F9E" w:rsidRPr="000F7F8E" w:rsidRDefault="00D76F9E" w:rsidP="000F7F8E">
            <w:pPr>
              <w:jc w:val="center"/>
              <w:rPr>
                <w:sz w:val="20"/>
                <w:szCs w:val="20"/>
              </w:rPr>
            </w:pPr>
          </w:p>
          <w:p w:rsidR="0010683D" w:rsidRPr="000F7F8E" w:rsidRDefault="0010683D" w:rsidP="000F7F8E">
            <w:pPr>
              <w:jc w:val="center"/>
              <w:rPr>
                <w:sz w:val="20"/>
                <w:szCs w:val="20"/>
              </w:rPr>
            </w:pPr>
          </w:p>
          <w:p w:rsidR="00A21467" w:rsidRPr="000F7F8E" w:rsidRDefault="00D41789" w:rsidP="000F7F8E">
            <w:pPr>
              <w:jc w:val="center"/>
              <w:rPr>
                <w:sz w:val="20"/>
                <w:szCs w:val="20"/>
              </w:rPr>
            </w:pPr>
            <w:r w:rsidRPr="000F7F8E">
              <w:rPr>
                <w:sz w:val="20"/>
                <w:szCs w:val="20"/>
              </w:rPr>
              <w:sym w:font="Symbol" w:char="F0AD"/>
            </w:r>
            <w:r w:rsidRPr="000F7F8E">
              <w:rPr>
                <w:sz w:val="20"/>
                <w:szCs w:val="20"/>
              </w:rPr>
              <w:t xml:space="preserve"> </w:t>
            </w:r>
            <w:r w:rsidR="00A21467" w:rsidRPr="000F7F8E">
              <w:rPr>
                <w:sz w:val="20"/>
                <w:szCs w:val="20"/>
              </w:rPr>
              <w:t>liver weight</w:t>
            </w: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D41789" w:rsidP="000F7F8E">
            <w:pPr>
              <w:jc w:val="center"/>
              <w:rPr>
                <w:sz w:val="20"/>
                <w:szCs w:val="20"/>
              </w:rPr>
            </w:pPr>
            <w:r w:rsidRPr="000F7F8E">
              <w:rPr>
                <w:sz w:val="20"/>
                <w:szCs w:val="20"/>
              </w:rPr>
              <w:sym w:font="Symbol" w:char="F0AF"/>
            </w:r>
            <w:r w:rsidRPr="000F7F8E">
              <w:rPr>
                <w:sz w:val="20"/>
                <w:szCs w:val="20"/>
              </w:rPr>
              <w:t xml:space="preserve"> hindlimb </w:t>
            </w:r>
            <w:r w:rsidR="00A21467" w:rsidRPr="000F7F8E">
              <w:rPr>
                <w:sz w:val="20"/>
                <w:szCs w:val="20"/>
              </w:rPr>
              <w:t>strength</w:t>
            </w:r>
          </w:p>
          <w:p w:rsidR="00A21467" w:rsidRPr="000F7F8E" w:rsidRDefault="00A21467" w:rsidP="000F7F8E">
            <w:pPr>
              <w:jc w:val="center"/>
              <w:rPr>
                <w:sz w:val="20"/>
                <w:szCs w:val="20"/>
              </w:rPr>
            </w:pPr>
            <w:r w:rsidRPr="000F7F8E">
              <w:rPr>
                <w:sz w:val="20"/>
                <w:szCs w:val="20"/>
              </w:rPr>
              <w:t>hindlimb paralysis</w:t>
            </w:r>
          </w:p>
          <w:p w:rsidR="00A21467" w:rsidRPr="000F7F8E" w:rsidRDefault="004B43B2" w:rsidP="000F7F8E">
            <w:pPr>
              <w:jc w:val="center"/>
              <w:rPr>
                <w:sz w:val="20"/>
                <w:szCs w:val="20"/>
              </w:rPr>
            </w:pPr>
            <w:r w:rsidRPr="000F7F8E">
              <w:rPr>
                <w:sz w:val="20"/>
                <w:szCs w:val="20"/>
              </w:rPr>
              <w:t>↓sperm motility</w:t>
            </w: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D41789" w:rsidP="000F7F8E">
            <w:pPr>
              <w:jc w:val="center"/>
              <w:rPr>
                <w:sz w:val="20"/>
                <w:szCs w:val="20"/>
              </w:rPr>
            </w:pPr>
            <w:r w:rsidRPr="000F7F8E">
              <w:rPr>
                <w:sz w:val="20"/>
                <w:szCs w:val="20"/>
              </w:rPr>
              <w:sym w:font="Symbol" w:char="F0AF"/>
            </w:r>
            <w:r w:rsidRPr="000F7F8E">
              <w:rPr>
                <w:sz w:val="20"/>
                <w:szCs w:val="20"/>
              </w:rPr>
              <w:t xml:space="preserve"> </w:t>
            </w:r>
            <w:r w:rsidR="00A21467" w:rsidRPr="000F7F8E">
              <w:rPr>
                <w:sz w:val="20"/>
                <w:szCs w:val="20"/>
              </w:rPr>
              <w:t>bw</w:t>
            </w:r>
          </w:p>
          <w:p w:rsidR="00A21467" w:rsidRPr="000F7F8E" w:rsidRDefault="00D41789" w:rsidP="000F7F8E">
            <w:pPr>
              <w:jc w:val="center"/>
              <w:rPr>
                <w:sz w:val="20"/>
                <w:szCs w:val="20"/>
              </w:rPr>
            </w:pPr>
            <w:r w:rsidRPr="000F7F8E">
              <w:rPr>
                <w:sz w:val="20"/>
                <w:szCs w:val="20"/>
              </w:rPr>
              <w:sym w:font="Symbol" w:char="F0AD"/>
            </w:r>
            <w:r w:rsidRPr="000F7F8E">
              <w:rPr>
                <w:sz w:val="20"/>
                <w:szCs w:val="20"/>
              </w:rPr>
              <w:t xml:space="preserve"> </w:t>
            </w:r>
            <w:r w:rsidR="00A21467" w:rsidRPr="000F7F8E">
              <w:rPr>
                <w:sz w:val="20"/>
                <w:szCs w:val="20"/>
              </w:rPr>
              <w:t>heart, kidney, liver, thyroid weight</w:t>
            </w:r>
          </w:p>
          <w:p w:rsidR="00A21467" w:rsidRPr="000F7F8E" w:rsidRDefault="00A21467" w:rsidP="000F7F8E">
            <w:pPr>
              <w:jc w:val="center"/>
              <w:rPr>
                <w:sz w:val="20"/>
                <w:szCs w:val="20"/>
              </w:rPr>
            </w:pPr>
            <w:r w:rsidRPr="000F7F8E">
              <w:rPr>
                <w:sz w:val="20"/>
                <w:szCs w:val="20"/>
              </w:rPr>
              <w:t>↓cauda</w:t>
            </w:r>
            <w:r w:rsidR="004B43B2" w:rsidRPr="000F7F8E">
              <w:rPr>
                <w:sz w:val="20"/>
                <w:szCs w:val="20"/>
              </w:rPr>
              <w:t xml:space="preserve"> epididymis, testes weight</w:t>
            </w:r>
          </w:p>
          <w:p w:rsidR="00150D36" w:rsidRPr="000F7F8E" w:rsidRDefault="00150D36" w:rsidP="000F7F8E">
            <w:pPr>
              <w:jc w:val="center"/>
              <w:rPr>
                <w:sz w:val="20"/>
                <w:szCs w:val="20"/>
              </w:rPr>
            </w:pPr>
            <w:r w:rsidRPr="000F7F8E">
              <w:rPr>
                <w:sz w:val="20"/>
                <w:szCs w:val="20"/>
              </w:rPr>
              <w:sym w:font="Symbol" w:char="F0AF"/>
            </w:r>
            <w:r w:rsidRPr="000F7F8E">
              <w:rPr>
                <w:sz w:val="20"/>
                <w:szCs w:val="20"/>
              </w:rPr>
              <w:t xml:space="preserve"> hindlimb/forelimb strength,   hindlimb paralysis</w:t>
            </w:r>
          </w:p>
          <w:p w:rsidR="00A21467" w:rsidRPr="000F7F8E" w:rsidRDefault="00A21467" w:rsidP="000F7F8E">
            <w:pPr>
              <w:jc w:val="center"/>
              <w:rPr>
                <w:sz w:val="20"/>
                <w:szCs w:val="20"/>
              </w:rPr>
            </w:pPr>
            <w:r w:rsidRPr="000F7F8E">
              <w:rPr>
                <w:sz w:val="20"/>
                <w:szCs w:val="20"/>
              </w:rPr>
              <w:t>↓ sperm motility,</w:t>
            </w:r>
          </w:p>
        </w:tc>
        <w:tc>
          <w:tcPr>
            <w:tcW w:w="2610" w:type="dxa"/>
            <w:tcBorders>
              <w:top w:val="single" w:sz="6" w:space="0" w:color="auto"/>
              <w:bottom w:val="single" w:sz="6" w:space="0" w:color="auto"/>
            </w:tcBorders>
          </w:tcPr>
          <w:p w:rsidR="00A21467" w:rsidRPr="000F7F8E" w:rsidRDefault="00B320DF" w:rsidP="000F7F8E">
            <w:pPr>
              <w:keepNext/>
              <w:numPr>
                <w:ilvl w:val="0"/>
                <w:numId w:val="7"/>
              </w:numPr>
              <w:tabs>
                <w:tab w:val="clear" w:pos="1077"/>
                <w:tab w:val="left" w:pos="839"/>
                <w:tab w:val="left" w:leader="dot" w:pos="9214"/>
                <w:tab w:val="right" w:pos="9639"/>
              </w:tabs>
              <w:spacing w:before="240" w:after="200"/>
              <w:ind w:left="839" w:hanging="839"/>
              <w:jc w:val="center"/>
              <w:outlineLvl w:val="0"/>
              <w:rPr>
                <w:sz w:val="20"/>
                <w:szCs w:val="20"/>
                <w:lang w:val="it-IT"/>
              </w:rPr>
            </w:pPr>
            <w:proofErr w:type="gramStart"/>
            <w:r w:rsidRPr="000F7F8E">
              <w:rPr>
                <w:sz w:val="20"/>
                <w:szCs w:val="20"/>
                <w:lang w:val="it-IT"/>
              </w:rPr>
              <w:t>none</w:t>
            </w:r>
            <w:proofErr w:type="gramEnd"/>
          </w:p>
          <w:p w:rsidR="00A21467" w:rsidRPr="000F7F8E" w:rsidRDefault="00A21467" w:rsidP="000F7F8E">
            <w:pPr>
              <w:jc w:val="center"/>
              <w:rPr>
                <w:sz w:val="20"/>
                <w:szCs w:val="20"/>
                <w:lang w:val="it-IT"/>
              </w:rPr>
            </w:pPr>
          </w:p>
          <w:p w:rsidR="00A21467" w:rsidRPr="000F7F8E" w:rsidRDefault="00A21467" w:rsidP="000F7F8E">
            <w:pPr>
              <w:jc w:val="center"/>
              <w:rPr>
                <w:sz w:val="20"/>
                <w:szCs w:val="20"/>
                <w:lang w:val="it-IT"/>
              </w:rPr>
            </w:pPr>
          </w:p>
          <w:p w:rsidR="00A21467" w:rsidRPr="000F7F8E" w:rsidRDefault="00A21467" w:rsidP="000F7F8E">
            <w:pPr>
              <w:jc w:val="center"/>
              <w:rPr>
                <w:sz w:val="20"/>
                <w:szCs w:val="20"/>
                <w:lang w:val="it-IT"/>
              </w:rPr>
            </w:pPr>
          </w:p>
          <w:p w:rsidR="00CB3B4E" w:rsidRPr="000F7F8E" w:rsidRDefault="00CB3B4E" w:rsidP="000F7F8E">
            <w:pPr>
              <w:jc w:val="center"/>
              <w:rPr>
                <w:sz w:val="20"/>
                <w:szCs w:val="20"/>
                <w:lang w:val="it-IT"/>
              </w:rPr>
            </w:pPr>
          </w:p>
          <w:p w:rsidR="00CB3B4E" w:rsidRPr="000F7F8E" w:rsidRDefault="00CB3B4E" w:rsidP="000F7F8E">
            <w:pPr>
              <w:jc w:val="center"/>
              <w:rPr>
                <w:sz w:val="20"/>
                <w:szCs w:val="20"/>
                <w:lang w:val="it-IT"/>
              </w:rPr>
            </w:pPr>
          </w:p>
          <w:p w:rsidR="00CB3B4E" w:rsidRPr="000F7F8E" w:rsidRDefault="00CB3B4E" w:rsidP="000F7F8E">
            <w:pPr>
              <w:jc w:val="center"/>
              <w:rPr>
                <w:sz w:val="20"/>
                <w:szCs w:val="20"/>
                <w:lang w:val="it-IT"/>
              </w:rPr>
            </w:pPr>
          </w:p>
          <w:p w:rsidR="00CB3B4E" w:rsidRPr="000F7F8E" w:rsidRDefault="00CB3B4E" w:rsidP="000F7F8E">
            <w:pPr>
              <w:jc w:val="center"/>
              <w:rPr>
                <w:sz w:val="20"/>
                <w:szCs w:val="20"/>
                <w:lang w:val="it-IT"/>
              </w:rPr>
            </w:pPr>
          </w:p>
          <w:p w:rsidR="0010683D" w:rsidRPr="000F7F8E" w:rsidRDefault="0010683D" w:rsidP="000F7F8E">
            <w:pPr>
              <w:jc w:val="center"/>
              <w:rPr>
                <w:sz w:val="20"/>
                <w:szCs w:val="20"/>
                <w:lang w:val="it-IT"/>
              </w:rPr>
            </w:pPr>
          </w:p>
          <w:p w:rsidR="00A21467" w:rsidRPr="000F7F8E" w:rsidRDefault="00B320DF" w:rsidP="000F7F8E">
            <w:pPr>
              <w:jc w:val="center"/>
              <w:rPr>
                <w:sz w:val="20"/>
                <w:szCs w:val="20"/>
                <w:lang w:val="it-IT"/>
              </w:rPr>
            </w:pPr>
            <w:proofErr w:type="gramStart"/>
            <w:r w:rsidRPr="000F7F8E">
              <w:rPr>
                <w:sz w:val="20"/>
                <w:szCs w:val="20"/>
                <w:lang w:val="it-IT"/>
              </w:rPr>
              <w:t>bone</w:t>
            </w:r>
            <w:proofErr w:type="gramEnd"/>
            <w:r w:rsidRPr="000F7F8E">
              <w:rPr>
                <w:sz w:val="20"/>
                <w:szCs w:val="20"/>
                <w:lang w:val="it-IT"/>
              </w:rPr>
              <w:t xml:space="preserve"> marrow (females),</w:t>
            </w:r>
            <w:r w:rsidR="00D41789" w:rsidRPr="000F7F8E">
              <w:rPr>
                <w:sz w:val="20"/>
                <w:szCs w:val="20"/>
                <w:lang w:val="it-IT"/>
              </w:rPr>
              <w:t xml:space="preserve"> </w:t>
            </w:r>
            <w:r w:rsidR="00A21467" w:rsidRPr="000F7F8E">
              <w:rPr>
                <w:sz w:val="20"/>
                <w:szCs w:val="20"/>
                <w:lang w:val="it-IT"/>
              </w:rPr>
              <w:t xml:space="preserve">sciatic nerve/spinal cord, nasal </w:t>
            </w:r>
            <w:r w:rsidR="00CB3B4E" w:rsidRPr="000F7F8E">
              <w:rPr>
                <w:sz w:val="20"/>
                <w:szCs w:val="20"/>
                <w:lang w:val="it-IT"/>
              </w:rPr>
              <w:t>tissues</w:t>
            </w: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A21467" w:rsidRPr="000F7F8E" w:rsidRDefault="004B43B2" w:rsidP="000F7F8E">
            <w:pPr>
              <w:jc w:val="center"/>
              <w:rPr>
                <w:sz w:val="20"/>
                <w:szCs w:val="20"/>
              </w:rPr>
            </w:pPr>
            <w:r w:rsidRPr="000F7F8E">
              <w:rPr>
                <w:sz w:val="20"/>
                <w:szCs w:val="20"/>
              </w:rPr>
              <w:t xml:space="preserve">bone marrow, </w:t>
            </w:r>
            <w:r w:rsidRPr="000F7F8E">
              <w:rPr>
                <w:sz w:val="20"/>
                <w:szCs w:val="20"/>
                <w:lang w:val="it-IT"/>
              </w:rPr>
              <w:t>sciatic nerve/spinal cord</w:t>
            </w:r>
            <w:r w:rsidRPr="000F7F8E">
              <w:rPr>
                <w:sz w:val="20"/>
                <w:szCs w:val="20"/>
              </w:rPr>
              <w:t>, nasaltissues, rbc</w:t>
            </w:r>
          </w:p>
          <w:p w:rsidR="00A21467" w:rsidRPr="000F7F8E" w:rsidRDefault="00A21467" w:rsidP="000F7F8E">
            <w:pPr>
              <w:jc w:val="center"/>
              <w:rPr>
                <w:sz w:val="20"/>
                <w:szCs w:val="20"/>
              </w:rPr>
            </w:pPr>
          </w:p>
          <w:p w:rsidR="00CB3B4E" w:rsidRPr="000F7F8E" w:rsidRDefault="00CB3B4E" w:rsidP="000F7F8E">
            <w:pPr>
              <w:jc w:val="center"/>
              <w:rPr>
                <w:sz w:val="20"/>
                <w:szCs w:val="20"/>
              </w:rPr>
            </w:pPr>
          </w:p>
          <w:p w:rsidR="0010683D" w:rsidRPr="000F7F8E" w:rsidRDefault="0010683D" w:rsidP="000F7F8E">
            <w:pPr>
              <w:jc w:val="center"/>
              <w:rPr>
                <w:sz w:val="20"/>
                <w:szCs w:val="20"/>
              </w:rPr>
            </w:pPr>
          </w:p>
          <w:p w:rsidR="00A21467" w:rsidRPr="000F7F8E" w:rsidRDefault="004B43B2" w:rsidP="000F7F8E">
            <w:pPr>
              <w:jc w:val="center"/>
              <w:rPr>
                <w:sz w:val="20"/>
                <w:szCs w:val="20"/>
              </w:rPr>
            </w:pPr>
            <w:r w:rsidRPr="000F7F8E">
              <w:rPr>
                <w:sz w:val="20"/>
                <w:szCs w:val="20"/>
              </w:rPr>
              <w:t xml:space="preserve">bone marrow, </w:t>
            </w:r>
            <w:r w:rsidRPr="000F7F8E">
              <w:rPr>
                <w:sz w:val="20"/>
                <w:szCs w:val="20"/>
                <w:lang w:val="it-IT"/>
              </w:rPr>
              <w:t xml:space="preserve"> sciatic nerve/spinal cord</w:t>
            </w:r>
            <w:r w:rsidRPr="000F7F8E">
              <w:rPr>
                <w:sz w:val="20"/>
                <w:szCs w:val="20"/>
              </w:rPr>
              <w:t>, nasaltissues, rbc</w:t>
            </w:r>
          </w:p>
        </w:tc>
        <w:tc>
          <w:tcPr>
            <w:tcW w:w="3690" w:type="dxa"/>
            <w:tcBorders>
              <w:top w:val="single" w:sz="6" w:space="0" w:color="auto"/>
              <w:bottom w:val="single" w:sz="6" w:space="0" w:color="auto"/>
            </w:tcBorders>
          </w:tcPr>
          <w:p w:rsidR="00A21467" w:rsidRPr="000F7F8E" w:rsidRDefault="00D41789" w:rsidP="000F7F8E">
            <w:pPr>
              <w:jc w:val="center"/>
              <w:rPr>
                <w:sz w:val="20"/>
                <w:szCs w:val="20"/>
              </w:rPr>
            </w:pPr>
            <w:r w:rsidRPr="000F7F8E">
              <w:rPr>
                <w:sz w:val="20"/>
                <w:szCs w:val="20"/>
              </w:rPr>
              <w:sym w:font="Symbol" w:char="F0AF"/>
            </w:r>
            <w:r w:rsidRPr="000F7F8E">
              <w:rPr>
                <w:sz w:val="20"/>
                <w:szCs w:val="20"/>
              </w:rPr>
              <w:t xml:space="preserve"> </w:t>
            </w:r>
            <w:r w:rsidR="00A21467" w:rsidRPr="000F7F8E">
              <w:rPr>
                <w:sz w:val="20"/>
                <w:szCs w:val="20"/>
              </w:rPr>
              <w:t>Hct, Hb, MCV,</w:t>
            </w:r>
            <w:r w:rsidR="00D76F9E" w:rsidRPr="000F7F8E">
              <w:rPr>
                <w:sz w:val="20"/>
                <w:szCs w:val="20"/>
              </w:rPr>
              <w:t xml:space="preserve"> MCH</w:t>
            </w:r>
          </w:p>
          <w:p w:rsidR="00A21467" w:rsidRPr="000F7F8E" w:rsidRDefault="00D41789" w:rsidP="000F7F8E">
            <w:pPr>
              <w:jc w:val="center"/>
              <w:rPr>
                <w:sz w:val="20"/>
                <w:szCs w:val="20"/>
              </w:rPr>
            </w:pPr>
            <w:r w:rsidRPr="000F7F8E">
              <w:rPr>
                <w:sz w:val="20"/>
                <w:szCs w:val="20"/>
              </w:rPr>
              <w:sym w:font="Symbol" w:char="F0AD"/>
            </w:r>
            <w:r w:rsidRPr="000F7F8E">
              <w:rPr>
                <w:sz w:val="20"/>
                <w:szCs w:val="20"/>
              </w:rPr>
              <w:t xml:space="preserve"> pt</w:t>
            </w:r>
            <w:r w:rsidR="00D76F9E" w:rsidRPr="000F7F8E">
              <w:rPr>
                <w:sz w:val="20"/>
                <w:szCs w:val="20"/>
              </w:rPr>
              <w:t>, rbc</w:t>
            </w:r>
          </w:p>
          <w:p w:rsidR="00A21467" w:rsidRPr="000F7F8E" w:rsidRDefault="00A21467" w:rsidP="000F7F8E">
            <w:pPr>
              <w:jc w:val="center"/>
              <w:rPr>
                <w:b/>
                <w:sz w:val="20"/>
                <w:szCs w:val="20"/>
              </w:rPr>
            </w:pPr>
          </w:p>
          <w:p w:rsidR="0010683D" w:rsidRPr="000F7F8E" w:rsidRDefault="0010683D" w:rsidP="000F7F8E">
            <w:pPr>
              <w:jc w:val="center"/>
              <w:rPr>
                <w:sz w:val="20"/>
                <w:szCs w:val="20"/>
              </w:rPr>
            </w:pPr>
          </w:p>
          <w:p w:rsidR="00D76F9E" w:rsidRPr="000F7F8E" w:rsidRDefault="00D41789" w:rsidP="000F7F8E">
            <w:pPr>
              <w:jc w:val="center"/>
              <w:rPr>
                <w:sz w:val="20"/>
                <w:szCs w:val="20"/>
              </w:rPr>
            </w:pPr>
            <w:r w:rsidRPr="000F7F8E">
              <w:rPr>
                <w:sz w:val="20"/>
                <w:szCs w:val="20"/>
              </w:rPr>
              <w:sym w:font="Symbol" w:char="F0AF"/>
            </w:r>
            <w:r w:rsidRPr="000F7F8E">
              <w:rPr>
                <w:sz w:val="20"/>
                <w:szCs w:val="20"/>
              </w:rPr>
              <w:t xml:space="preserve"> </w:t>
            </w:r>
            <w:r w:rsidR="00A21467" w:rsidRPr="000F7F8E">
              <w:rPr>
                <w:sz w:val="20"/>
                <w:szCs w:val="20"/>
              </w:rPr>
              <w:t>Hct, Hb, MCV, MCH, thyroxin (females)</w:t>
            </w:r>
          </w:p>
          <w:p w:rsidR="00A21467" w:rsidRPr="000F7F8E" w:rsidRDefault="00D41789" w:rsidP="000F7F8E">
            <w:pPr>
              <w:jc w:val="center"/>
              <w:rPr>
                <w:sz w:val="20"/>
                <w:szCs w:val="20"/>
              </w:rPr>
            </w:pPr>
            <w:r w:rsidRPr="000F7F8E">
              <w:rPr>
                <w:sz w:val="20"/>
                <w:szCs w:val="20"/>
              </w:rPr>
              <w:sym w:font="Symbol" w:char="F0AD"/>
            </w:r>
            <w:r w:rsidRPr="000F7F8E">
              <w:rPr>
                <w:sz w:val="20"/>
                <w:szCs w:val="20"/>
              </w:rPr>
              <w:t xml:space="preserve"> </w:t>
            </w:r>
            <w:r w:rsidR="00A21467" w:rsidRPr="000F7F8E">
              <w:rPr>
                <w:sz w:val="20"/>
                <w:szCs w:val="20"/>
              </w:rPr>
              <w:t>MetHb,  pt, wbc</w:t>
            </w:r>
          </w:p>
          <w:p w:rsidR="00D76F9E" w:rsidRPr="000F7F8E" w:rsidRDefault="00D76F9E" w:rsidP="000F7F8E">
            <w:pPr>
              <w:jc w:val="center"/>
              <w:rPr>
                <w:sz w:val="20"/>
                <w:szCs w:val="20"/>
              </w:rPr>
            </w:pPr>
            <w:r w:rsidRPr="000F7F8E">
              <w:rPr>
                <w:sz w:val="20"/>
                <w:szCs w:val="20"/>
              </w:rPr>
              <w:sym w:font="Symbol" w:char="F0AF"/>
            </w:r>
            <w:r w:rsidRPr="000F7F8E">
              <w:rPr>
                <w:sz w:val="20"/>
                <w:szCs w:val="20"/>
              </w:rPr>
              <w:sym w:font="Symbol" w:char="F0AD"/>
            </w:r>
            <w:r w:rsidRPr="000F7F8E">
              <w:rPr>
                <w:sz w:val="20"/>
                <w:szCs w:val="20"/>
              </w:rPr>
              <w:t xml:space="preserve"> rbc</w:t>
            </w:r>
          </w:p>
          <w:p w:rsidR="00F7563C" w:rsidRPr="000F7F8E" w:rsidRDefault="00F7563C" w:rsidP="000F7F8E">
            <w:pPr>
              <w:jc w:val="center"/>
              <w:rPr>
                <w:sz w:val="20"/>
                <w:szCs w:val="20"/>
              </w:rPr>
            </w:pPr>
          </w:p>
          <w:p w:rsidR="00A21467" w:rsidRPr="000F7F8E" w:rsidRDefault="00A21467" w:rsidP="000F7F8E">
            <w:pPr>
              <w:jc w:val="center"/>
              <w:rPr>
                <w:sz w:val="20"/>
                <w:szCs w:val="20"/>
              </w:rPr>
            </w:pPr>
            <w:r w:rsidRPr="000F7F8E">
              <w:rPr>
                <w:sz w:val="20"/>
                <w:szCs w:val="20"/>
              </w:rPr>
              <w:t>increased magnitude of changes observed at 188 ppm (except wbc)</w:t>
            </w:r>
          </w:p>
          <w:p w:rsidR="00A21467" w:rsidRPr="000F7F8E" w:rsidRDefault="00D41789" w:rsidP="000F7F8E">
            <w:pPr>
              <w:jc w:val="center"/>
              <w:rPr>
                <w:sz w:val="20"/>
                <w:szCs w:val="20"/>
              </w:rPr>
            </w:pPr>
            <w:r w:rsidRPr="000F7F8E">
              <w:rPr>
                <w:sz w:val="20"/>
                <w:szCs w:val="20"/>
              </w:rPr>
              <w:sym w:font="Symbol" w:char="F0AF"/>
            </w:r>
            <w:r w:rsidRPr="000F7F8E">
              <w:rPr>
                <w:sz w:val="20"/>
                <w:szCs w:val="20"/>
              </w:rPr>
              <w:t xml:space="preserve"> thy</w:t>
            </w:r>
            <w:r w:rsidR="00F7563C" w:rsidRPr="000F7F8E">
              <w:rPr>
                <w:sz w:val="20"/>
                <w:szCs w:val="20"/>
              </w:rPr>
              <w:t>ro</w:t>
            </w:r>
            <w:r w:rsidRPr="000F7F8E">
              <w:rPr>
                <w:sz w:val="20"/>
                <w:szCs w:val="20"/>
              </w:rPr>
              <w:t>xin, triiodothyronine (females)</w:t>
            </w:r>
          </w:p>
          <w:p w:rsidR="00A21467" w:rsidRPr="000F7F8E" w:rsidRDefault="00A21467" w:rsidP="000F7F8E">
            <w:pPr>
              <w:jc w:val="center"/>
              <w:rPr>
                <w:sz w:val="20"/>
                <w:szCs w:val="20"/>
              </w:rPr>
            </w:pPr>
          </w:p>
          <w:p w:rsidR="0010683D" w:rsidRPr="000F7F8E" w:rsidRDefault="0010683D" w:rsidP="000F7F8E">
            <w:pPr>
              <w:jc w:val="center"/>
              <w:rPr>
                <w:sz w:val="20"/>
                <w:szCs w:val="20"/>
              </w:rPr>
            </w:pPr>
          </w:p>
          <w:p w:rsidR="00A21467" w:rsidRPr="000F7F8E" w:rsidRDefault="00F7563C" w:rsidP="000F7F8E">
            <w:pPr>
              <w:jc w:val="center"/>
              <w:rPr>
                <w:sz w:val="20"/>
                <w:szCs w:val="20"/>
              </w:rPr>
            </w:pPr>
            <w:r w:rsidRPr="000F7F8E">
              <w:rPr>
                <w:sz w:val="20"/>
                <w:szCs w:val="20"/>
              </w:rPr>
              <w:t>I</w:t>
            </w:r>
            <w:r w:rsidR="00A21467" w:rsidRPr="000F7F8E">
              <w:rPr>
                <w:sz w:val="20"/>
                <w:szCs w:val="20"/>
              </w:rPr>
              <w:t>ncreased magnitude of changes observed at 375 ppm</w:t>
            </w:r>
            <w:r w:rsidRPr="000F7F8E">
              <w:rPr>
                <w:sz w:val="20"/>
                <w:szCs w:val="20"/>
              </w:rPr>
              <w:t xml:space="preserve">, </w:t>
            </w:r>
            <w:r w:rsidR="00150D36" w:rsidRPr="000F7F8E">
              <w:rPr>
                <w:sz w:val="20"/>
                <w:szCs w:val="20"/>
              </w:rPr>
              <w:t>thyroid effects also in males</w:t>
            </w:r>
          </w:p>
          <w:p w:rsidR="00A21467" w:rsidRPr="000F7F8E" w:rsidRDefault="00A21467" w:rsidP="000F7F8E">
            <w:pPr>
              <w:jc w:val="center"/>
              <w:rPr>
                <w:sz w:val="20"/>
                <w:szCs w:val="20"/>
              </w:rPr>
            </w:pPr>
          </w:p>
          <w:p w:rsidR="00A21467" w:rsidRPr="000F7F8E" w:rsidRDefault="00A21467" w:rsidP="000F7F8E">
            <w:pPr>
              <w:jc w:val="center"/>
              <w:rPr>
                <w:sz w:val="20"/>
                <w:szCs w:val="20"/>
              </w:rPr>
            </w:pPr>
          </w:p>
          <w:p w:rsidR="0010683D" w:rsidRPr="000F7F8E" w:rsidRDefault="0010683D" w:rsidP="000F7F8E">
            <w:pPr>
              <w:jc w:val="center"/>
              <w:rPr>
                <w:sz w:val="20"/>
                <w:szCs w:val="20"/>
              </w:rPr>
            </w:pPr>
          </w:p>
          <w:p w:rsidR="00A21467" w:rsidRPr="000F7F8E" w:rsidRDefault="00A21467" w:rsidP="000F7F8E">
            <w:pPr>
              <w:jc w:val="center"/>
              <w:rPr>
                <w:sz w:val="20"/>
                <w:szCs w:val="20"/>
              </w:rPr>
            </w:pPr>
            <w:r w:rsidRPr="000F7F8E">
              <w:rPr>
                <w:sz w:val="20"/>
                <w:szCs w:val="20"/>
              </w:rPr>
              <w:t>similar to 750 ppm</w:t>
            </w:r>
          </w:p>
          <w:p w:rsidR="00A21467" w:rsidRPr="000F7F8E" w:rsidRDefault="00A21467" w:rsidP="000F7F8E">
            <w:pPr>
              <w:jc w:val="center"/>
              <w:rPr>
                <w:sz w:val="20"/>
                <w:szCs w:val="20"/>
              </w:rPr>
            </w:pPr>
            <w:r w:rsidRPr="000F7F8E">
              <w:rPr>
                <w:sz w:val="20"/>
                <w:szCs w:val="20"/>
              </w:rPr>
              <w:t xml:space="preserve">also, </w:t>
            </w:r>
            <w:r w:rsidR="00D41789" w:rsidRPr="000F7F8E">
              <w:rPr>
                <w:sz w:val="20"/>
                <w:szCs w:val="20"/>
              </w:rPr>
              <w:sym w:font="Symbol" w:char="F0AD"/>
            </w:r>
            <w:r w:rsidR="00D41789" w:rsidRPr="000F7F8E">
              <w:rPr>
                <w:sz w:val="20"/>
                <w:szCs w:val="20"/>
              </w:rPr>
              <w:t xml:space="preserve"> lymphocytes (males)</w:t>
            </w:r>
          </w:p>
          <w:p w:rsidR="00A21467" w:rsidRPr="000F7F8E" w:rsidRDefault="00A21467" w:rsidP="000F7F8E">
            <w:pPr>
              <w:jc w:val="center"/>
              <w:rPr>
                <w:sz w:val="20"/>
                <w:szCs w:val="20"/>
              </w:rPr>
            </w:pPr>
          </w:p>
        </w:tc>
        <w:tc>
          <w:tcPr>
            <w:tcW w:w="2250" w:type="dxa"/>
            <w:tcBorders>
              <w:top w:val="single" w:sz="6" w:space="0" w:color="auto"/>
              <w:bottom w:val="single" w:sz="6" w:space="0" w:color="auto"/>
            </w:tcBorders>
          </w:tcPr>
          <w:p w:rsidR="00F7563C" w:rsidRPr="000F7F8E" w:rsidRDefault="00F7563C" w:rsidP="000F7F8E">
            <w:pPr>
              <w:jc w:val="center"/>
              <w:rPr>
                <w:snapToGrid w:val="0"/>
                <w:sz w:val="20"/>
                <w:szCs w:val="20"/>
              </w:rPr>
            </w:pPr>
          </w:p>
          <w:p w:rsidR="00A21467" w:rsidRPr="000F7F8E" w:rsidRDefault="00A21467" w:rsidP="000F7F8E">
            <w:pPr>
              <w:jc w:val="center"/>
              <w:rPr>
                <w:sz w:val="20"/>
                <w:szCs w:val="20"/>
              </w:rPr>
            </w:pPr>
            <w:r w:rsidRPr="000F7F8E">
              <w:rPr>
                <w:snapToGrid w:val="0"/>
                <w:sz w:val="20"/>
                <w:szCs w:val="20"/>
              </w:rPr>
              <w:t>USDHHS, 1997</w:t>
            </w:r>
          </w:p>
          <w:p w:rsidR="00A21467" w:rsidRPr="000F7F8E" w:rsidRDefault="00A21467" w:rsidP="000F7F8E">
            <w:pPr>
              <w:jc w:val="center"/>
              <w:rPr>
                <w:sz w:val="20"/>
                <w:szCs w:val="20"/>
              </w:rPr>
            </w:pPr>
          </w:p>
        </w:tc>
      </w:tr>
      <w:tr w:rsidR="00F7563C" w:rsidTr="00332034">
        <w:trPr>
          <w:trHeight w:val="665"/>
        </w:trPr>
        <w:tc>
          <w:tcPr>
            <w:tcW w:w="1458" w:type="dxa"/>
            <w:gridSpan w:val="2"/>
            <w:tcBorders>
              <w:top w:val="single" w:sz="6" w:space="0" w:color="auto"/>
            </w:tcBorders>
          </w:tcPr>
          <w:p w:rsidR="00F7563C" w:rsidRPr="000F7F8E" w:rsidRDefault="00F7563C" w:rsidP="000F7F8E">
            <w:pPr>
              <w:jc w:val="center"/>
              <w:rPr>
                <w:sz w:val="20"/>
                <w:szCs w:val="20"/>
              </w:rPr>
            </w:pPr>
            <w:r w:rsidRPr="000F7F8E">
              <w:rPr>
                <w:sz w:val="20"/>
                <w:szCs w:val="20"/>
              </w:rPr>
              <w:t>B6C3F1 mouse</w:t>
            </w:r>
          </w:p>
          <w:p w:rsidR="00F7563C" w:rsidRPr="000F7F8E" w:rsidRDefault="00F7563C" w:rsidP="000F7F8E">
            <w:pPr>
              <w:jc w:val="center"/>
              <w:rPr>
                <w:sz w:val="20"/>
                <w:szCs w:val="20"/>
              </w:rPr>
            </w:pPr>
            <w:r w:rsidRPr="000F7F8E">
              <w:rPr>
                <w:sz w:val="20"/>
                <w:szCs w:val="20"/>
              </w:rPr>
              <w:t>Inhalation</w:t>
            </w:r>
          </w:p>
          <w:p w:rsidR="00333FCA" w:rsidRPr="000F7F8E" w:rsidRDefault="00F7563C" w:rsidP="000F7F8E">
            <w:pPr>
              <w:jc w:val="center"/>
              <w:rPr>
                <w:sz w:val="20"/>
                <w:szCs w:val="20"/>
              </w:rPr>
            </w:pPr>
            <w:r w:rsidRPr="000F7F8E">
              <w:rPr>
                <w:sz w:val="20"/>
                <w:szCs w:val="20"/>
              </w:rPr>
              <w:t>13 wk</w:t>
            </w:r>
            <w:r w:rsidR="00150D36" w:rsidRPr="000F7F8E">
              <w:rPr>
                <w:sz w:val="20"/>
                <w:szCs w:val="20"/>
              </w:rPr>
              <w:t xml:space="preserve">; </w:t>
            </w:r>
            <w:r w:rsidRPr="000F7F8E">
              <w:rPr>
                <w:sz w:val="20"/>
                <w:szCs w:val="20"/>
              </w:rPr>
              <w:t>6 h/d</w:t>
            </w:r>
            <w:r w:rsidR="00150D36" w:rsidRPr="000F7F8E">
              <w:rPr>
                <w:sz w:val="20"/>
                <w:szCs w:val="20"/>
              </w:rPr>
              <w:t>;</w:t>
            </w:r>
          </w:p>
          <w:p w:rsidR="00F7563C" w:rsidRPr="000F7F8E" w:rsidRDefault="00F7563C" w:rsidP="000F7F8E">
            <w:pPr>
              <w:jc w:val="center"/>
              <w:rPr>
                <w:sz w:val="20"/>
                <w:szCs w:val="20"/>
              </w:rPr>
            </w:pPr>
            <w:r w:rsidRPr="000F7F8E">
              <w:rPr>
                <w:sz w:val="20"/>
                <w:szCs w:val="20"/>
              </w:rPr>
              <w:t>5 d/wk</w:t>
            </w:r>
          </w:p>
        </w:tc>
        <w:tc>
          <w:tcPr>
            <w:tcW w:w="1350" w:type="dxa"/>
            <w:tcBorders>
              <w:top w:val="single" w:sz="6" w:space="0" w:color="auto"/>
            </w:tcBorders>
          </w:tcPr>
          <w:p w:rsidR="00150D36" w:rsidRPr="000F7F8E" w:rsidRDefault="00F7563C" w:rsidP="000F7F8E">
            <w:pPr>
              <w:jc w:val="center"/>
              <w:rPr>
                <w:sz w:val="20"/>
                <w:szCs w:val="20"/>
              </w:rPr>
            </w:pPr>
            <w:r w:rsidRPr="000F7F8E">
              <w:rPr>
                <w:sz w:val="20"/>
                <w:szCs w:val="20"/>
              </w:rPr>
              <w:t>94 ppm</w:t>
            </w:r>
          </w:p>
          <w:p w:rsidR="00F7563C" w:rsidRPr="000F7F8E" w:rsidRDefault="00150D36" w:rsidP="000F7F8E">
            <w:pPr>
              <w:jc w:val="center"/>
              <w:rPr>
                <w:sz w:val="20"/>
                <w:szCs w:val="20"/>
              </w:rPr>
            </w:pPr>
            <w:r w:rsidRPr="000F7F8E">
              <w:rPr>
                <w:sz w:val="20"/>
                <w:szCs w:val="20"/>
              </w:rPr>
              <w:t>[NOAEC</w:t>
            </w:r>
            <w:r w:rsidR="00D41789" w:rsidRPr="000F7F8E">
              <w:rPr>
                <w:sz w:val="20"/>
                <w:szCs w:val="20"/>
                <w:vertAlign w:val="subscript"/>
              </w:rPr>
              <w:t>local</w:t>
            </w:r>
            <w:r w:rsidRPr="000F7F8E">
              <w:rPr>
                <w:sz w:val="20"/>
                <w:szCs w:val="20"/>
              </w:rPr>
              <w:t>]</w:t>
            </w:r>
          </w:p>
          <w:p w:rsidR="00150D36" w:rsidRPr="000F7F8E" w:rsidRDefault="00150D36" w:rsidP="000F7F8E">
            <w:pPr>
              <w:jc w:val="center"/>
              <w:rPr>
                <w:sz w:val="20"/>
                <w:szCs w:val="20"/>
              </w:rPr>
            </w:pPr>
          </w:p>
          <w:p w:rsidR="00F7563C" w:rsidRPr="000F7F8E" w:rsidRDefault="00F7563C" w:rsidP="000F7F8E">
            <w:pPr>
              <w:jc w:val="center"/>
              <w:rPr>
                <w:sz w:val="20"/>
                <w:szCs w:val="20"/>
              </w:rPr>
            </w:pPr>
            <w:r w:rsidRPr="000F7F8E">
              <w:rPr>
                <w:sz w:val="20"/>
                <w:szCs w:val="20"/>
              </w:rPr>
              <w:t>188 ppm</w:t>
            </w:r>
          </w:p>
          <w:p w:rsidR="00150D36" w:rsidRPr="000F7F8E" w:rsidRDefault="00150D36" w:rsidP="000F7F8E">
            <w:pPr>
              <w:jc w:val="center"/>
              <w:rPr>
                <w:sz w:val="20"/>
                <w:szCs w:val="20"/>
              </w:rPr>
            </w:pPr>
            <w:r w:rsidRPr="000F7F8E">
              <w:rPr>
                <w:sz w:val="20"/>
                <w:szCs w:val="20"/>
              </w:rPr>
              <w:t>[LOAEC</w:t>
            </w:r>
            <w:r w:rsidR="00D41789" w:rsidRPr="000F7F8E">
              <w:rPr>
                <w:sz w:val="20"/>
                <w:szCs w:val="20"/>
                <w:vertAlign w:val="subscript"/>
              </w:rPr>
              <w:t>loc</w:t>
            </w:r>
            <w:r w:rsidRPr="000F7F8E">
              <w:rPr>
                <w:sz w:val="20"/>
                <w:szCs w:val="20"/>
                <w:vertAlign w:val="subscript"/>
              </w:rPr>
              <w:t xml:space="preserve">al </w:t>
            </w:r>
            <w:r w:rsidRPr="000F7F8E">
              <w:rPr>
                <w:sz w:val="20"/>
                <w:szCs w:val="20"/>
              </w:rPr>
              <w:t>NOAEC</w:t>
            </w:r>
            <w:r w:rsidR="00D41789" w:rsidRPr="000F7F8E">
              <w:rPr>
                <w:sz w:val="20"/>
                <w:szCs w:val="20"/>
                <w:vertAlign w:val="subscript"/>
              </w:rPr>
              <w:t>sys</w:t>
            </w:r>
            <w:r w:rsidRPr="000F7F8E">
              <w:rPr>
                <w:sz w:val="20"/>
                <w:szCs w:val="20"/>
              </w:rPr>
              <w:t>]</w:t>
            </w:r>
          </w:p>
          <w:p w:rsidR="00F7563C" w:rsidRPr="000F7F8E" w:rsidRDefault="00F7563C" w:rsidP="000F7F8E">
            <w:pPr>
              <w:jc w:val="center"/>
              <w:rPr>
                <w:sz w:val="20"/>
                <w:szCs w:val="20"/>
              </w:rPr>
            </w:pPr>
            <w:r w:rsidRPr="000F7F8E">
              <w:rPr>
                <w:sz w:val="20"/>
                <w:szCs w:val="20"/>
              </w:rPr>
              <w:t>375 ppm</w:t>
            </w:r>
          </w:p>
          <w:p w:rsidR="00150D36" w:rsidRPr="000F7F8E" w:rsidRDefault="00150D36" w:rsidP="000F7F8E">
            <w:pPr>
              <w:jc w:val="center"/>
              <w:rPr>
                <w:sz w:val="20"/>
                <w:szCs w:val="20"/>
              </w:rPr>
            </w:pPr>
            <w:r w:rsidRPr="000F7F8E">
              <w:rPr>
                <w:sz w:val="20"/>
                <w:szCs w:val="20"/>
              </w:rPr>
              <w:t>[LOAEC</w:t>
            </w:r>
            <w:r w:rsidR="00D41789" w:rsidRPr="000F7F8E">
              <w:rPr>
                <w:sz w:val="20"/>
                <w:szCs w:val="20"/>
                <w:vertAlign w:val="subscript"/>
              </w:rPr>
              <w:t>sys</w:t>
            </w:r>
            <w:r w:rsidRPr="000F7F8E">
              <w:rPr>
                <w:sz w:val="20"/>
                <w:szCs w:val="20"/>
              </w:rPr>
              <w:t>]</w:t>
            </w:r>
          </w:p>
          <w:p w:rsidR="00150D36" w:rsidRPr="000F7F8E" w:rsidRDefault="00150D36" w:rsidP="000F7F8E">
            <w:pPr>
              <w:jc w:val="center"/>
              <w:rPr>
                <w:sz w:val="20"/>
                <w:szCs w:val="20"/>
              </w:rPr>
            </w:pPr>
          </w:p>
          <w:p w:rsidR="00150D36" w:rsidRPr="000F7F8E" w:rsidRDefault="00150D36" w:rsidP="000F7F8E">
            <w:pPr>
              <w:jc w:val="center"/>
              <w:rPr>
                <w:sz w:val="20"/>
                <w:szCs w:val="20"/>
              </w:rPr>
            </w:pPr>
          </w:p>
          <w:p w:rsidR="00150D36" w:rsidRPr="000F7F8E" w:rsidRDefault="00150D36" w:rsidP="000F7F8E">
            <w:pPr>
              <w:jc w:val="center"/>
              <w:rPr>
                <w:sz w:val="20"/>
                <w:szCs w:val="20"/>
              </w:rPr>
            </w:pPr>
          </w:p>
          <w:p w:rsidR="00F7563C" w:rsidRPr="000F7F8E" w:rsidRDefault="00F7563C" w:rsidP="000F7F8E">
            <w:pPr>
              <w:jc w:val="center"/>
              <w:rPr>
                <w:sz w:val="20"/>
                <w:szCs w:val="20"/>
              </w:rPr>
            </w:pPr>
            <w:r w:rsidRPr="000F7F8E">
              <w:rPr>
                <w:sz w:val="20"/>
                <w:szCs w:val="20"/>
              </w:rPr>
              <w:t>750 ppm</w:t>
            </w:r>
          </w:p>
          <w:p w:rsidR="00150D36" w:rsidRPr="000F7F8E" w:rsidRDefault="00150D36" w:rsidP="000F7F8E">
            <w:pPr>
              <w:jc w:val="center"/>
              <w:rPr>
                <w:sz w:val="20"/>
                <w:szCs w:val="20"/>
              </w:rPr>
            </w:pPr>
          </w:p>
          <w:p w:rsidR="00150D36" w:rsidRPr="000F7F8E" w:rsidRDefault="00150D36" w:rsidP="000F7F8E">
            <w:pPr>
              <w:jc w:val="center"/>
              <w:rPr>
                <w:sz w:val="20"/>
                <w:szCs w:val="20"/>
              </w:rPr>
            </w:pPr>
          </w:p>
          <w:p w:rsidR="0010683D" w:rsidRPr="000F7F8E" w:rsidRDefault="0010683D" w:rsidP="000F7F8E">
            <w:pPr>
              <w:jc w:val="center"/>
              <w:rPr>
                <w:sz w:val="20"/>
                <w:szCs w:val="20"/>
              </w:rPr>
            </w:pPr>
          </w:p>
          <w:p w:rsidR="00F7563C" w:rsidRPr="000F7F8E" w:rsidRDefault="00F7563C" w:rsidP="000F7F8E">
            <w:pPr>
              <w:jc w:val="center"/>
              <w:rPr>
                <w:sz w:val="20"/>
                <w:szCs w:val="20"/>
              </w:rPr>
            </w:pPr>
            <w:r w:rsidRPr="000F7F8E">
              <w:rPr>
                <w:sz w:val="20"/>
                <w:szCs w:val="20"/>
              </w:rPr>
              <w:t>1500 ppm</w:t>
            </w:r>
          </w:p>
        </w:tc>
        <w:tc>
          <w:tcPr>
            <w:tcW w:w="2700" w:type="dxa"/>
            <w:tcBorders>
              <w:top w:val="single" w:sz="6" w:space="0" w:color="auto"/>
            </w:tcBorders>
          </w:tcPr>
          <w:p w:rsidR="00F7563C" w:rsidRPr="000F7F8E" w:rsidRDefault="00F7563C" w:rsidP="000F7F8E">
            <w:pPr>
              <w:jc w:val="center"/>
              <w:rPr>
                <w:sz w:val="20"/>
                <w:szCs w:val="20"/>
              </w:rPr>
            </w:pPr>
            <w:r w:rsidRPr="000F7F8E">
              <w:rPr>
                <w:sz w:val="20"/>
                <w:szCs w:val="20"/>
              </w:rPr>
              <w:sym w:font="Symbol" w:char="F0AD"/>
            </w:r>
            <w:r w:rsidRPr="000F7F8E">
              <w:rPr>
                <w:sz w:val="20"/>
                <w:szCs w:val="20"/>
              </w:rPr>
              <w:t xml:space="preserve">  kidney weight</w:t>
            </w:r>
          </w:p>
          <w:p w:rsidR="00150D36" w:rsidRPr="000F7F8E" w:rsidRDefault="00150D36" w:rsidP="000F7F8E">
            <w:pPr>
              <w:jc w:val="center"/>
              <w:rPr>
                <w:sz w:val="20"/>
                <w:szCs w:val="20"/>
              </w:rPr>
            </w:pPr>
          </w:p>
          <w:p w:rsidR="00150D36" w:rsidRPr="000F7F8E" w:rsidRDefault="00150D36" w:rsidP="000F7F8E">
            <w:pPr>
              <w:jc w:val="center"/>
              <w:rPr>
                <w:sz w:val="20"/>
                <w:szCs w:val="20"/>
              </w:rPr>
            </w:pPr>
          </w:p>
          <w:p w:rsidR="00150D36" w:rsidRPr="000F7F8E" w:rsidRDefault="00150D36" w:rsidP="000F7F8E">
            <w:pPr>
              <w:jc w:val="center"/>
              <w:rPr>
                <w:sz w:val="20"/>
                <w:szCs w:val="20"/>
              </w:rPr>
            </w:pPr>
          </w:p>
          <w:p w:rsidR="00F7563C" w:rsidRPr="000F7F8E" w:rsidRDefault="00F7563C" w:rsidP="000F7F8E">
            <w:pPr>
              <w:jc w:val="center"/>
              <w:rPr>
                <w:sz w:val="20"/>
                <w:szCs w:val="20"/>
              </w:rPr>
            </w:pPr>
            <w:r w:rsidRPr="000F7F8E">
              <w:rPr>
                <w:sz w:val="20"/>
                <w:szCs w:val="20"/>
              </w:rPr>
              <w:sym w:font="Symbol" w:char="F0AD"/>
            </w:r>
            <w:r w:rsidRPr="000F7F8E">
              <w:rPr>
                <w:sz w:val="20"/>
                <w:szCs w:val="20"/>
              </w:rPr>
              <w:t xml:space="preserve">  kidney weight</w:t>
            </w:r>
          </w:p>
          <w:p w:rsidR="00150D36" w:rsidRPr="000F7F8E" w:rsidRDefault="00150D36" w:rsidP="000F7F8E">
            <w:pPr>
              <w:jc w:val="center"/>
              <w:rPr>
                <w:sz w:val="20"/>
                <w:szCs w:val="20"/>
              </w:rPr>
            </w:pPr>
          </w:p>
          <w:p w:rsidR="00150D36" w:rsidRPr="000F7F8E" w:rsidRDefault="00150D36" w:rsidP="000F7F8E">
            <w:pPr>
              <w:jc w:val="center"/>
              <w:rPr>
                <w:sz w:val="20"/>
                <w:szCs w:val="20"/>
              </w:rPr>
            </w:pPr>
          </w:p>
          <w:p w:rsidR="007E7274" w:rsidRPr="000F7F8E" w:rsidRDefault="00D41789" w:rsidP="000F7F8E">
            <w:pPr>
              <w:jc w:val="center"/>
              <w:rPr>
                <w:sz w:val="20"/>
                <w:szCs w:val="20"/>
              </w:rPr>
            </w:pPr>
            <w:r w:rsidRPr="000F7F8E">
              <w:rPr>
                <w:sz w:val="20"/>
                <w:szCs w:val="20"/>
              </w:rPr>
              <w:sym w:font="Symbol" w:char="F0AD"/>
            </w:r>
            <w:r w:rsidRPr="000F7F8E">
              <w:rPr>
                <w:sz w:val="20"/>
                <w:szCs w:val="20"/>
              </w:rPr>
              <w:t xml:space="preserve"> bw</w:t>
            </w:r>
          </w:p>
          <w:p w:rsidR="00F7563C" w:rsidRPr="000F7F8E" w:rsidRDefault="00F7563C" w:rsidP="000F7F8E">
            <w:pPr>
              <w:jc w:val="center"/>
              <w:rPr>
                <w:sz w:val="20"/>
                <w:szCs w:val="20"/>
              </w:rPr>
            </w:pPr>
            <w:r w:rsidRPr="000F7F8E">
              <w:rPr>
                <w:sz w:val="20"/>
                <w:szCs w:val="20"/>
              </w:rPr>
              <w:sym w:font="Symbol" w:char="F0AD"/>
            </w:r>
            <w:r w:rsidRPr="000F7F8E">
              <w:rPr>
                <w:sz w:val="20"/>
                <w:szCs w:val="20"/>
              </w:rPr>
              <w:t xml:space="preserve">  kidney, heart</w:t>
            </w:r>
            <w:r w:rsidR="00150D36" w:rsidRPr="000F7F8E">
              <w:rPr>
                <w:sz w:val="20"/>
                <w:szCs w:val="20"/>
              </w:rPr>
              <w:t>, liver</w:t>
            </w:r>
            <w:r w:rsidR="007E7274" w:rsidRPr="000F7F8E">
              <w:rPr>
                <w:sz w:val="20"/>
                <w:szCs w:val="20"/>
              </w:rPr>
              <w:t xml:space="preserve"> </w:t>
            </w:r>
            <w:r w:rsidRPr="000F7F8E">
              <w:rPr>
                <w:sz w:val="20"/>
                <w:szCs w:val="20"/>
              </w:rPr>
              <w:t>weight</w:t>
            </w:r>
          </w:p>
          <w:p w:rsidR="00150D36" w:rsidRPr="000F7F8E" w:rsidRDefault="00150D36" w:rsidP="000F7F8E">
            <w:pPr>
              <w:jc w:val="center"/>
              <w:rPr>
                <w:sz w:val="20"/>
                <w:szCs w:val="20"/>
              </w:rPr>
            </w:pPr>
            <w:r w:rsidRPr="000F7F8E">
              <w:rPr>
                <w:sz w:val="20"/>
                <w:szCs w:val="20"/>
              </w:rPr>
              <w:t>↓sperm motility</w:t>
            </w:r>
          </w:p>
          <w:p w:rsidR="00150D36" w:rsidRPr="000F7F8E" w:rsidRDefault="00D41789" w:rsidP="000F7F8E">
            <w:pPr>
              <w:jc w:val="center"/>
              <w:rPr>
                <w:sz w:val="20"/>
                <w:szCs w:val="20"/>
              </w:rPr>
            </w:pPr>
            <w:r w:rsidRPr="000F7F8E">
              <w:rPr>
                <w:sz w:val="20"/>
                <w:szCs w:val="20"/>
              </w:rPr>
              <w:sym w:font="Symbol" w:char="F0AD"/>
            </w:r>
            <w:r w:rsidRPr="000F7F8E">
              <w:rPr>
                <w:sz w:val="20"/>
                <w:szCs w:val="20"/>
              </w:rPr>
              <w:t xml:space="preserve"> estrous cycle length</w:t>
            </w:r>
          </w:p>
          <w:p w:rsidR="00150D36" w:rsidRPr="000F7F8E" w:rsidRDefault="00150D36" w:rsidP="000F7F8E">
            <w:pPr>
              <w:jc w:val="center"/>
              <w:rPr>
                <w:sz w:val="20"/>
                <w:szCs w:val="20"/>
              </w:rPr>
            </w:pPr>
          </w:p>
          <w:p w:rsidR="00F7563C" w:rsidRPr="000F7F8E" w:rsidRDefault="00D41789" w:rsidP="000F7F8E">
            <w:pPr>
              <w:jc w:val="center"/>
              <w:rPr>
                <w:sz w:val="20"/>
                <w:szCs w:val="20"/>
              </w:rPr>
            </w:pPr>
            <w:r w:rsidRPr="000F7F8E">
              <w:rPr>
                <w:sz w:val="20"/>
                <w:szCs w:val="20"/>
              </w:rPr>
              <w:sym w:font="Symbol" w:char="F0AD"/>
            </w:r>
            <w:r w:rsidRPr="000F7F8E">
              <w:rPr>
                <w:sz w:val="20"/>
                <w:szCs w:val="20"/>
              </w:rPr>
              <w:t xml:space="preserve"> </w:t>
            </w:r>
            <w:r w:rsidR="00F7563C" w:rsidRPr="000F7F8E">
              <w:rPr>
                <w:sz w:val="20"/>
                <w:szCs w:val="20"/>
              </w:rPr>
              <w:t xml:space="preserve"> kidney, liver weight</w:t>
            </w:r>
          </w:p>
          <w:p w:rsidR="00150D36" w:rsidRPr="000F7F8E" w:rsidRDefault="00150D36" w:rsidP="000F7F8E">
            <w:pPr>
              <w:jc w:val="center"/>
              <w:rPr>
                <w:sz w:val="20"/>
                <w:szCs w:val="20"/>
              </w:rPr>
            </w:pPr>
            <w:r w:rsidRPr="000F7F8E">
              <w:rPr>
                <w:sz w:val="20"/>
                <w:szCs w:val="20"/>
              </w:rPr>
              <w:t>↓sperm motility</w:t>
            </w:r>
          </w:p>
          <w:p w:rsidR="00150D36" w:rsidRPr="000F7F8E" w:rsidRDefault="00D41789" w:rsidP="000F7F8E">
            <w:pPr>
              <w:jc w:val="center"/>
              <w:rPr>
                <w:sz w:val="20"/>
                <w:szCs w:val="20"/>
              </w:rPr>
            </w:pPr>
            <w:r w:rsidRPr="000F7F8E">
              <w:rPr>
                <w:sz w:val="20"/>
                <w:szCs w:val="20"/>
              </w:rPr>
              <w:sym w:font="Symbol" w:char="F0AD"/>
            </w:r>
            <w:r w:rsidRPr="000F7F8E">
              <w:rPr>
                <w:sz w:val="20"/>
                <w:szCs w:val="20"/>
              </w:rPr>
              <w:t xml:space="preserve"> estrous cycle length</w:t>
            </w:r>
          </w:p>
          <w:p w:rsidR="00150D36" w:rsidRPr="000F7F8E" w:rsidRDefault="00150D36" w:rsidP="000F7F8E">
            <w:pPr>
              <w:jc w:val="center"/>
              <w:rPr>
                <w:sz w:val="20"/>
                <w:szCs w:val="20"/>
              </w:rPr>
            </w:pPr>
          </w:p>
          <w:p w:rsidR="00F7563C" w:rsidRPr="000F7F8E" w:rsidRDefault="00D41789" w:rsidP="000F7F8E">
            <w:pPr>
              <w:jc w:val="center"/>
              <w:rPr>
                <w:sz w:val="20"/>
                <w:szCs w:val="20"/>
              </w:rPr>
            </w:pPr>
            <w:r w:rsidRPr="000F7F8E">
              <w:rPr>
                <w:sz w:val="20"/>
                <w:szCs w:val="20"/>
              </w:rPr>
              <w:sym w:font="Symbol" w:char="F0AD"/>
            </w:r>
            <w:r w:rsidRPr="000F7F8E">
              <w:rPr>
                <w:sz w:val="20"/>
                <w:szCs w:val="20"/>
              </w:rPr>
              <w:t xml:space="preserve"> </w:t>
            </w:r>
            <w:r w:rsidR="00F7563C" w:rsidRPr="000F7F8E">
              <w:rPr>
                <w:sz w:val="20"/>
                <w:szCs w:val="20"/>
              </w:rPr>
              <w:t xml:space="preserve"> kidney, liver weight</w:t>
            </w:r>
          </w:p>
          <w:p w:rsidR="00150D36" w:rsidRPr="000F7F8E" w:rsidRDefault="00150D36" w:rsidP="000F7F8E">
            <w:pPr>
              <w:jc w:val="center"/>
              <w:rPr>
                <w:sz w:val="20"/>
                <w:szCs w:val="20"/>
              </w:rPr>
            </w:pPr>
            <w:r w:rsidRPr="000F7F8E">
              <w:rPr>
                <w:sz w:val="20"/>
                <w:szCs w:val="20"/>
              </w:rPr>
              <w:t>↓sperm motility</w:t>
            </w:r>
          </w:p>
          <w:p w:rsidR="00150D36" w:rsidRPr="000F7F8E" w:rsidRDefault="00D41789" w:rsidP="000F7F8E">
            <w:pPr>
              <w:jc w:val="center"/>
              <w:rPr>
                <w:sz w:val="20"/>
                <w:szCs w:val="20"/>
              </w:rPr>
            </w:pPr>
            <w:r w:rsidRPr="000F7F8E">
              <w:rPr>
                <w:sz w:val="20"/>
                <w:szCs w:val="20"/>
              </w:rPr>
              <w:sym w:font="Symbol" w:char="F0AD"/>
            </w:r>
            <w:r w:rsidRPr="000F7F8E">
              <w:rPr>
                <w:sz w:val="20"/>
                <w:szCs w:val="20"/>
              </w:rPr>
              <w:t xml:space="preserve"> estrous cycle length</w:t>
            </w:r>
          </w:p>
          <w:p w:rsidR="00F7563C" w:rsidRPr="000F7F8E" w:rsidRDefault="00F7563C" w:rsidP="000F7F8E">
            <w:pPr>
              <w:jc w:val="center"/>
              <w:rPr>
                <w:sz w:val="20"/>
                <w:szCs w:val="20"/>
              </w:rPr>
            </w:pPr>
          </w:p>
        </w:tc>
        <w:tc>
          <w:tcPr>
            <w:tcW w:w="2610" w:type="dxa"/>
            <w:tcBorders>
              <w:top w:val="single" w:sz="6" w:space="0" w:color="auto"/>
            </w:tcBorders>
          </w:tcPr>
          <w:p w:rsidR="00150D36" w:rsidRPr="000F7F8E" w:rsidRDefault="00F719FD" w:rsidP="000F7F8E">
            <w:pPr>
              <w:jc w:val="center"/>
              <w:rPr>
                <w:sz w:val="20"/>
                <w:szCs w:val="20"/>
                <w:lang w:val="es-ES"/>
              </w:rPr>
            </w:pPr>
            <w:r w:rsidRPr="000F7F8E">
              <w:rPr>
                <w:sz w:val="20"/>
                <w:szCs w:val="20"/>
                <w:lang w:val="es-ES"/>
              </w:rPr>
              <w:t>none</w:t>
            </w:r>
          </w:p>
          <w:p w:rsidR="00150D36" w:rsidRPr="000F7F8E" w:rsidRDefault="00150D36" w:rsidP="000F7F8E">
            <w:pPr>
              <w:jc w:val="center"/>
              <w:rPr>
                <w:sz w:val="20"/>
                <w:szCs w:val="20"/>
                <w:lang w:val="es-ES"/>
              </w:rPr>
            </w:pPr>
          </w:p>
          <w:p w:rsidR="00150D36" w:rsidRPr="000F7F8E" w:rsidRDefault="00150D36" w:rsidP="000F7F8E">
            <w:pPr>
              <w:jc w:val="center"/>
              <w:rPr>
                <w:sz w:val="20"/>
                <w:szCs w:val="20"/>
                <w:lang w:val="es-ES"/>
              </w:rPr>
            </w:pPr>
          </w:p>
          <w:p w:rsidR="0010683D" w:rsidRPr="000F7F8E" w:rsidRDefault="0010683D" w:rsidP="000F7F8E">
            <w:pPr>
              <w:jc w:val="center"/>
              <w:rPr>
                <w:sz w:val="20"/>
                <w:szCs w:val="20"/>
                <w:lang w:val="es-ES"/>
              </w:rPr>
            </w:pPr>
          </w:p>
          <w:p w:rsidR="00F7563C" w:rsidRPr="000F7F8E" w:rsidRDefault="00F7563C" w:rsidP="000F7F8E">
            <w:pPr>
              <w:jc w:val="center"/>
              <w:rPr>
                <w:sz w:val="20"/>
                <w:szCs w:val="20"/>
                <w:lang w:val="es-ES"/>
              </w:rPr>
            </w:pPr>
            <w:r w:rsidRPr="000F7F8E">
              <w:rPr>
                <w:sz w:val="20"/>
                <w:szCs w:val="20"/>
                <w:lang w:val="es-ES"/>
              </w:rPr>
              <w:t xml:space="preserve">nasal </w:t>
            </w:r>
            <w:r w:rsidR="0010683D" w:rsidRPr="000F7F8E">
              <w:rPr>
                <w:sz w:val="20"/>
                <w:szCs w:val="20"/>
                <w:lang w:val="es-ES"/>
              </w:rPr>
              <w:t>tissues</w:t>
            </w:r>
          </w:p>
          <w:p w:rsidR="00150D36" w:rsidRPr="000F7F8E" w:rsidRDefault="00150D36" w:rsidP="000F7F8E">
            <w:pPr>
              <w:jc w:val="center"/>
              <w:rPr>
                <w:sz w:val="20"/>
                <w:szCs w:val="20"/>
                <w:lang w:val="es-ES"/>
              </w:rPr>
            </w:pPr>
          </w:p>
          <w:p w:rsidR="00150D36" w:rsidRPr="000F7F8E" w:rsidRDefault="00150D36" w:rsidP="000F7F8E">
            <w:pPr>
              <w:jc w:val="center"/>
              <w:rPr>
                <w:sz w:val="20"/>
                <w:szCs w:val="20"/>
                <w:lang w:val="es-ES"/>
              </w:rPr>
            </w:pPr>
          </w:p>
          <w:p w:rsidR="00F7563C" w:rsidRPr="000F7F8E" w:rsidRDefault="00F7563C" w:rsidP="000F7F8E">
            <w:pPr>
              <w:jc w:val="center"/>
              <w:rPr>
                <w:sz w:val="20"/>
                <w:szCs w:val="20"/>
                <w:lang w:val="es-ES"/>
              </w:rPr>
            </w:pPr>
            <w:r w:rsidRPr="000F7F8E">
              <w:rPr>
                <w:sz w:val="20"/>
                <w:szCs w:val="20"/>
                <w:lang w:val="es-ES"/>
              </w:rPr>
              <w:t xml:space="preserve">nasal </w:t>
            </w:r>
            <w:r w:rsidR="0010683D" w:rsidRPr="000F7F8E">
              <w:rPr>
                <w:sz w:val="20"/>
                <w:szCs w:val="20"/>
                <w:lang w:val="es-ES"/>
              </w:rPr>
              <w:t>tissues</w:t>
            </w:r>
            <w:r w:rsidRPr="000F7F8E">
              <w:rPr>
                <w:sz w:val="20"/>
                <w:szCs w:val="20"/>
                <w:lang w:val="es-ES"/>
              </w:rPr>
              <w:t>, spleen</w:t>
            </w:r>
          </w:p>
          <w:p w:rsidR="00150D36" w:rsidRPr="000F7F8E" w:rsidRDefault="00150D36" w:rsidP="000F7F8E">
            <w:pPr>
              <w:jc w:val="center"/>
              <w:rPr>
                <w:sz w:val="20"/>
                <w:szCs w:val="20"/>
                <w:lang w:val="es-ES"/>
              </w:rPr>
            </w:pPr>
          </w:p>
          <w:p w:rsidR="007E7274" w:rsidRPr="000F7F8E" w:rsidRDefault="007E7274" w:rsidP="000F7F8E">
            <w:pPr>
              <w:jc w:val="center"/>
              <w:rPr>
                <w:sz w:val="20"/>
                <w:szCs w:val="20"/>
                <w:lang w:val="es-ES"/>
              </w:rPr>
            </w:pPr>
          </w:p>
          <w:p w:rsidR="007E7274" w:rsidRPr="000F7F8E" w:rsidRDefault="007E7274" w:rsidP="000F7F8E">
            <w:pPr>
              <w:jc w:val="center"/>
              <w:rPr>
                <w:sz w:val="20"/>
                <w:szCs w:val="20"/>
                <w:lang w:val="es-ES"/>
              </w:rPr>
            </w:pPr>
          </w:p>
          <w:p w:rsidR="00F7563C" w:rsidRPr="000F7F8E" w:rsidRDefault="00F7563C" w:rsidP="000F7F8E">
            <w:pPr>
              <w:jc w:val="center"/>
              <w:rPr>
                <w:sz w:val="20"/>
                <w:szCs w:val="20"/>
                <w:lang w:val="es-ES"/>
              </w:rPr>
            </w:pPr>
            <w:r w:rsidRPr="000F7F8E">
              <w:rPr>
                <w:sz w:val="20"/>
                <w:szCs w:val="20"/>
                <w:lang w:val="es-ES"/>
              </w:rPr>
              <w:t xml:space="preserve">nasal </w:t>
            </w:r>
            <w:r w:rsidR="0010683D" w:rsidRPr="000F7F8E">
              <w:rPr>
                <w:sz w:val="20"/>
                <w:szCs w:val="20"/>
                <w:lang w:val="es-ES"/>
              </w:rPr>
              <w:t>tissues</w:t>
            </w:r>
            <w:r w:rsidRPr="000F7F8E">
              <w:rPr>
                <w:sz w:val="20"/>
                <w:szCs w:val="20"/>
                <w:lang w:val="es-ES"/>
              </w:rPr>
              <w:t>, spleen</w:t>
            </w:r>
          </w:p>
          <w:p w:rsidR="007E7274" w:rsidRPr="000F7F8E" w:rsidRDefault="007E7274" w:rsidP="000F7F8E">
            <w:pPr>
              <w:jc w:val="center"/>
              <w:rPr>
                <w:sz w:val="20"/>
                <w:szCs w:val="20"/>
                <w:lang w:val="es-ES"/>
              </w:rPr>
            </w:pPr>
          </w:p>
          <w:p w:rsidR="007E7274" w:rsidRPr="000F7F8E" w:rsidRDefault="007E7274" w:rsidP="000F7F8E">
            <w:pPr>
              <w:jc w:val="center"/>
              <w:rPr>
                <w:sz w:val="20"/>
                <w:szCs w:val="20"/>
                <w:lang w:val="es-ES"/>
              </w:rPr>
            </w:pPr>
          </w:p>
          <w:p w:rsidR="007E7274" w:rsidRPr="000F7F8E" w:rsidRDefault="007E7274" w:rsidP="000F7F8E">
            <w:pPr>
              <w:jc w:val="center"/>
              <w:rPr>
                <w:sz w:val="20"/>
                <w:szCs w:val="20"/>
                <w:lang w:val="es-ES"/>
              </w:rPr>
            </w:pPr>
          </w:p>
          <w:p w:rsidR="00150D36" w:rsidRPr="000F7F8E" w:rsidRDefault="00150D36" w:rsidP="000F7F8E">
            <w:pPr>
              <w:jc w:val="center"/>
              <w:rPr>
                <w:sz w:val="20"/>
                <w:szCs w:val="20"/>
              </w:rPr>
            </w:pPr>
            <w:r w:rsidRPr="000F7F8E">
              <w:rPr>
                <w:sz w:val="20"/>
                <w:szCs w:val="20"/>
                <w:lang w:val="es-ES"/>
              </w:rPr>
              <w:t xml:space="preserve">nasal </w:t>
            </w:r>
            <w:r w:rsidR="0010683D" w:rsidRPr="000F7F8E">
              <w:rPr>
                <w:sz w:val="20"/>
                <w:szCs w:val="20"/>
                <w:lang w:val="es-ES"/>
              </w:rPr>
              <w:t>tissues</w:t>
            </w:r>
            <w:r w:rsidRPr="000F7F8E">
              <w:rPr>
                <w:sz w:val="20"/>
                <w:szCs w:val="20"/>
                <w:lang w:val="es-ES"/>
              </w:rPr>
              <w:t>, spleen</w:t>
            </w:r>
          </w:p>
        </w:tc>
        <w:tc>
          <w:tcPr>
            <w:tcW w:w="3690" w:type="dxa"/>
            <w:tcBorders>
              <w:top w:val="single" w:sz="6" w:space="0" w:color="auto"/>
            </w:tcBorders>
          </w:tcPr>
          <w:p w:rsidR="00F7563C" w:rsidRPr="000F7F8E" w:rsidRDefault="00F7563C" w:rsidP="000F7F8E">
            <w:pPr>
              <w:jc w:val="center"/>
              <w:rPr>
                <w:sz w:val="20"/>
                <w:szCs w:val="20"/>
              </w:rPr>
            </w:pPr>
            <w:r w:rsidRPr="000F7F8E">
              <w:rPr>
                <w:sz w:val="20"/>
                <w:szCs w:val="20"/>
              </w:rPr>
              <w:t>not determined</w:t>
            </w:r>
          </w:p>
          <w:p w:rsidR="00150D36" w:rsidRPr="000F7F8E" w:rsidRDefault="00150D36" w:rsidP="000F7F8E">
            <w:pPr>
              <w:jc w:val="center"/>
              <w:rPr>
                <w:sz w:val="20"/>
                <w:szCs w:val="20"/>
              </w:rPr>
            </w:pPr>
          </w:p>
          <w:p w:rsidR="00150D36" w:rsidRPr="000F7F8E" w:rsidRDefault="00150D36" w:rsidP="000F7F8E">
            <w:pPr>
              <w:jc w:val="center"/>
              <w:rPr>
                <w:sz w:val="20"/>
                <w:szCs w:val="20"/>
              </w:rPr>
            </w:pPr>
          </w:p>
          <w:p w:rsidR="0010683D" w:rsidRPr="000F7F8E" w:rsidRDefault="0010683D" w:rsidP="000F7F8E">
            <w:pPr>
              <w:jc w:val="center"/>
              <w:rPr>
                <w:sz w:val="20"/>
                <w:szCs w:val="20"/>
              </w:rPr>
            </w:pPr>
          </w:p>
          <w:p w:rsidR="00F7563C" w:rsidRPr="000F7F8E" w:rsidRDefault="00F7563C" w:rsidP="000F7F8E">
            <w:pPr>
              <w:jc w:val="center"/>
              <w:rPr>
                <w:sz w:val="20"/>
                <w:szCs w:val="20"/>
              </w:rPr>
            </w:pPr>
            <w:r w:rsidRPr="000F7F8E">
              <w:rPr>
                <w:sz w:val="20"/>
                <w:szCs w:val="20"/>
              </w:rPr>
              <w:t>not determined</w:t>
            </w:r>
          </w:p>
          <w:p w:rsidR="00150D36" w:rsidRPr="000F7F8E" w:rsidRDefault="00150D36" w:rsidP="000F7F8E">
            <w:pPr>
              <w:jc w:val="center"/>
              <w:rPr>
                <w:sz w:val="20"/>
                <w:szCs w:val="20"/>
              </w:rPr>
            </w:pPr>
          </w:p>
          <w:p w:rsidR="00150D36" w:rsidRPr="000F7F8E" w:rsidRDefault="00150D36" w:rsidP="000F7F8E">
            <w:pPr>
              <w:jc w:val="center"/>
              <w:rPr>
                <w:sz w:val="20"/>
                <w:szCs w:val="20"/>
              </w:rPr>
            </w:pPr>
          </w:p>
          <w:p w:rsidR="00F7563C" w:rsidRPr="000F7F8E" w:rsidRDefault="00F7563C" w:rsidP="000F7F8E">
            <w:pPr>
              <w:jc w:val="center"/>
              <w:rPr>
                <w:sz w:val="20"/>
                <w:szCs w:val="20"/>
              </w:rPr>
            </w:pPr>
            <w:r w:rsidRPr="000F7F8E">
              <w:rPr>
                <w:sz w:val="20"/>
                <w:szCs w:val="20"/>
              </w:rPr>
              <w:t>not determined</w:t>
            </w:r>
          </w:p>
          <w:p w:rsidR="007E7274" w:rsidRPr="000F7F8E" w:rsidRDefault="007E7274" w:rsidP="000F7F8E">
            <w:pPr>
              <w:jc w:val="center"/>
              <w:rPr>
                <w:sz w:val="20"/>
                <w:szCs w:val="20"/>
              </w:rPr>
            </w:pPr>
          </w:p>
          <w:p w:rsidR="007E7274" w:rsidRPr="000F7F8E" w:rsidRDefault="007E7274" w:rsidP="000F7F8E">
            <w:pPr>
              <w:jc w:val="center"/>
              <w:rPr>
                <w:sz w:val="20"/>
                <w:szCs w:val="20"/>
              </w:rPr>
            </w:pPr>
          </w:p>
          <w:p w:rsidR="007E7274" w:rsidRPr="000F7F8E" w:rsidRDefault="007E7274" w:rsidP="000F7F8E">
            <w:pPr>
              <w:jc w:val="center"/>
              <w:rPr>
                <w:sz w:val="20"/>
                <w:szCs w:val="20"/>
              </w:rPr>
            </w:pPr>
          </w:p>
          <w:p w:rsidR="00F7563C" w:rsidRPr="000F7F8E" w:rsidRDefault="00F7563C" w:rsidP="000F7F8E">
            <w:pPr>
              <w:jc w:val="center"/>
              <w:rPr>
                <w:sz w:val="20"/>
                <w:szCs w:val="20"/>
              </w:rPr>
            </w:pPr>
            <w:r w:rsidRPr="000F7F8E">
              <w:rPr>
                <w:sz w:val="20"/>
                <w:szCs w:val="20"/>
              </w:rPr>
              <w:t>not determined</w:t>
            </w:r>
          </w:p>
          <w:p w:rsidR="007E7274" w:rsidRPr="000F7F8E" w:rsidRDefault="007E7274" w:rsidP="000F7F8E">
            <w:pPr>
              <w:jc w:val="center"/>
              <w:rPr>
                <w:sz w:val="20"/>
                <w:szCs w:val="20"/>
              </w:rPr>
            </w:pPr>
          </w:p>
          <w:p w:rsidR="007E7274" w:rsidRPr="000F7F8E" w:rsidRDefault="007E7274" w:rsidP="000F7F8E">
            <w:pPr>
              <w:jc w:val="center"/>
              <w:rPr>
                <w:sz w:val="20"/>
                <w:szCs w:val="20"/>
              </w:rPr>
            </w:pPr>
          </w:p>
          <w:p w:rsidR="007E7274" w:rsidRPr="000F7F8E" w:rsidRDefault="007E7274" w:rsidP="000F7F8E">
            <w:pPr>
              <w:jc w:val="center"/>
              <w:rPr>
                <w:sz w:val="20"/>
                <w:szCs w:val="20"/>
              </w:rPr>
            </w:pPr>
          </w:p>
          <w:p w:rsidR="00F7563C" w:rsidRPr="000F7F8E" w:rsidRDefault="00F7563C" w:rsidP="000F7F8E">
            <w:pPr>
              <w:jc w:val="center"/>
              <w:rPr>
                <w:sz w:val="20"/>
                <w:szCs w:val="20"/>
              </w:rPr>
            </w:pPr>
            <w:r w:rsidRPr="000F7F8E">
              <w:rPr>
                <w:sz w:val="20"/>
                <w:szCs w:val="20"/>
              </w:rPr>
              <w:t>not determined</w:t>
            </w:r>
          </w:p>
          <w:p w:rsidR="00F7563C" w:rsidRPr="000F7F8E" w:rsidRDefault="00F7563C" w:rsidP="000F7F8E">
            <w:pPr>
              <w:jc w:val="center"/>
              <w:rPr>
                <w:sz w:val="20"/>
                <w:szCs w:val="20"/>
              </w:rPr>
            </w:pPr>
          </w:p>
          <w:p w:rsidR="00F7563C" w:rsidRPr="000F7F8E" w:rsidRDefault="00F7563C" w:rsidP="000F7F8E">
            <w:pPr>
              <w:jc w:val="center"/>
              <w:rPr>
                <w:sz w:val="20"/>
                <w:szCs w:val="20"/>
              </w:rPr>
            </w:pPr>
          </w:p>
        </w:tc>
        <w:tc>
          <w:tcPr>
            <w:tcW w:w="2250" w:type="dxa"/>
            <w:tcBorders>
              <w:top w:val="single" w:sz="6" w:space="0" w:color="auto"/>
            </w:tcBorders>
          </w:tcPr>
          <w:p w:rsidR="00DE2FF9" w:rsidRPr="000F7F8E" w:rsidRDefault="00DE2FF9" w:rsidP="000F7F8E">
            <w:pPr>
              <w:jc w:val="center"/>
              <w:rPr>
                <w:sz w:val="20"/>
                <w:szCs w:val="20"/>
              </w:rPr>
            </w:pPr>
          </w:p>
          <w:p w:rsidR="00F7563C" w:rsidRPr="000F7F8E" w:rsidRDefault="00F7563C" w:rsidP="000F7F8E">
            <w:pPr>
              <w:jc w:val="center"/>
              <w:rPr>
                <w:sz w:val="20"/>
                <w:szCs w:val="20"/>
              </w:rPr>
            </w:pPr>
            <w:r w:rsidRPr="000F7F8E">
              <w:rPr>
                <w:sz w:val="20"/>
                <w:szCs w:val="20"/>
              </w:rPr>
              <w:t>USDHSS, 1997</w:t>
            </w:r>
          </w:p>
        </w:tc>
      </w:tr>
      <w:tr w:rsidR="00F7563C" w:rsidTr="00332034">
        <w:trPr>
          <w:trHeight w:val="665"/>
        </w:trPr>
        <w:tc>
          <w:tcPr>
            <w:tcW w:w="1458" w:type="dxa"/>
            <w:gridSpan w:val="2"/>
            <w:tcBorders>
              <w:bottom w:val="single" w:sz="6" w:space="0" w:color="auto"/>
            </w:tcBorders>
          </w:tcPr>
          <w:p w:rsidR="00F7563C" w:rsidRPr="000F7F8E" w:rsidRDefault="00F7563C" w:rsidP="000F7F8E">
            <w:pPr>
              <w:jc w:val="center"/>
              <w:rPr>
                <w:sz w:val="20"/>
                <w:szCs w:val="20"/>
              </w:rPr>
            </w:pPr>
            <w:r w:rsidRPr="000F7F8E">
              <w:rPr>
                <w:sz w:val="20"/>
                <w:szCs w:val="20"/>
              </w:rPr>
              <w:t>SD rat</w:t>
            </w:r>
          </w:p>
          <w:p w:rsidR="00F7563C" w:rsidRPr="000F7F8E" w:rsidRDefault="00F7563C" w:rsidP="000F7F8E">
            <w:pPr>
              <w:jc w:val="center"/>
              <w:rPr>
                <w:sz w:val="20"/>
                <w:szCs w:val="20"/>
              </w:rPr>
            </w:pPr>
            <w:r w:rsidRPr="000F7F8E">
              <w:rPr>
                <w:sz w:val="20"/>
                <w:szCs w:val="20"/>
              </w:rPr>
              <w:t>Inhalation</w:t>
            </w:r>
          </w:p>
          <w:p w:rsidR="00F7563C" w:rsidRPr="000F7F8E" w:rsidRDefault="00D41789" w:rsidP="000F7F8E">
            <w:pPr>
              <w:jc w:val="center"/>
              <w:rPr>
                <w:sz w:val="20"/>
                <w:szCs w:val="20"/>
              </w:rPr>
            </w:pPr>
            <w:r w:rsidRPr="000F7F8E">
              <w:rPr>
                <w:sz w:val="20"/>
                <w:szCs w:val="20"/>
                <w:u w:val="single"/>
              </w:rPr>
              <w:t>&lt;</w:t>
            </w:r>
            <w:r w:rsidR="00150D36" w:rsidRPr="000F7F8E">
              <w:rPr>
                <w:sz w:val="20"/>
                <w:szCs w:val="20"/>
              </w:rPr>
              <w:t xml:space="preserve"> 24 wk; </w:t>
            </w:r>
            <w:r w:rsidR="00F7563C" w:rsidRPr="000F7F8E">
              <w:rPr>
                <w:sz w:val="20"/>
                <w:szCs w:val="20"/>
              </w:rPr>
              <w:t>7 h/d</w:t>
            </w:r>
            <w:r w:rsidR="00150D36" w:rsidRPr="000F7F8E">
              <w:rPr>
                <w:sz w:val="20"/>
                <w:szCs w:val="20"/>
              </w:rPr>
              <w:t>;</w:t>
            </w:r>
            <w:r w:rsidR="00F7563C" w:rsidRPr="000F7F8E">
              <w:rPr>
                <w:sz w:val="20"/>
                <w:szCs w:val="20"/>
              </w:rPr>
              <w:t>5 d/wk</w:t>
            </w:r>
          </w:p>
        </w:tc>
        <w:tc>
          <w:tcPr>
            <w:tcW w:w="1350" w:type="dxa"/>
            <w:tcBorders>
              <w:bottom w:val="single" w:sz="6" w:space="0" w:color="auto"/>
            </w:tcBorders>
          </w:tcPr>
          <w:p w:rsidR="00F7563C" w:rsidRPr="000F7F8E" w:rsidRDefault="00F7563C" w:rsidP="000F7F8E">
            <w:pPr>
              <w:jc w:val="center"/>
              <w:rPr>
                <w:sz w:val="20"/>
                <w:szCs w:val="20"/>
              </w:rPr>
            </w:pPr>
            <w:r w:rsidRPr="000F7F8E">
              <w:rPr>
                <w:sz w:val="20"/>
                <w:szCs w:val="20"/>
              </w:rPr>
              <w:t>98 ppm</w:t>
            </w:r>
          </w:p>
          <w:p w:rsidR="007E7274" w:rsidRPr="000F7F8E" w:rsidRDefault="007E7274" w:rsidP="000F7F8E">
            <w:pPr>
              <w:jc w:val="center"/>
              <w:rPr>
                <w:sz w:val="20"/>
                <w:szCs w:val="20"/>
              </w:rPr>
            </w:pPr>
            <w:r w:rsidRPr="000F7F8E">
              <w:rPr>
                <w:sz w:val="20"/>
                <w:szCs w:val="20"/>
              </w:rPr>
              <w:t>[NOAEC</w:t>
            </w:r>
            <w:r w:rsidRPr="000F7F8E">
              <w:rPr>
                <w:sz w:val="20"/>
                <w:szCs w:val="20"/>
                <w:vertAlign w:val="subscript"/>
              </w:rPr>
              <w:t>sys</w:t>
            </w:r>
            <w:r w:rsidR="00D41789" w:rsidRPr="000F7F8E">
              <w:rPr>
                <w:sz w:val="20"/>
                <w:szCs w:val="20"/>
              </w:rPr>
              <w:t>]</w:t>
            </w:r>
          </w:p>
          <w:p w:rsidR="007E7274" w:rsidRPr="000F7F8E" w:rsidRDefault="007E7274" w:rsidP="000F7F8E">
            <w:pPr>
              <w:jc w:val="center"/>
              <w:rPr>
                <w:sz w:val="20"/>
                <w:szCs w:val="20"/>
              </w:rPr>
            </w:pPr>
          </w:p>
          <w:p w:rsidR="00F7563C" w:rsidRPr="000F7F8E" w:rsidRDefault="00F7563C" w:rsidP="000F7F8E">
            <w:pPr>
              <w:jc w:val="center"/>
              <w:rPr>
                <w:sz w:val="20"/>
                <w:szCs w:val="20"/>
                <w:vertAlign w:val="superscript"/>
              </w:rPr>
            </w:pPr>
            <w:r w:rsidRPr="000F7F8E">
              <w:rPr>
                <w:sz w:val="20"/>
                <w:szCs w:val="20"/>
              </w:rPr>
              <w:t>745 ppm</w:t>
            </w:r>
          </w:p>
          <w:p w:rsidR="007E7274" w:rsidRPr="000F7F8E" w:rsidRDefault="007E7274" w:rsidP="000F7F8E">
            <w:pPr>
              <w:jc w:val="center"/>
              <w:rPr>
                <w:sz w:val="20"/>
                <w:szCs w:val="20"/>
              </w:rPr>
            </w:pPr>
            <w:r w:rsidRPr="000F7F8E">
              <w:rPr>
                <w:sz w:val="20"/>
                <w:szCs w:val="20"/>
              </w:rPr>
              <w:t>[LOAEC</w:t>
            </w:r>
            <w:r w:rsidRPr="000F7F8E">
              <w:rPr>
                <w:sz w:val="20"/>
                <w:szCs w:val="20"/>
                <w:vertAlign w:val="subscript"/>
              </w:rPr>
              <w:t>sys</w:t>
            </w:r>
            <w:r w:rsidR="00D41789" w:rsidRPr="000F7F8E">
              <w:rPr>
                <w:sz w:val="20"/>
                <w:szCs w:val="20"/>
              </w:rPr>
              <w:t>]</w:t>
            </w:r>
          </w:p>
        </w:tc>
        <w:tc>
          <w:tcPr>
            <w:tcW w:w="2700" w:type="dxa"/>
            <w:tcBorders>
              <w:bottom w:val="single" w:sz="6" w:space="0" w:color="auto"/>
            </w:tcBorders>
          </w:tcPr>
          <w:p w:rsidR="00F7563C" w:rsidRPr="000F7F8E" w:rsidRDefault="00F7563C" w:rsidP="000F7F8E">
            <w:pPr>
              <w:jc w:val="center"/>
              <w:rPr>
                <w:sz w:val="20"/>
                <w:szCs w:val="20"/>
              </w:rPr>
            </w:pPr>
            <w:r w:rsidRPr="000F7F8E">
              <w:rPr>
                <w:sz w:val="20"/>
                <w:szCs w:val="20"/>
              </w:rPr>
              <w:t>none</w:t>
            </w:r>
          </w:p>
          <w:p w:rsidR="007E7274" w:rsidRPr="000F7F8E" w:rsidRDefault="007E7274" w:rsidP="000F7F8E">
            <w:pPr>
              <w:jc w:val="center"/>
              <w:rPr>
                <w:sz w:val="20"/>
                <w:szCs w:val="20"/>
              </w:rPr>
            </w:pPr>
          </w:p>
          <w:p w:rsidR="007E7274" w:rsidRPr="000F7F8E" w:rsidRDefault="007E7274" w:rsidP="000F7F8E">
            <w:pPr>
              <w:jc w:val="center"/>
              <w:rPr>
                <w:sz w:val="20"/>
                <w:szCs w:val="20"/>
              </w:rPr>
            </w:pPr>
          </w:p>
          <w:p w:rsidR="00F7563C" w:rsidRPr="000F7F8E" w:rsidRDefault="00F7563C" w:rsidP="000F7F8E">
            <w:pPr>
              <w:jc w:val="center"/>
              <w:rPr>
                <w:sz w:val="20"/>
                <w:szCs w:val="20"/>
              </w:rPr>
            </w:pPr>
            <w:r w:rsidRPr="000F7F8E">
              <w:rPr>
                <w:sz w:val="20"/>
                <w:szCs w:val="20"/>
              </w:rPr>
              <w:sym w:font="Symbol" w:char="F0AF"/>
            </w:r>
            <w:r w:rsidRPr="000F7F8E">
              <w:rPr>
                <w:sz w:val="20"/>
                <w:szCs w:val="20"/>
              </w:rPr>
              <w:t xml:space="preserve"> bw,  </w:t>
            </w:r>
            <w:r w:rsidRPr="000F7F8E">
              <w:rPr>
                <w:sz w:val="20"/>
                <w:szCs w:val="20"/>
              </w:rPr>
              <w:sym w:font="Symbol" w:char="F0AD"/>
            </w:r>
            <w:r w:rsidRPr="000F7F8E">
              <w:rPr>
                <w:sz w:val="20"/>
                <w:szCs w:val="20"/>
              </w:rPr>
              <w:t xml:space="preserve">  thyroid weight</w:t>
            </w:r>
          </w:p>
        </w:tc>
        <w:tc>
          <w:tcPr>
            <w:tcW w:w="2610" w:type="dxa"/>
            <w:tcBorders>
              <w:bottom w:val="single" w:sz="6" w:space="0" w:color="auto"/>
            </w:tcBorders>
          </w:tcPr>
          <w:p w:rsidR="00F7563C" w:rsidRPr="000F7F8E" w:rsidRDefault="00F7563C" w:rsidP="000F7F8E">
            <w:pPr>
              <w:jc w:val="center"/>
              <w:rPr>
                <w:sz w:val="20"/>
                <w:szCs w:val="20"/>
              </w:rPr>
            </w:pPr>
            <w:r w:rsidRPr="000F7F8E">
              <w:rPr>
                <w:sz w:val="20"/>
                <w:szCs w:val="20"/>
              </w:rPr>
              <w:t>none</w:t>
            </w:r>
          </w:p>
          <w:p w:rsidR="007E7274" w:rsidRPr="000F7F8E" w:rsidRDefault="007E7274" w:rsidP="000F7F8E">
            <w:pPr>
              <w:jc w:val="center"/>
              <w:rPr>
                <w:sz w:val="20"/>
                <w:szCs w:val="20"/>
              </w:rPr>
            </w:pPr>
          </w:p>
          <w:p w:rsidR="007E7274" w:rsidRPr="000F7F8E" w:rsidRDefault="007E7274" w:rsidP="000F7F8E">
            <w:pPr>
              <w:jc w:val="center"/>
              <w:rPr>
                <w:sz w:val="20"/>
                <w:szCs w:val="20"/>
              </w:rPr>
            </w:pPr>
          </w:p>
          <w:p w:rsidR="00F7563C" w:rsidRPr="000F7F8E" w:rsidRDefault="00F7563C" w:rsidP="000F7F8E">
            <w:pPr>
              <w:jc w:val="center"/>
              <w:rPr>
                <w:sz w:val="20"/>
                <w:szCs w:val="20"/>
              </w:rPr>
            </w:pPr>
            <w:r w:rsidRPr="000F7F8E">
              <w:rPr>
                <w:sz w:val="20"/>
                <w:szCs w:val="20"/>
              </w:rPr>
              <w:t>none</w:t>
            </w:r>
          </w:p>
        </w:tc>
        <w:tc>
          <w:tcPr>
            <w:tcW w:w="3690" w:type="dxa"/>
            <w:tcBorders>
              <w:bottom w:val="single" w:sz="6" w:space="0" w:color="auto"/>
            </w:tcBorders>
          </w:tcPr>
          <w:p w:rsidR="00F7563C" w:rsidRPr="000F7F8E" w:rsidRDefault="00F7563C" w:rsidP="000F7F8E">
            <w:pPr>
              <w:jc w:val="center"/>
              <w:rPr>
                <w:sz w:val="20"/>
                <w:szCs w:val="20"/>
              </w:rPr>
            </w:pPr>
            <w:r w:rsidRPr="000F7F8E">
              <w:rPr>
                <w:sz w:val="20"/>
                <w:szCs w:val="20"/>
              </w:rPr>
              <w:t>no consistent effects</w:t>
            </w:r>
          </w:p>
          <w:p w:rsidR="007E7274" w:rsidRPr="000F7F8E" w:rsidRDefault="007E7274" w:rsidP="000F7F8E">
            <w:pPr>
              <w:jc w:val="center"/>
              <w:rPr>
                <w:sz w:val="20"/>
                <w:szCs w:val="20"/>
              </w:rPr>
            </w:pPr>
          </w:p>
          <w:p w:rsidR="007E7274" w:rsidRPr="000F7F8E" w:rsidRDefault="007E7274" w:rsidP="000F7F8E">
            <w:pPr>
              <w:jc w:val="center"/>
              <w:rPr>
                <w:sz w:val="20"/>
                <w:szCs w:val="20"/>
              </w:rPr>
            </w:pPr>
          </w:p>
          <w:p w:rsidR="00F7563C" w:rsidRPr="000F7F8E" w:rsidRDefault="00F7563C" w:rsidP="000F7F8E">
            <w:pPr>
              <w:jc w:val="center"/>
              <w:rPr>
                <w:sz w:val="20"/>
                <w:szCs w:val="20"/>
              </w:rPr>
            </w:pPr>
            <w:r w:rsidRPr="000F7F8E">
              <w:rPr>
                <w:sz w:val="20"/>
                <w:szCs w:val="20"/>
              </w:rPr>
              <w:sym w:font="Symbol" w:char="F0AF"/>
            </w:r>
            <w:r w:rsidRPr="000F7F8E">
              <w:rPr>
                <w:sz w:val="20"/>
                <w:szCs w:val="20"/>
              </w:rPr>
              <w:t xml:space="preserve"> Hb, </w:t>
            </w:r>
            <w:r w:rsidR="00D41789" w:rsidRPr="000F7F8E">
              <w:rPr>
                <w:sz w:val="20"/>
                <w:szCs w:val="20"/>
              </w:rPr>
              <w:t>Hct (consistent)</w:t>
            </w:r>
          </w:p>
          <w:p w:rsidR="00F7563C" w:rsidRPr="000F7F8E" w:rsidRDefault="00F7563C" w:rsidP="000F7F8E">
            <w:pPr>
              <w:jc w:val="center"/>
              <w:rPr>
                <w:sz w:val="20"/>
                <w:szCs w:val="20"/>
              </w:rPr>
            </w:pPr>
          </w:p>
        </w:tc>
        <w:tc>
          <w:tcPr>
            <w:tcW w:w="2250" w:type="dxa"/>
            <w:tcBorders>
              <w:bottom w:val="single" w:sz="6" w:space="0" w:color="auto"/>
            </w:tcBorders>
          </w:tcPr>
          <w:p w:rsidR="00F7563C" w:rsidRPr="000F7F8E" w:rsidRDefault="00F7563C" w:rsidP="000F7F8E">
            <w:pPr>
              <w:jc w:val="center"/>
              <w:rPr>
                <w:sz w:val="20"/>
                <w:szCs w:val="20"/>
              </w:rPr>
            </w:pPr>
          </w:p>
          <w:p w:rsidR="00F7563C" w:rsidRPr="000F7F8E" w:rsidRDefault="00F7563C" w:rsidP="000F7F8E">
            <w:pPr>
              <w:jc w:val="center"/>
              <w:rPr>
                <w:sz w:val="20"/>
                <w:szCs w:val="20"/>
              </w:rPr>
            </w:pPr>
            <w:r w:rsidRPr="000F7F8E">
              <w:rPr>
                <w:sz w:val="20"/>
                <w:szCs w:val="20"/>
              </w:rPr>
              <w:t>Lewis et al., 1977</w:t>
            </w:r>
          </w:p>
        </w:tc>
      </w:tr>
      <w:tr w:rsidR="00F7563C" w:rsidTr="00D8614C">
        <w:trPr>
          <w:trHeight w:val="665"/>
        </w:trPr>
        <w:tc>
          <w:tcPr>
            <w:tcW w:w="1458" w:type="dxa"/>
            <w:gridSpan w:val="2"/>
            <w:tcBorders>
              <w:top w:val="single" w:sz="6" w:space="0" w:color="auto"/>
              <w:bottom w:val="single" w:sz="6" w:space="0" w:color="auto"/>
            </w:tcBorders>
          </w:tcPr>
          <w:p w:rsidR="00150D36" w:rsidRPr="000F7F8E" w:rsidRDefault="00F7563C" w:rsidP="000F7F8E">
            <w:pPr>
              <w:jc w:val="center"/>
              <w:rPr>
                <w:sz w:val="20"/>
                <w:szCs w:val="20"/>
              </w:rPr>
            </w:pPr>
            <w:r w:rsidRPr="000F7F8E">
              <w:rPr>
                <w:sz w:val="20"/>
                <w:szCs w:val="20"/>
              </w:rPr>
              <w:t>NZ White rabbit,</w:t>
            </w:r>
          </w:p>
          <w:p w:rsidR="00150D36" w:rsidRPr="000F7F8E" w:rsidRDefault="00150D36" w:rsidP="000F7F8E">
            <w:pPr>
              <w:jc w:val="center"/>
              <w:rPr>
                <w:sz w:val="20"/>
                <w:szCs w:val="20"/>
              </w:rPr>
            </w:pPr>
            <w:r w:rsidRPr="000F7F8E">
              <w:rPr>
                <w:sz w:val="20"/>
                <w:szCs w:val="20"/>
              </w:rPr>
              <w:t>Inhalation</w:t>
            </w:r>
          </w:p>
          <w:p w:rsidR="00F7563C" w:rsidRPr="000F7F8E" w:rsidRDefault="00D41789" w:rsidP="000F7F8E">
            <w:pPr>
              <w:jc w:val="center"/>
              <w:rPr>
                <w:sz w:val="20"/>
                <w:szCs w:val="20"/>
              </w:rPr>
            </w:pPr>
            <w:r w:rsidRPr="000F7F8E">
              <w:rPr>
                <w:sz w:val="20"/>
                <w:szCs w:val="20"/>
                <w:u w:val="single"/>
              </w:rPr>
              <w:t>&lt;</w:t>
            </w:r>
            <w:r w:rsidR="00150D36" w:rsidRPr="000F7F8E">
              <w:rPr>
                <w:sz w:val="20"/>
                <w:szCs w:val="20"/>
              </w:rPr>
              <w:t xml:space="preserve"> 24 wk;</w:t>
            </w:r>
          </w:p>
          <w:p w:rsidR="00F7563C" w:rsidRPr="000F7F8E" w:rsidRDefault="00F7563C" w:rsidP="000F7F8E">
            <w:pPr>
              <w:jc w:val="center"/>
              <w:rPr>
                <w:sz w:val="20"/>
                <w:szCs w:val="20"/>
              </w:rPr>
            </w:pPr>
            <w:r w:rsidRPr="000F7F8E">
              <w:rPr>
                <w:sz w:val="20"/>
                <w:szCs w:val="20"/>
              </w:rPr>
              <w:t>7 h/d</w:t>
            </w:r>
            <w:r w:rsidR="00150D36" w:rsidRPr="000F7F8E">
              <w:rPr>
                <w:sz w:val="20"/>
                <w:szCs w:val="20"/>
              </w:rPr>
              <w:t xml:space="preserve">; </w:t>
            </w:r>
            <w:r w:rsidRPr="000F7F8E">
              <w:rPr>
                <w:sz w:val="20"/>
                <w:szCs w:val="20"/>
              </w:rPr>
              <w:t>5 d/wk</w:t>
            </w:r>
          </w:p>
        </w:tc>
        <w:tc>
          <w:tcPr>
            <w:tcW w:w="1350" w:type="dxa"/>
            <w:tcBorders>
              <w:top w:val="single" w:sz="6" w:space="0" w:color="auto"/>
              <w:bottom w:val="single" w:sz="6" w:space="0" w:color="auto"/>
            </w:tcBorders>
          </w:tcPr>
          <w:p w:rsidR="00C660EF" w:rsidRPr="000F7F8E" w:rsidRDefault="00F7563C" w:rsidP="000F7F8E">
            <w:pPr>
              <w:jc w:val="center"/>
              <w:rPr>
                <w:sz w:val="20"/>
                <w:szCs w:val="20"/>
                <w:vertAlign w:val="superscript"/>
              </w:rPr>
            </w:pPr>
            <w:r w:rsidRPr="000F7F8E">
              <w:rPr>
                <w:sz w:val="20"/>
                <w:szCs w:val="20"/>
              </w:rPr>
              <w:t>98 ppm</w:t>
            </w:r>
          </w:p>
          <w:p w:rsidR="00F7563C" w:rsidRPr="000F7F8E" w:rsidRDefault="00D41789" w:rsidP="000F7F8E">
            <w:pPr>
              <w:jc w:val="center"/>
              <w:rPr>
                <w:sz w:val="20"/>
                <w:szCs w:val="20"/>
              </w:rPr>
            </w:pPr>
            <w:r w:rsidRPr="000F7F8E">
              <w:rPr>
                <w:sz w:val="20"/>
                <w:szCs w:val="20"/>
              </w:rPr>
              <w:t>[LOAEC</w:t>
            </w:r>
            <w:r w:rsidRPr="000F7F8E">
              <w:rPr>
                <w:sz w:val="20"/>
                <w:szCs w:val="20"/>
                <w:vertAlign w:val="subscript"/>
              </w:rPr>
              <w:t>sys</w:t>
            </w:r>
            <w:r w:rsidR="00C660EF" w:rsidRPr="000F7F8E">
              <w:rPr>
                <w:sz w:val="20"/>
                <w:szCs w:val="20"/>
              </w:rPr>
              <w:t>]</w:t>
            </w:r>
          </w:p>
          <w:p w:rsidR="00C660EF" w:rsidRPr="000F7F8E" w:rsidRDefault="00C660EF" w:rsidP="000F7F8E">
            <w:pPr>
              <w:jc w:val="center"/>
              <w:rPr>
                <w:sz w:val="20"/>
                <w:szCs w:val="20"/>
              </w:rPr>
            </w:pPr>
          </w:p>
          <w:p w:rsidR="00F7563C" w:rsidRPr="000F7F8E" w:rsidRDefault="00F7563C" w:rsidP="000F7F8E">
            <w:pPr>
              <w:jc w:val="center"/>
              <w:rPr>
                <w:sz w:val="20"/>
                <w:szCs w:val="20"/>
              </w:rPr>
            </w:pPr>
            <w:r w:rsidRPr="000F7F8E">
              <w:rPr>
                <w:sz w:val="20"/>
                <w:szCs w:val="20"/>
              </w:rPr>
              <w:t>745 ppm</w:t>
            </w:r>
          </w:p>
        </w:tc>
        <w:tc>
          <w:tcPr>
            <w:tcW w:w="2700" w:type="dxa"/>
            <w:tcBorders>
              <w:top w:val="single" w:sz="6" w:space="0" w:color="auto"/>
              <w:bottom w:val="single" w:sz="6" w:space="0" w:color="auto"/>
            </w:tcBorders>
          </w:tcPr>
          <w:p w:rsidR="00F7563C" w:rsidRPr="000F7F8E" w:rsidRDefault="00F7563C" w:rsidP="000F7F8E">
            <w:pPr>
              <w:jc w:val="center"/>
              <w:rPr>
                <w:sz w:val="20"/>
                <w:szCs w:val="20"/>
              </w:rPr>
            </w:pPr>
            <w:r w:rsidRPr="000F7F8E">
              <w:rPr>
                <w:sz w:val="20"/>
                <w:szCs w:val="20"/>
              </w:rPr>
              <w:sym w:font="Symbol" w:char="F0AD"/>
            </w:r>
            <w:r w:rsidRPr="000F7F8E">
              <w:rPr>
                <w:sz w:val="20"/>
                <w:szCs w:val="20"/>
              </w:rPr>
              <w:t xml:space="preserve">  thyroid weight</w:t>
            </w:r>
          </w:p>
          <w:p w:rsidR="00F7563C" w:rsidRPr="000F7F8E" w:rsidRDefault="00F7563C" w:rsidP="000F7F8E">
            <w:pPr>
              <w:jc w:val="center"/>
              <w:rPr>
                <w:sz w:val="20"/>
                <w:szCs w:val="20"/>
              </w:rPr>
            </w:pPr>
          </w:p>
          <w:p w:rsidR="008E3AD2" w:rsidRPr="000F7F8E" w:rsidRDefault="008E3AD2" w:rsidP="000F7F8E">
            <w:pPr>
              <w:jc w:val="center"/>
              <w:rPr>
                <w:sz w:val="20"/>
                <w:szCs w:val="20"/>
              </w:rPr>
            </w:pPr>
          </w:p>
          <w:p w:rsidR="00F7563C" w:rsidRPr="000F7F8E" w:rsidRDefault="00F7563C" w:rsidP="000F7F8E">
            <w:pPr>
              <w:jc w:val="center"/>
              <w:rPr>
                <w:sz w:val="20"/>
                <w:szCs w:val="20"/>
              </w:rPr>
            </w:pPr>
            <w:r w:rsidRPr="000F7F8E">
              <w:rPr>
                <w:sz w:val="20"/>
                <w:szCs w:val="20"/>
              </w:rPr>
              <w:sym w:font="Symbol" w:char="F0AD"/>
            </w:r>
            <w:r w:rsidRPr="000F7F8E">
              <w:rPr>
                <w:sz w:val="20"/>
                <w:szCs w:val="20"/>
              </w:rPr>
              <w:t xml:space="preserve">  thyroid weight</w:t>
            </w:r>
          </w:p>
        </w:tc>
        <w:tc>
          <w:tcPr>
            <w:tcW w:w="2610" w:type="dxa"/>
            <w:tcBorders>
              <w:top w:val="single" w:sz="6" w:space="0" w:color="auto"/>
              <w:bottom w:val="single" w:sz="6" w:space="0" w:color="auto"/>
            </w:tcBorders>
          </w:tcPr>
          <w:p w:rsidR="00F7563C" w:rsidRPr="000F7F8E" w:rsidRDefault="00F7563C" w:rsidP="000F7F8E">
            <w:pPr>
              <w:jc w:val="center"/>
              <w:rPr>
                <w:sz w:val="20"/>
                <w:szCs w:val="20"/>
              </w:rPr>
            </w:pPr>
            <w:r w:rsidRPr="000F7F8E">
              <w:rPr>
                <w:sz w:val="20"/>
                <w:szCs w:val="20"/>
              </w:rPr>
              <w:t>lung (at 1 month only)</w:t>
            </w:r>
          </w:p>
          <w:p w:rsidR="00F7563C" w:rsidRPr="000F7F8E" w:rsidRDefault="00F7563C" w:rsidP="000F7F8E">
            <w:pPr>
              <w:jc w:val="center"/>
              <w:rPr>
                <w:sz w:val="20"/>
                <w:szCs w:val="20"/>
              </w:rPr>
            </w:pPr>
          </w:p>
          <w:p w:rsidR="00C660EF" w:rsidRPr="000F7F8E" w:rsidRDefault="00C660EF" w:rsidP="000F7F8E">
            <w:pPr>
              <w:jc w:val="center"/>
              <w:rPr>
                <w:sz w:val="20"/>
                <w:szCs w:val="20"/>
              </w:rPr>
            </w:pPr>
          </w:p>
          <w:p w:rsidR="00F7563C" w:rsidRPr="000F7F8E" w:rsidRDefault="00F7563C" w:rsidP="000F7F8E">
            <w:pPr>
              <w:jc w:val="center"/>
              <w:rPr>
                <w:sz w:val="20"/>
                <w:szCs w:val="20"/>
              </w:rPr>
            </w:pPr>
            <w:r w:rsidRPr="000F7F8E">
              <w:rPr>
                <w:sz w:val="20"/>
                <w:szCs w:val="20"/>
              </w:rPr>
              <w:t>lung  (at 1 month only)</w:t>
            </w:r>
          </w:p>
        </w:tc>
        <w:tc>
          <w:tcPr>
            <w:tcW w:w="3690" w:type="dxa"/>
            <w:tcBorders>
              <w:top w:val="single" w:sz="6" w:space="0" w:color="auto"/>
              <w:bottom w:val="single" w:sz="6" w:space="0" w:color="auto"/>
            </w:tcBorders>
          </w:tcPr>
          <w:p w:rsidR="00F7563C" w:rsidRPr="000F7F8E" w:rsidRDefault="00F7563C" w:rsidP="000F7F8E">
            <w:pPr>
              <w:jc w:val="center"/>
              <w:rPr>
                <w:sz w:val="20"/>
                <w:szCs w:val="20"/>
              </w:rPr>
            </w:pPr>
            <w:r w:rsidRPr="000F7F8E">
              <w:rPr>
                <w:sz w:val="20"/>
                <w:szCs w:val="20"/>
              </w:rPr>
              <w:sym w:font="Symbol" w:char="F0AF"/>
            </w:r>
            <w:r w:rsidRPr="000F7F8E">
              <w:rPr>
                <w:sz w:val="20"/>
                <w:szCs w:val="20"/>
              </w:rPr>
              <w:t xml:space="preserve"> Hb (at 1 month), thyroxin, </w:t>
            </w:r>
            <w:r w:rsidRPr="000F7F8E">
              <w:rPr>
                <w:sz w:val="20"/>
                <w:szCs w:val="20"/>
              </w:rPr>
              <w:sym w:font="Symbol" w:char="F0AD"/>
            </w:r>
            <w:r w:rsidR="00C660EF" w:rsidRPr="000F7F8E">
              <w:rPr>
                <w:sz w:val="20"/>
                <w:szCs w:val="20"/>
              </w:rPr>
              <w:sym w:font="Symbol" w:char="F0AF"/>
            </w:r>
            <w:r w:rsidRPr="000F7F8E">
              <w:rPr>
                <w:sz w:val="20"/>
                <w:szCs w:val="20"/>
              </w:rPr>
              <w:t xml:space="preserve">  OCT</w:t>
            </w:r>
          </w:p>
          <w:p w:rsidR="00F7563C" w:rsidRPr="000F7F8E" w:rsidRDefault="00F7563C" w:rsidP="000F7F8E">
            <w:pPr>
              <w:jc w:val="center"/>
              <w:rPr>
                <w:sz w:val="20"/>
                <w:szCs w:val="20"/>
              </w:rPr>
            </w:pPr>
          </w:p>
          <w:p w:rsidR="00C660EF" w:rsidRPr="000F7F8E" w:rsidRDefault="00C660EF" w:rsidP="000F7F8E">
            <w:pPr>
              <w:jc w:val="center"/>
              <w:rPr>
                <w:sz w:val="20"/>
                <w:szCs w:val="20"/>
              </w:rPr>
            </w:pPr>
          </w:p>
          <w:p w:rsidR="00F7563C" w:rsidRPr="000F7F8E" w:rsidRDefault="00F7563C" w:rsidP="000F7F8E">
            <w:pPr>
              <w:jc w:val="center"/>
              <w:rPr>
                <w:sz w:val="20"/>
                <w:szCs w:val="20"/>
              </w:rPr>
            </w:pPr>
            <w:r w:rsidRPr="000F7F8E">
              <w:rPr>
                <w:sz w:val="20"/>
                <w:szCs w:val="20"/>
              </w:rPr>
              <w:sym w:font="Symbol" w:char="F0AF"/>
            </w:r>
            <w:r w:rsidRPr="000F7F8E">
              <w:rPr>
                <w:sz w:val="20"/>
                <w:szCs w:val="20"/>
              </w:rPr>
              <w:t xml:space="preserve"> Hb (at 1 month), thyroxin, </w:t>
            </w:r>
            <w:r w:rsidRPr="000F7F8E">
              <w:rPr>
                <w:sz w:val="20"/>
                <w:szCs w:val="20"/>
              </w:rPr>
              <w:sym w:font="Symbol" w:char="F0AD"/>
            </w:r>
            <w:r w:rsidR="00C660EF" w:rsidRPr="000F7F8E">
              <w:rPr>
                <w:sz w:val="20"/>
                <w:szCs w:val="20"/>
              </w:rPr>
              <w:sym w:font="Symbol" w:char="F0AF"/>
            </w:r>
            <w:r w:rsidRPr="000F7F8E">
              <w:rPr>
                <w:sz w:val="20"/>
                <w:szCs w:val="20"/>
              </w:rPr>
              <w:t xml:space="preserve"> OCT</w:t>
            </w:r>
          </w:p>
          <w:p w:rsidR="00F7563C" w:rsidRPr="000F7F8E" w:rsidRDefault="00F7563C" w:rsidP="000F7F8E">
            <w:pPr>
              <w:jc w:val="center"/>
              <w:rPr>
                <w:sz w:val="20"/>
                <w:szCs w:val="20"/>
              </w:rPr>
            </w:pPr>
          </w:p>
        </w:tc>
        <w:tc>
          <w:tcPr>
            <w:tcW w:w="2250" w:type="dxa"/>
            <w:tcBorders>
              <w:top w:val="single" w:sz="6" w:space="0" w:color="auto"/>
              <w:bottom w:val="single" w:sz="6" w:space="0" w:color="auto"/>
            </w:tcBorders>
          </w:tcPr>
          <w:p w:rsidR="00F7563C" w:rsidRPr="000F7F8E" w:rsidRDefault="00F7563C" w:rsidP="000F7F8E">
            <w:pPr>
              <w:jc w:val="center"/>
              <w:rPr>
                <w:sz w:val="20"/>
                <w:szCs w:val="20"/>
              </w:rPr>
            </w:pPr>
          </w:p>
          <w:p w:rsidR="00150D36" w:rsidRPr="000F7F8E" w:rsidRDefault="00150D36" w:rsidP="000F7F8E">
            <w:pPr>
              <w:jc w:val="center"/>
              <w:rPr>
                <w:sz w:val="20"/>
                <w:szCs w:val="20"/>
              </w:rPr>
            </w:pPr>
            <w:r w:rsidRPr="000F7F8E">
              <w:rPr>
                <w:sz w:val="20"/>
                <w:szCs w:val="20"/>
              </w:rPr>
              <w:t>Lewis et al., 1977</w:t>
            </w:r>
          </w:p>
        </w:tc>
      </w:tr>
      <w:tr w:rsidR="00CB3B4E" w:rsidTr="00D8614C">
        <w:trPr>
          <w:trHeight w:val="665"/>
        </w:trPr>
        <w:tc>
          <w:tcPr>
            <w:tcW w:w="14058" w:type="dxa"/>
            <w:gridSpan w:val="7"/>
            <w:tcBorders>
              <w:top w:val="single" w:sz="6" w:space="0" w:color="auto"/>
              <w:bottom w:val="single" w:sz="6" w:space="0" w:color="auto"/>
            </w:tcBorders>
            <w:vAlign w:val="center"/>
          </w:tcPr>
          <w:p w:rsidR="00CB3B4E" w:rsidRPr="000F7F8E" w:rsidRDefault="00CB3B4E" w:rsidP="000F7F8E">
            <w:pPr>
              <w:jc w:val="center"/>
              <w:rPr>
                <w:sz w:val="20"/>
                <w:szCs w:val="20"/>
              </w:rPr>
            </w:pPr>
            <w:r w:rsidRPr="000F7F8E">
              <w:rPr>
                <w:b/>
                <w:sz w:val="20"/>
                <w:szCs w:val="20"/>
              </w:rPr>
              <w:t>Nitroethane</w:t>
            </w:r>
          </w:p>
        </w:tc>
      </w:tr>
      <w:tr w:rsidR="00F7563C" w:rsidTr="00D8614C">
        <w:trPr>
          <w:trHeight w:val="665"/>
        </w:trPr>
        <w:tc>
          <w:tcPr>
            <w:tcW w:w="1458" w:type="dxa"/>
            <w:gridSpan w:val="2"/>
            <w:tcBorders>
              <w:top w:val="single" w:sz="6" w:space="0" w:color="auto"/>
              <w:bottom w:val="single" w:sz="6" w:space="0" w:color="auto"/>
            </w:tcBorders>
          </w:tcPr>
          <w:p w:rsidR="00233455" w:rsidRPr="000F7F8E" w:rsidRDefault="00F7563C" w:rsidP="000F7F8E">
            <w:pPr>
              <w:jc w:val="center"/>
              <w:rPr>
                <w:sz w:val="20"/>
                <w:szCs w:val="20"/>
              </w:rPr>
            </w:pPr>
            <w:r w:rsidRPr="000F7F8E">
              <w:rPr>
                <w:sz w:val="20"/>
                <w:szCs w:val="20"/>
              </w:rPr>
              <w:t>F344 rat</w:t>
            </w:r>
          </w:p>
          <w:p w:rsidR="00F7563C" w:rsidRPr="000F7F8E" w:rsidRDefault="00233455" w:rsidP="000F7F8E">
            <w:pPr>
              <w:jc w:val="center"/>
              <w:rPr>
                <w:sz w:val="20"/>
                <w:szCs w:val="20"/>
              </w:rPr>
            </w:pPr>
            <w:r w:rsidRPr="000F7F8E">
              <w:rPr>
                <w:sz w:val="20"/>
                <w:szCs w:val="20"/>
              </w:rPr>
              <w:t>Inhalation</w:t>
            </w:r>
          </w:p>
          <w:p w:rsidR="00F7563C" w:rsidRPr="000F7F8E" w:rsidRDefault="00F7563C" w:rsidP="000F7F8E">
            <w:pPr>
              <w:jc w:val="center"/>
              <w:rPr>
                <w:sz w:val="20"/>
                <w:szCs w:val="20"/>
              </w:rPr>
            </w:pPr>
            <w:r w:rsidRPr="000F7F8E">
              <w:rPr>
                <w:sz w:val="20"/>
                <w:szCs w:val="20"/>
              </w:rPr>
              <w:t xml:space="preserve">13 </w:t>
            </w:r>
            <w:r w:rsidR="00233455" w:rsidRPr="000F7F8E">
              <w:rPr>
                <w:sz w:val="20"/>
                <w:szCs w:val="20"/>
              </w:rPr>
              <w:t>wk; 6 h/d; 5 d/wk</w:t>
            </w:r>
            <w:r w:rsidRPr="000F7F8E">
              <w:rPr>
                <w:sz w:val="20"/>
                <w:szCs w:val="20"/>
              </w:rPr>
              <w:t>,</w:t>
            </w:r>
          </w:p>
          <w:p w:rsidR="00F7563C" w:rsidRPr="000F7F8E" w:rsidRDefault="00F7563C" w:rsidP="000F7F8E">
            <w:pPr>
              <w:jc w:val="center"/>
              <w:rPr>
                <w:sz w:val="20"/>
                <w:szCs w:val="20"/>
              </w:rPr>
            </w:pPr>
          </w:p>
        </w:tc>
        <w:tc>
          <w:tcPr>
            <w:tcW w:w="1350" w:type="dxa"/>
            <w:tcBorders>
              <w:top w:val="single" w:sz="6" w:space="0" w:color="auto"/>
              <w:bottom w:val="single" w:sz="6" w:space="0" w:color="auto"/>
            </w:tcBorders>
          </w:tcPr>
          <w:p w:rsidR="00240F05" w:rsidRPr="000F7F8E" w:rsidRDefault="00D41789" w:rsidP="000F7F8E">
            <w:pPr>
              <w:jc w:val="center"/>
              <w:rPr>
                <w:sz w:val="20"/>
                <w:szCs w:val="20"/>
                <w:vertAlign w:val="superscript"/>
              </w:rPr>
            </w:pPr>
            <w:r w:rsidRPr="000F7F8E">
              <w:rPr>
                <w:sz w:val="20"/>
                <w:szCs w:val="20"/>
              </w:rPr>
              <w:t>100 ppm</w:t>
            </w:r>
          </w:p>
          <w:p w:rsidR="00F7563C" w:rsidRPr="000F7F8E" w:rsidRDefault="00D41789" w:rsidP="000F7F8E">
            <w:pPr>
              <w:jc w:val="center"/>
              <w:rPr>
                <w:sz w:val="20"/>
                <w:szCs w:val="20"/>
              </w:rPr>
            </w:pPr>
            <w:r w:rsidRPr="000F7F8E">
              <w:rPr>
                <w:sz w:val="20"/>
                <w:szCs w:val="20"/>
              </w:rPr>
              <w:t>[LOAEC</w:t>
            </w:r>
            <w:r w:rsidRPr="000F7F8E">
              <w:rPr>
                <w:sz w:val="20"/>
                <w:szCs w:val="20"/>
                <w:vertAlign w:val="subscript"/>
              </w:rPr>
              <w:t>sys</w:t>
            </w:r>
            <w:r w:rsidR="00240F05" w:rsidRPr="000F7F8E">
              <w:rPr>
                <w:sz w:val="20"/>
                <w:szCs w:val="20"/>
              </w:rPr>
              <w:t>; NOAEC</w:t>
            </w:r>
            <w:r w:rsidRPr="000F7F8E">
              <w:rPr>
                <w:sz w:val="20"/>
                <w:szCs w:val="20"/>
                <w:vertAlign w:val="subscript"/>
              </w:rPr>
              <w:t>local</w:t>
            </w:r>
            <w:r w:rsidR="00240F05" w:rsidRPr="000F7F8E">
              <w:rPr>
                <w:sz w:val="20"/>
                <w:szCs w:val="20"/>
              </w:rPr>
              <w:t>]</w:t>
            </w:r>
          </w:p>
          <w:p w:rsidR="00240F05" w:rsidRPr="000F7F8E" w:rsidRDefault="00240F05" w:rsidP="000F7F8E">
            <w:pPr>
              <w:jc w:val="center"/>
              <w:rPr>
                <w:sz w:val="20"/>
                <w:szCs w:val="20"/>
              </w:rPr>
            </w:pPr>
          </w:p>
          <w:p w:rsidR="008E3AD2" w:rsidRPr="000F7F8E" w:rsidRDefault="008E3AD2" w:rsidP="000F7F8E">
            <w:pPr>
              <w:jc w:val="center"/>
              <w:rPr>
                <w:sz w:val="20"/>
                <w:szCs w:val="20"/>
              </w:rPr>
            </w:pPr>
          </w:p>
          <w:p w:rsidR="008E3AD2" w:rsidRPr="000F7F8E" w:rsidRDefault="008E3AD2" w:rsidP="000F7F8E">
            <w:pPr>
              <w:jc w:val="center"/>
              <w:rPr>
                <w:sz w:val="20"/>
                <w:szCs w:val="20"/>
              </w:rPr>
            </w:pPr>
          </w:p>
          <w:p w:rsidR="00F7563C" w:rsidRPr="000F7F8E" w:rsidRDefault="00F7563C" w:rsidP="000F7F8E">
            <w:pPr>
              <w:jc w:val="center"/>
              <w:rPr>
                <w:sz w:val="20"/>
                <w:szCs w:val="20"/>
              </w:rPr>
            </w:pPr>
            <w:r w:rsidRPr="000F7F8E">
              <w:rPr>
                <w:sz w:val="20"/>
                <w:szCs w:val="20"/>
              </w:rPr>
              <w:t>350 ppm</w:t>
            </w:r>
          </w:p>
          <w:p w:rsidR="00240F05" w:rsidRPr="000F7F8E" w:rsidRDefault="00240F05" w:rsidP="000F7F8E">
            <w:pPr>
              <w:jc w:val="center"/>
              <w:rPr>
                <w:sz w:val="20"/>
                <w:szCs w:val="20"/>
              </w:rPr>
            </w:pPr>
            <w:r w:rsidRPr="000F7F8E">
              <w:rPr>
                <w:sz w:val="20"/>
                <w:szCs w:val="20"/>
              </w:rPr>
              <w:t>[LOAEC</w:t>
            </w:r>
            <w:r w:rsidRPr="000F7F8E">
              <w:rPr>
                <w:sz w:val="20"/>
                <w:szCs w:val="20"/>
                <w:vertAlign w:val="subscript"/>
              </w:rPr>
              <w:t>local</w:t>
            </w:r>
            <w:r w:rsidRPr="000F7F8E">
              <w:rPr>
                <w:sz w:val="20"/>
                <w:szCs w:val="20"/>
              </w:rPr>
              <w:t>]</w:t>
            </w:r>
          </w:p>
          <w:p w:rsidR="00240F05" w:rsidRPr="000F7F8E" w:rsidRDefault="00240F05" w:rsidP="000F7F8E">
            <w:pPr>
              <w:jc w:val="center"/>
              <w:rPr>
                <w:sz w:val="20"/>
                <w:szCs w:val="20"/>
              </w:rPr>
            </w:pPr>
          </w:p>
          <w:p w:rsidR="00F7563C" w:rsidRPr="000F7F8E" w:rsidRDefault="00F7563C" w:rsidP="000F7F8E">
            <w:pPr>
              <w:jc w:val="center"/>
              <w:rPr>
                <w:sz w:val="20"/>
                <w:szCs w:val="20"/>
              </w:rPr>
            </w:pPr>
          </w:p>
          <w:p w:rsidR="00B70C7F" w:rsidRPr="000F7F8E" w:rsidRDefault="00B70C7F" w:rsidP="000F7F8E">
            <w:pPr>
              <w:jc w:val="center"/>
              <w:rPr>
                <w:sz w:val="20"/>
                <w:szCs w:val="20"/>
              </w:rPr>
            </w:pPr>
          </w:p>
          <w:p w:rsidR="00B70C7F" w:rsidRPr="000F7F8E" w:rsidRDefault="00B70C7F" w:rsidP="000F7F8E">
            <w:pPr>
              <w:jc w:val="center"/>
              <w:rPr>
                <w:sz w:val="20"/>
                <w:szCs w:val="20"/>
              </w:rPr>
            </w:pPr>
          </w:p>
          <w:p w:rsidR="00F7563C" w:rsidRPr="000F7F8E" w:rsidRDefault="00D41789" w:rsidP="000F7F8E">
            <w:pPr>
              <w:jc w:val="center"/>
              <w:rPr>
                <w:sz w:val="20"/>
                <w:szCs w:val="20"/>
              </w:rPr>
            </w:pPr>
            <w:r w:rsidRPr="000F7F8E">
              <w:rPr>
                <w:sz w:val="20"/>
                <w:szCs w:val="20"/>
              </w:rPr>
              <w:t>1000 ppm</w:t>
            </w:r>
          </w:p>
          <w:p w:rsidR="00F7563C" w:rsidRPr="000F7F8E" w:rsidRDefault="00F7563C" w:rsidP="000F7F8E">
            <w:pPr>
              <w:jc w:val="center"/>
              <w:rPr>
                <w:sz w:val="20"/>
                <w:szCs w:val="20"/>
              </w:rPr>
            </w:pPr>
          </w:p>
          <w:p w:rsidR="00F7563C" w:rsidRPr="000F7F8E" w:rsidRDefault="00F7563C" w:rsidP="000F7F8E">
            <w:pPr>
              <w:jc w:val="center"/>
              <w:rPr>
                <w:sz w:val="20"/>
                <w:szCs w:val="20"/>
                <w:vertAlign w:val="superscript"/>
              </w:rPr>
            </w:pPr>
          </w:p>
        </w:tc>
        <w:tc>
          <w:tcPr>
            <w:tcW w:w="2700" w:type="dxa"/>
            <w:tcBorders>
              <w:top w:val="single" w:sz="6" w:space="0" w:color="auto"/>
              <w:bottom w:val="single" w:sz="6" w:space="0" w:color="auto"/>
            </w:tcBorders>
          </w:tcPr>
          <w:p w:rsidR="00F7563C" w:rsidRPr="000F7F8E" w:rsidRDefault="00F7563C" w:rsidP="000F7F8E">
            <w:pPr>
              <w:jc w:val="center"/>
              <w:rPr>
                <w:sz w:val="20"/>
                <w:szCs w:val="20"/>
              </w:rPr>
            </w:pPr>
            <w:r w:rsidRPr="000F7F8E">
              <w:rPr>
                <w:sz w:val="20"/>
                <w:szCs w:val="20"/>
              </w:rPr>
              <w:t xml:space="preserve">unkempt appearance </w:t>
            </w:r>
            <w:r w:rsidR="00D41789" w:rsidRPr="000F7F8E">
              <w:rPr>
                <w:sz w:val="20"/>
                <w:szCs w:val="20"/>
              </w:rPr>
              <w:sym w:font="Symbol" w:char="F0AD"/>
            </w:r>
            <w:r w:rsidR="00D41789" w:rsidRPr="000F7F8E">
              <w:rPr>
                <w:sz w:val="20"/>
                <w:szCs w:val="20"/>
              </w:rPr>
              <w:t>testes weights</w:t>
            </w:r>
          </w:p>
          <w:p w:rsidR="00240F05" w:rsidRPr="000F7F8E" w:rsidRDefault="00240F05" w:rsidP="000F7F8E">
            <w:pPr>
              <w:jc w:val="center"/>
              <w:rPr>
                <w:sz w:val="20"/>
                <w:szCs w:val="20"/>
              </w:rPr>
            </w:pPr>
          </w:p>
          <w:p w:rsidR="00C67103" w:rsidRPr="000F7F8E" w:rsidRDefault="00C67103" w:rsidP="000F7F8E">
            <w:pPr>
              <w:jc w:val="center"/>
              <w:rPr>
                <w:sz w:val="20"/>
                <w:szCs w:val="20"/>
              </w:rPr>
            </w:pPr>
          </w:p>
          <w:p w:rsidR="008E3AD2" w:rsidRPr="000F7F8E" w:rsidRDefault="008E3AD2" w:rsidP="000F7F8E">
            <w:pPr>
              <w:jc w:val="center"/>
              <w:rPr>
                <w:sz w:val="20"/>
                <w:szCs w:val="20"/>
              </w:rPr>
            </w:pPr>
          </w:p>
          <w:p w:rsidR="008E3AD2" w:rsidRPr="000F7F8E" w:rsidRDefault="008E3AD2" w:rsidP="000F7F8E">
            <w:pPr>
              <w:jc w:val="center"/>
              <w:rPr>
                <w:sz w:val="20"/>
                <w:szCs w:val="20"/>
              </w:rPr>
            </w:pPr>
          </w:p>
          <w:p w:rsidR="00F7563C" w:rsidRPr="000F7F8E" w:rsidRDefault="00F7563C" w:rsidP="000F7F8E">
            <w:pPr>
              <w:jc w:val="center"/>
              <w:rPr>
                <w:sz w:val="20"/>
                <w:szCs w:val="20"/>
              </w:rPr>
            </w:pPr>
            <w:r w:rsidRPr="000F7F8E">
              <w:rPr>
                <w:sz w:val="20"/>
                <w:szCs w:val="20"/>
              </w:rPr>
              <w:t>unkempt appearance,</w:t>
            </w:r>
          </w:p>
          <w:p w:rsidR="00240F05" w:rsidRPr="000F7F8E" w:rsidRDefault="00F7563C" w:rsidP="000F7F8E">
            <w:pPr>
              <w:jc w:val="center"/>
              <w:rPr>
                <w:sz w:val="20"/>
                <w:szCs w:val="20"/>
              </w:rPr>
            </w:pPr>
            <w:r w:rsidRPr="000F7F8E">
              <w:rPr>
                <w:sz w:val="20"/>
                <w:szCs w:val="20"/>
              </w:rPr>
              <w:t>dark eye color, gray extremities</w:t>
            </w:r>
          </w:p>
          <w:p w:rsidR="00F7563C" w:rsidRPr="000F7F8E" w:rsidRDefault="00D41789" w:rsidP="000F7F8E">
            <w:pPr>
              <w:jc w:val="center"/>
              <w:rPr>
                <w:sz w:val="20"/>
                <w:szCs w:val="20"/>
              </w:rPr>
            </w:pPr>
            <w:r w:rsidRPr="000F7F8E">
              <w:rPr>
                <w:sz w:val="20"/>
                <w:szCs w:val="20"/>
              </w:rPr>
              <w:sym w:font="Symbol" w:char="F0AF"/>
            </w:r>
            <w:r w:rsidRPr="000F7F8E">
              <w:rPr>
                <w:sz w:val="20"/>
                <w:szCs w:val="20"/>
              </w:rPr>
              <w:t xml:space="preserve"> </w:t>
            </w:r>
            <w:r w:rsidR="00F7563C" w:rsidRPr="000F7F8E">
              <w:rPr>
                <w:sz w:val="20"/>
                <w:szCs w:val="20"/>
              </w:rPr>
              <w:t>bw</w:t>
            </w:r>
            <w:r w:rsidR="00B70C7F" w:rsidRPr="000F7F8E">
              <w:rPr>
                <w:sz w:val="20"/>
                <w:szCs w:val="20"/>
              </w:rPr>
              <w:t xml:space="preserve"> gain</w:t>
            </w:r>
          </w:p>
          <w:p w:rsidR="00C67103" w:rsidRPr="000F7F8E" w:rsidRDefault="00D41789" w:rsidP="000F7F8E">
            <w:pPr>
              <w:jc w:val="center"/>
              <w:rPr>
                <w:sz w:val="20"/>
                <w:szCs w:val="20"/>
              </w:rPr>
            </w:pPr>
            <w:r w:rsidRPr="000F7F8E">
              <w:rPr>
                <w:sz w:val="20"/>
                <w:szCs w:val="20"/>
              </w:rPr>
              <w:sym w:font="Symbol" w:char="F0AD"/>
            </w:r>
            <w:r w:rsidRPr="000F7F8E">
              <w:rPr>
                <w:sz w:val="20"/>
                <w:szCs w:val="20"/>
              </w:rPr>
              <w:t xml:space="preserve"> heart we</w:t>
            </w:r>
            <w:r w:rsidR="00C67103" w:rsidRPr="000F7F8E">
              <w:rPr>
                <w:sz w:val="20"/>
                <w:szCs w:val="20"/>
              </w:rPr>
              <w:t>ight</w:t>
            </w:r>
          </w:p>
          <w:p w:rsidR="00C67103" w:rsidRPr="000F7F8E" w:rsidRDefault="00C67103" w:rsidP="000F7F8E">
            <w:pPr>
              <w:jc w:val="center"/>
              <w:rPr>
                <w:sz w:val="20"/>
                <w:szCs w:val="20"/>
              </w:rPr>
            </w:pPr>
          </w:p>
          <w:p w:rsidR="00C67103" w:rsidRPr="000F7F8E" w:rsidRDefault="0010683D" w:rsidP="000F7F8E">
            <w:pPr>
              <w:jc w:val="center"/>
              <w:rPr>
                <w:sz w:val="20"/>
                <w:szCs w:val="20"/>
              </w:rPr>
            </w:pPr>
            <w:r w:rsidRPr="000F7F8E">
              <w:rPr>
                <w:sz w:val="20"/>
                <w:szCs w:val="20"/>
              </w:rPr>
              <w:t>c</w:t>
            </w:r>
            <w:r w:rsidR="00F7563C" w:rsidRPr="000F7F8E">
              <w:rPr>
                <w:sz w:val="20"/>
                <w:szCs w:val="20"/>
              </w:rPr>
              <w:t xml:space="preserve">hanges observed at 350 ppm plus </w:t>
            </w:r>
            <w:r w:rsidR="00D41789" w:rsidRPr="000F7F8E">
              <w:rPr>
                <w:sz w:val="20"/>
                <w:szCs w:val="20"/>
              </w:rPr>
              <w:sym w:font="Symbol" w:char="F0AD"/>
            </w:r>
            <w:r w:rsidR="00F7563C" w:rsidRPr="000F7F8E">
              <w:rPr>
                <w:sz w:val="20"/>
                <w:szCs w:val="20"/>
              </w:rPr>
              <w:t xml:space="preserve"> liver, kidney, testes weights</w:t>
            </w:r>
          </w:p>
          <w:p w:rsidR="00C67103" w:rsidRPr="000F7F8E" w:rsidRDefault="00D41789" w:rsidP="000F7F8E">
            <w:pPr>
              <w:jc w:val="center"/>
              <w:rPr>
                <w:sz w:val="20"/>
                <w:szCs w:val="20"/>
              </w:rPr>
            </w:pPr>
            <w:r w:rsidRPr="000F7F8E">
              <w:rPr>
                <w:sz w:val="20"/>
                <w:szCs w:val="20"/>
              </w:rPr>
              <w:sym w:font="Symbol" w:char="F0AF"/>
            </w:r>
            <w:r w:rsidRPr="000F7F8E">
              <w:rPr>
                <w:sz w:val="20"/>
                <w:szCs w:val="20"/>
              </w:rPr>
              <w:t xml:space="preserve"> thymus weights</w:t>
            </w:r>
          </w:p>
          <w:p w:rsidR="00F7563C" w:rsidRPr="000F7F8E" w:rsidRDefault="00F7563C" w:rsidP="000F7F8E">
            <w:pPr>
              <w:jc w:val="center"/>
              <w:rPr>
                <w:sz w:val="20"/>
                <w:szCs w:val="20"/>
              </w:rPr>
            </w:pPr>
            <w:r w:rsidRPr="000F7F8E">
              <w:rPr>
                <w:sz w:val="20"/>
                <w:szCs w:val="20"/>
              </w:rPr>
              <w:t>perineal soiling</w:t>
            </w:r>
          </w:p>
        </w:tc>
        <w:tc>
          <w:tcPr>
            <w:tcW w:w="2610" w:type="dxa"/>
            <w:tcBorders>
              <w:top w:val="single" w:sz="6" w:space="0" w:color="auto"/>
              <w:bottom w:val="single" w:sz="6" w:space="0" w:color="auto"/>
            </w:tcBorders>
          </w:tcPr>
          <w:p w:rsidR="00F7563C" w:rsidRPr="000F7F8E" w:rsidRDefault="00F7563C" w:rsidP="000F7F8E">
            <w:pPr>
              <w:jc w:val="center"/>
              <w:rPr>
                <w:sz w:val="20"/>
                <w:szCs w:val="20"/>
              </w:rPr>
            </w:pPr>
            <w:r w:rsidRPr="000F7F8E">
              <w:rPr>
                <w:sz w:val="20"/>
                <w:szCs w:val="20"/>
              </w:rPr>
              <w:t>spleen, salivary gland</w:t>
            </w:r>
          </w:p>
          <w:p w:rsidR="00C67103" w:rsidRPr="000F7F8E" w:rsidRDefault="00C67103" w:rsidP="000F7F8E">
            <w:pPr>
              <w:jc w:val="center"/>
              <w:rPr>
                <w:sz w:val="20"/>
                <w:szCs w:val="20"/>
              </w:rPr>
            </w:pPr>
          </w:p>
          <w:p w:rsidR="00C67103" w:rsidRPr="000F7F8E" w:rsidRDefault="00C67103" w:rsidP="000F7F8E">
            <w:pPr>
              <w:jc w:val="center"/>
              <w:rPr>
                <w:sz w:val="20"/>
                <w:szCs w:val="20"/>
              </w:rPr>
            </w:pPr>
          </w:p>
          <w:p w:rsidR="00C67103" w:rsidRPr="000F7F8E" w:rsidRDefault="00C67103" w:rsidP="000F7F8E">
            <w:pPr>
              <w:jc w:val="center"/>
              <w:rPr>
                <w:sz w:val="20"/>
                <w:szCs w:val="20"/>
              </w:rPr>
            </w:pPr>
          </w:p>
          <w:p w:rsidR="008E3AD2" w:rsidRPr="000F7F8E" w:rsidRDefault="008E3AD2" w:rsidP="000F7F8E">
            <w:pPr>
              <w:jc w:val="center"/>
              <w:rPr>
                <w:sz w:val="20"/>
                <w:szCs w:val="20"/>
              </w:rPr>
            </w:pPr>
          </w:p>
          <w:p w:rsidR="008E3AD2" w:rsidRPr="000F7F8E" w:rsidRDefault="008E3AD2" w:rsidP="000F7F8E">
            <w:pPr>
              <w:jc w:val="center"/>
              <w:rPr>
                <w:sz w:val="20"/>
                <w:szCs w:val="20"/>
              </w:rPr>
            </w:pPr>
          </w:p>
          <w:p w:rsidR="00F7563C" w:rsidRPr="000F7F8E" w:rsidRDefault="00F7563C" w:rsidP="000F7F8E">
            <w:pPr>
              <w:jc w:val="center"/>
              <w:rPr>
                <w:sz w:val="20"/>
                <w:szCs w:val="20"/>
              </w:rPr>
            </w:pPr>
            <w:r w:rsidRPr="000F7F8E">
              <w:rPr>
                <w:sz w:val="20"/>
                <w:szCs w:val="20"/>
              </w:rPr>
              <w:t>spleen, n</w:t>
            </w:r>
            <w:r w:rsidR="008E3AD2" w:rsidRPr="000F7F8E">
              <w:rPr>
                <w:sz w:val="20"/>
                <w:szCs w:val="20"/>
              </w:rPr>
              <w:t>asal tissue</w:t>
            </w:r>
            <w:r w:rsidRPr="000F7F8E">
              <w:rPr>
                <w:sz w:val="20"/>
                <w:szCs w:val="20"/>
              </w:rPr>
              <w:t>, salivary gland, liver</w:t>
            </w:r>
          </w:p>
          <w:p w:rsidR="00F7563C" w:rsidRPr="000F7F8E" w:rsidRDefault="00F7563C" w:rsidP="000F7F8E">
            <w:pPr>
              <w:jc w:val="center"/>
              <w:rPr>
                <w:sz w:val="20"/>
                <w:szCs w:val="20"/>
              </w:rPr>
            </w:pPr>
          </w:p>
          <w:p w:rsidR="00F7563C" w:rsidRPr="000F7F8E" w:rsidRDefault="00F7563C" w:rsidP="000F7F8E">
            <w:pPr>
              <w:jc w:val="center"/>
              <w:rPr>
                <w:sz w:val="20"/>
                <w:szCs w:val="20"/>
              </w:rPr>
            </w:pPr>
          </w:p>
          <w:p w:rsidR="00B70C7F" w:rsidRPr="000F7F8E" w:rsidRDefault="00B70C7F" w:rsidP="000F7F8E">
            <w:pPr>
              <w:jc w:val="center"/>
              <w:rPr>
                <w:sz w:val="20"/>
                <w:szCs w:val="20"/>
              </w:rPr>
            </w:pPr>
          </w:p>
          <w:p w:rsidR="00B70C7F" w:rsidRPr="000F7F8E" w:rsidRDefault="00B70C7F" w:rsidP="000F7F8E">
            <w:pPr>
              <w:jc w:val="center"/>
              <w:rPr>
                <w:sz w:val="20"/>
                <w:szCs w:val="20"/>
              </w:rPr>
            </w:pPr>
          </w:p>
          <w:p w:rsidR="00F7563C" w:rsidRPr="000F7F8E" w:rsidRDefault="00D41789" w:rsidP="000F7F8E">
            <w:pPr>
              <w:jc w:val="center"/>
              <w:rPr>
                <w:sz w:val="20"/>
                <w:szCs w:val="20"/>
              </w:rPr>
            </w:pPr>
            <w:r w:rsidRPr="000F7F8E">
              <w:rPr>
                <w:sz w:val="20"/>
                <w:szCs w:val="20"/>
              </w:rPr>
              <w:t>spleen, nasal tissue,  lungs, salivary gland, liver, kidney, adipose tissue</w:t>
            </w:r>
          </w:p>
        </w:tc>
        <w:tc>
          <w:tcPr>
            <w:tcW w:w="3690" w:type="dxa"/>
            <w:tcBorders>
              <w:top w:val="single" w:sz="6" w:space="0" w:color="auto"/>
              <w:bottom w:val="single" w:sz="6" w:space="0" w:color="auto"/>
            </w:tcBorders>
          </w:tcPr>
          <w:p w:rsidR="00F427B3" w:rsidRPr="000F7F8E" w:rsidRDefault="00F427B3" w:rsidP="000F7F8E">
            <w:pPr>
              <w:jc w:val="center"/>
              <w:rPr>
                <w:sz w:val="20"/>
                <w:szCs w:val="20"/>
              </w:rPr>
            </w:pPr>
            <w:r w:rsidRPr="000F7F8E">
              <w:rPr>
                <w:sz w:val="20"/>
                <w:szCs w:val="20"/>
              </w:rPr>
              <w:sym w:font="Symbol" w:char="F0AF"/>
            </w:r>
            <w:r w:rsidRPr="000F7F8E">
              <w:rPr>
                <w:sz w:val="20"/>
                <w:szCs w:val="20"/>
              </w:rPr>
              <w:t xml:space="preserve"> Hb, rbc</w:t>
            </w:r>
            <w:r w:rsidR="00376B63" w:rsidRPr="000F7F8E">
              <w:rPr>
                <w:sz w:val="20"/>
                <w:szCs w:val="20"/>
              </w:rPr>
              <w:t xml:space="preserve"> (one time point)</w:t>
            </w:r>
            <w:r w:rsidRPr="000F7F8E">
              <w:rPr>
                <w:sz w:val="20"/>
                <w:szCs w:val="20"/>
              </w:rPr>
              <w:t>, packed CV, wbc</w:t>
            </w:r>
            <w:r w:rsidR="008E3AD2" w:rsidRPr="000F7F8E">
              <w:rPr>
                <w:sz w:val="20"/>
                <w:szCs w:val="20"/>
              </w:rPr>
              <w:t>, phosphorus (final)</w:t>
            </w:r>
          </w:p>
          <w:p w:rsidR="00F7563C" w:rsidRPr="000F7F8E" w:rsidRDefault="00D41789" w:rsidP="000F7F8E">
            <w:pPr>
              <w:jc w:val="center"/>
              <w:rPr>
                <w:sz w:val="20"/>
                <w:szCs w:val="20"/>
              </w:rPr>
            </w:pPr>
            <w:r w:rsidRPr="000F7F8E">
              <w:rPr>
                <w:sz w:val="20"/>
                <w:szCs w:val="20"/>
              </w:rPr>
              <w:sym w:font="Symbol" w:char="F0AD"/>
            </w:r>
            <w:r w:rsidRPr="000F7F8E">
              <w:rPr>
                <w:sz w:val="20"/>
                <w:szCs w:val="20"/>
              </w:rPr>
              <w:t xml:space="preserve"> </w:t>
            </w:r>
            <w:r w:rsidR="00F7563C" w:rsidRPr="000F7F8E">
              <w:rPr>
                <w:sz w:val="20"/>
                <w:szCs w:val="20"/>
              </w:rPr>
              <w:t>MetHb (females only)</w:t>
            </w:r>
            <w:r w:rsidR="008E3AD2" w:rsidRPr="000F7F8E">
              <w:rPr>
                <w:sz w:val="20"/>
                <w:szCs w:val="20"/>
              </w:rPr>
              <w:t>, glucose, phosphorus (interim)</w:t>
            </w:r>
          </w:p>
          <w:p w:rsidR="00F7563C" w:rsidRPr="000F7F8E" w:rsidRDefault="00F7563C" w:rsidP="000F7F8E">
            <w:pPr>
              <w:jc w:val="center"/>
              <w:rPr>
                <w:sz w:val="20"/>
                <w:szCs w:val="20"/>
              </w:rPr>
            </w:pPr>
          </w:p>
          <w:p w:rsidR="00376B63" w:rsidRPr="000F7F8E" w:rsidRDefault="00376B63" w:rsidP="000F7F8E">
            <w:pPr>
              <w:spacing w:before="80"/>
              <w:jc w:val="center"/>
              <w:rPr>
                <w:sz w:val="20"/>
                <w:szCs w:val="20"/>
              </w:rPr>
            </w:pPr>
            <w:r w:rsidRPr="000F7F8E">
              <w:rPr>
                <w:sz w:val="20"/>
                <w:szCs w:val="20"/>
              </w:rPr>
              <w:sym w:font="Symbol" w:char="F0AF"/>
            </w:r>
            <w:r w:rsidRPr="000F7F8E">
              <w:rPr>
                <w:sz w:val="20"/>
                <w:szCs w:val="20"/>
              </w:rPr>
              <w:t>Hb, rbc (on time point for each)</w:t>
            </w:r>
          </w:p>
          <w:p w:rsidR="00C67103" w:rsidRPr="000F7F8E" w:rsidRDefault="00F427B3" w:rsidP="000F7F8E">
            <w:pPr>
              <w:spacing w:before="80"/>
              <w:jc w:val="center"/>
              <w:rPr>
                <w:sz w:val="20"/>
                <w:szCs w:val="20"/>
              </w:rPr>
            </w:pPr>
            <w:r w:rsidRPr="000F7F8E">
              <w:rPr>
                <w:sz w:val="20"/>
                <w:szCs w:val="20"/>
              </w:rPr>
              <w:sym w:font="Symbol" w:char="F0AF"/>
            </w:r>
            <w:r w:rsidRPr="000F7F8E">
              <w:rPr>
                <w:sz w:val="20"/>
                <w:szCs w:val="20"/>
              </w:rPr>
              <w:t>packed CV</w:t>
            </w:r>
            <w:r w:rsidR="008E3AD2" w:rsidRPr="000F7F8E">
              <w:rPr>
                <w:sz w:val="20"/>
                <w:szCs w:val="20"/>
              </w:rPr>
              <w:t>, glucose</w:t>
            </w:r>
          </w:p>
          <w:p w:rsidR="00F7563C" w:rsidRPr="000F7F8E" w:rsidRDefault="00D41789" w:rsidP="000F7F8E">
            <w:pPr>
              <w:spacing w:before="80"/>
              <w:jc w:val="center"/>
              <w:rPr>
                <w:sz w:val="20"/>
                <w:szCs w:val="20"/>
              </w:rPr>
            </w:pPr>
            <w:r w:rsidRPr="000F7F8E">
              <w:rPr>
                <w:sz w:val="20"/>
                <w:szCs w:val="20"/>
              </w:rPr>
              <w:sym w:font="Symbol" w:char="F0AD"/>
            </w:r>
            <w:r w:rsidRPr="000F7F8E">
              <w:rPr>
                <w:sz w:val="20"/>
                <w:szCs w:val="20"/>
              </w:rPr>
              <w:t xml:space="preserve"> </w:t>
            </w:r>
            <w:r w:rsidR="00F7563C" w:rsidRPr="000F7F8E">
              <w:rPr>
                <w:sz w:val="20"/>
                <w:szCs w:val="20"/>
              </w:rPr>
              <w:t>MetHb, Heinz bodies</w:t>
            </w:r>
            <w:r w:rsidR="00F427B3" w:rsidRPr="000F7F8E">
              <w:rPr>
                <w:sz w:val="20"/>
                <w:szCs w:val="20"/>
              </w:rPr>
              <w:t>, wbc</w:t>
            </w:r>
            <w:r w:rsidR="008E3AD2" w:rsidRPr="000F7F8E">
              <w:rPr>
                <w:sz w:val="20"/>
                <w:szCs w:val="20"/>
              </w:rPr>
              <w:t>, phosphorus</w:t>
            </w:r>
          </w:p>
          <w:p w:rsidR="00F7563C" w:rsidRPr="000F7F8E" w:rsidRDefault="00F7563C" w:rsidP="000F7F8E">
            <w:pPr>
              <w:jc w:val="center"/>
              <w:rPr>
                <w:sz w:val="20"/>
                <w:szCs w:val="20"/>
              </w:rPr>
            </w:pPr>
          </w:p>
          <w:p w:rsidR="00F7563C" w:rsidRPr="000F7F8E" w:rsidRDefault="00F7563C" w:rsidP="000F7F8E">
            <w:pPr>
              <w:jc w:val="center"/>
              <w:rPr>
                <w:sz w:val="20"/>
                <w:szCs w:val="20"/>
              </w:rPr>
            </w:pPr>
          </w:p>
          <w:p w:rsidR="00376B63" w:rsidRPr="000F7F8E" w:rsidRDefault="00376B63" w:rsidP="000F7F8E">
            <w:pPr>
              <w:jc w:val="center"/>
              <w:rPr>
                <w:sz w:val="20"/>
                <w:szCs w:val="20"/>
              </w:rPr>
            </w:pPr>
            <w:r w:rsidRPr="000F7F8E">
              <w:rPr>
                <w:sz w:val="20"/>
                <w:szCs w:val="20"/>
              </w:rPr>
              <w:sym w:font="Symbol" w:char="F0AF"/>
            </w:r>
            <w:r w:rsidR="00D41789" w:rsidRPr="000F7F8E">
              <w:rPr>
                <w:sz w:val="20"/>
                <w:szCs w:val="20"/>
              </w:rPr>
              <w:t xml:space="preserve">Hb (males), </w:t>
            </w:r>
            <w:r w:rsidRPr="000F7F8E">
              <w:rPr>
                <w:sz w:val="20"/>
                <w:szCs w:val="20"/>
              </w:rPr>
              <w:t>rbc</w:t>
            </w:r>
            <w:r w:rsidR="008E3AD2" w:rsidRPr="000F7F8E">
              <w:rPr>
                <w:sz w:val="20"/>
                <w:szCs w:val="20"/>
              </w:rPr>
              <w:t>, glucose, creatinine</w:t>
            </w:r>
          </w:p>
          <w:p w:rsidR="00F7563C" w:rsidRPr="000F7F8E" w:rsidRDefault="00D41789" w:rsidP="000F7F8E">
            <w:pPr>
              <w:jc w:val="center"/>
              <w:rPr>
                <w:sz w:val="20"/>
                <w:szCs w:val="20"/>
              </w:rPr>
            </w:pPr>
            <w:r w:rsidRPr="000F7F8E">
              <w:rPr>
                <w:sz w:val="20"/>
                <w:szCs w:val="20"/>
              </w:rPr>
              <w:sym w:font="Symbol" w:char="F0AD"/>
            </w:r>
            <w:r w:rsidRPr="000F7F8E">
              <w:rPr>
                <w:sz w:val="20"/>
                <w:szCs w:val="20"/>
              </w:rPr>
              <w:t xml:space="preserve"> Hb (females), packed CV, wbc, </w:t>
            </w:r>
            <w:r w:rsidR="00F7563C" w:rsidRPr="000F7F8E">
              <w:rPr>
                <w:sz w:val="20"/>
                <w:szCs w:val="20"/>
              </w:rPr>
              <w:t>reticulocytes, Heinz bodies, MetHb, alk phos</w:t>
            </w:r>
            <w:r w:rsidR="008E3AD2" w:rsidRPr="000F7F8E">
              <w:rPr>
                <w:sz w:val="20"/>
                <w:szCs w:val="20"/>
              </w:rPr>
              <w:t>phatase activity</w:t>
            </w:r>
            <w:r w:rsidR="00F7563C" w:rsidRPr="000F7F8E">
              <w:rPr>
                <w:sz w:val="20"/>
                <w:szCs w:val="20"/>
              </w:rPr>
              <w:t xml:space="preserve">, </w:t>
            </w:r>
            <w:r w:rsidR="008E3AD2" w:rsidRPr="000F7F8E">
              <w:rPr>
                <w:sz w:val="20"/>
                <w:szCs w:val="20"/>
              </w:rPr>
              <w:t xml:space="preserve">phosphorus, </w:t>
            </w:r>
            <w:r w:rsidR="00F7563C" w:rsidRPr="000F7F8E">
              <w:rPr>
                <w:sz w:val="20"/>
                <w:szCs w:val="20"/>
              </w:rPr>
              <w:t>bilirubin</w:t>
            </w:r>
          </w:p>
        </w:tc>
        <w:tc>
          <w:tcPr>
            <w:tcW w:w="2250" w:type="dxa"/>
            <w:tcBorders>
              <w:top w:val="single" w:sz="6" w:space="0" w:color="auto"/>
              <w:bottom w:val="single" w:sz="6" w:space="0" w:color="auto"/>
            </w:tcBorders>
          </w:tcPr>
          <w:p w:rsidR="004260D1" w:rsidRPr="000F7F8E" w:rsidRDefault="004260D1" w:rsidP="000F7F8E">
            <w:pPr>
              <w:jc w:val="center"/>
              <w:rPr>
                <w:sz w:val="20"/>
                <w:szCs w:val="20"/>
              </w:rPr>
            </w:pPr>
          </w:p>
          <w:p w:rsidR="00233455" w:rsidRPr="000F7F8E" w:rsidRDefault="008E3AD2" w:rsidP="000F7F8E">
            <w:pPr>
              <w:jc w:val="center"/>
              <w:rPr>
                <w:sz w:val="20"/>
                <w:szCs w:val="20"/>
              </w:rPr>
            </w:pPr>
            <w:r w:rsidRPr="000F7F8E">
              <w:rPr>
                <w:sz w:val="20"/>
                <w:szCs w:val="20"/>
              </w:rPr>
              <w:t>Gus</w:t>
            </w:r>
            <w:r w:rsidR="00233455" w:rsidRPr="000F7F8E">
              <w:rPr>
                <w:sz w:val="20"/>
                <w:szCs w:val="20"/>
              </w:rPr>
              <w:t>how et al., 1982</w:t>
            </w:r>
          </w:p>
        </w:tc>
      </w:tr>
      <w:tr w:rsidR="00F7563C" w:rsidTr="00332034">
        <w:trPr>
          <w:trHeight w:val="665"/>
        </w:trPr>
        <w:tc>
          <w:tcPr>
            <w:tcW w:w="1458" w:type="dxa"/>
            <w:gridSpan w:val="2"/>
            <w:tcBorders>
              <w:top w:val="single" w:sz="6" w:space="0" w:color="auto"/>
              <w:bottom w:val="single" w:sz="6" w:space="0" w:color="auto"/>
            </w:tcBorders>
          </w:tcPr>
          <w:p w:rsidR="00933118" w:rsidRPr="000F7F8E" w:rsidRDefault="00D41789" w:rsidP="000F7F8E">
            <w:pPr>
              <w:jc w:val="center"/>
              <w:rPr>
                <w:sz w:val="20"/>
                <w:szCs w:val="20"/>
              </w:rPr>
            </w:pPr>
            <w:r w:rsidRPr="000F7F8E">
              <w:rPr>
                <w:sz w:val="20"/>
                <w:szCs w:val="20"/>
              </w:rPr>
              <w:t>Long-Evans rat</w:t>
            </w:r>
          </w:p>
          <w:p w:rsidR="00F7563C" w:rsidRPr="000F7F8E" w:rsidRDefault="00D41789" w:rsidP="000F7F8E">
            <w:pPr>
              <w:jc w:val="center"/>
              <w:rPr>
                <w:sz w:val="20"/>
                <w:szCs w:val="20"/>
              </w:rPr>
            </w:pPr>
            <w:r w:rsidRPr="000F7F8E">
              <w:rPr>
                <w:sz w:val="20"/>
                <w:szCs w:val="20"/>
              </w:rPr>
              <w:t>Inhalation</w:t>
            </w:r>
          </w:p>
          <w:p w:rsidR="00F7563C" w:rsidRPr="000F7F8E" w:rsidRDefault="00D41789" w:rsidP="000F7F8E">
            <w:pPr>
              <w:jc w:val="center"/>
              <w:rPr>
                <w:sz w:val="20"/>
                <w:szCs w:val="20"/>
              </w:rPr>
            </w:pPr>
            <w:r w:rsidRPr="000F7F8E">
              <w:rPr>
                <w:sz w:val="20"/>
                <w:szCs w:val="20"/>
              </w:rPr>
              <w:t>2 yr; 7 h/d; 5 d/wk</w:t>
            </w:r>
          </w:p>
        </w:tc>
        <w:tc>
          <w:tcPr>
            <w:tcW w:w="1350" w:type="dxa"/>
            <w:tcBorders>
              <w:top w:val="single" w:sz="6" w:space="0" w:color="auto"/>
              <w:bottom w:val="single" w:sz="6" w:space="0" w:color="auto"/>
            </w:tcBorders>
          </w:tcPr>
          <w:p w:rsidR="00F7563C" w:rsidRPr="000F7F8E" w:rsidRDefault="00F7563C" w:rsidP="000F7F8E">
            <w:pPr>
              <w:jc w:val="center"/>
              <w:rPr>
                <w:sz w:val="20"/>
                <w:szCs w:val="20"/>
              </w:rPr>
            </w:pPr>
            <w:r w:rsidRPr="000F7F8E">
              <w:rPr>
                <w:sz w:val="20"/>
                <w:szCs w:val="20"/>
              </w:rPr>
              <w:t>100 ppm</w:t>
            </w:r>
          </w:p>
          <w:p w:rsidR="00F7563C" w:rsidRPr="000F7F8E" w:rsidRDefault="00F7563C" w:rsidP="000F7F8E">
            <w:pPr>
              <w:jc w:val="center"/>
              <w:rPr>
                <w:sz w:val="20"/>
                <w:szCs w:val="20"/>
              </w:rPr>
            </w:pPr>
          </w:p>
          <w:p w:rsidR="00F7563C" w:rsidRPr="000F7F8E" w:rsidRDefault="00F7563C" w:rsidP="000F7F8E">
            <w:pPr>
              <w:jc w:val="center"/>
              <w:rPr>
                <w:sz w:val="20"/>
                <w:szCs w:val="20"/>
              </w:rPr>
            </w:pPr>
            <w:r w:rsidRPr="000F7F8E">
              <w:rPr>
                <w:sz w:val="20"/>
                <w:szCs w:val="20"/>
              </w:rPr>
              <w:t>200 ppm</w:t>
            </w:r>
          </w:p>
        </w:tc>
        <w:tc>
          <w:tcPr>
            <w:tcW w:w="2700" w:type="dxa"/>
            <w:tcBorders>
              <w:top w:val="single" w:sz="6" w:space="0" w:color="auto"/>
              <w:bottom w:val="single" w:sz="6" w:space="0" w:color="auto"/>
            </w:tcBorders>
          </w:tcPr>
          <w:p w:rsidR="00F7563C" w:rsidRPr="000F7F8E" w:rsidRDefault="00F7563C" w:rsidP="000F7F8E">
            <w:pPr>
              <w:jc w:val="center"/>
              <w:rPr>
                <w:sz w:val="20"/>
                <w:szCs w:val="20"/>
              </w:rPr>
            </w:pPr>
            <w:r w:rsidRPr="000F7F8E">
              <w:rPr>
                <w:sz w:val="20"/>
                <w:szCs w:val="20"/>
              </w:rPr>
              <w:sym w:font="Symbol" w:char="F0AF"/>
            </w:r>
            <w:r w:rsidRPr="000F7F8E">
              <w:rPr>
                <w:sz w:val="20"/>
                <w:szCs w:val="20"/>
              </w:rPr>
              <w:t xml:space="preserve"> bw, </w:t>
            </w:r>
            <w:r w:rsidRPr="000F7F8E">
              <w:rPr>
                <w:sz w:val="20"/>
                <w:szCs w:val="20"/>
              </w:rPr>
              <w:sym w:font="Symbol" w:char="F0AD"/>
            </w:r>
            <w:r w:rsidRPr="000F7F8E">
              <w:rPr>
                <w:sz w:val="20"/>
                <w:szCs w:val="20"/>
              </w:rPr>
              <w:t xml:space="preserve"> kidney weight*</w:t>
            </w:r>
          </w:p>
          <w:p w:rsidR="00F7563C" w:rsidRPr="000F7F8E" w:rsidRDefault="00F7563C" w:rsidP="000F7F8E">
            <w:pPr>
              <w:jc w:val="center"/>
              <w:rPr>
                <w:sz w:val="20"/>
                <w:szCs w:val="20"/>
              </w:rPr>
            </w:pPr>
          </w:p>
          <w:p w:rsidR="00F7563C" w:rsidRPr="000F7F8E" w:rsidRDefault="00F7563C" w:rsidP="000F7F8E">
            <w:pPr>
              <w:jc w:val="center"/>
              <w:rPr>
                <w:sz w:val="20"/>
                <w:szCs w:val="20"/>
              </w:rPr>
            </w:pPr>
            <w:r w:rsidRPr="000F7F8E">
              <w:rPr>
                <w:sz w:val="20"/>
                <w:szCs w:val="20"/>
              </w:rPr>
              <w:sym w:font="Symbol" w:char="F0AF"/>
            </w:r>
            <w:r w:rsidRPr="000F7F8E">
              <w:rPr>
                <w:sz w:val="20"/>
                <w:szCs w:val="20"/>
              </w:rPr>
              <w:t xml:space="preserve"> bw</w:t>
            </w:r>
          </w:p>
        </w:tc>
        <w:tc>
          <w:tcPr>
            <w:tcW w:w="2610" w:type="dxa"/>
            <w:tcBorders>
              <w:top w:val="single" w:sz="6" w:space="0" w:color="auto"/>
              <w:bottom w:val="single" w:sz="6" w:space="0" w:color="auto"/>
            </w:tcBorders>
          </w:tcPr>
          <w:p w:rsidR="00F7563C" w:rsidRPr="000F7F8E" w:rsidRDefault="00F7563C" w:rsidP="000F7F8E">
            <w:pPr>
              <w:jc w:val="center"/>
              <w:rPr>
                <w:sz w:val="20"/>
                <w:szCs w:val="20"/>
              </w:rPr>
            </w:pPr>
            <w:r w:rsidRPr="000F7F8E">
              <w:rPr>
                <w:sz w:val="20"/>
                <w:szCs w:val="20"/>
              </w:rPr>
              <w:t>none</w:t>
            </w:r>
          </w:p>
          <w:p w:rsidR="00F7563C" w:rsidRPr="000F7F8E" w:rsidRDefault="00F7563C" w:rsidP="000F7F8E">
            <w:pPr>
              <w:jc w:val="center"/>
              <w:rPr>
                <w:sz w:val="20"/>
                <w:szCs w:val="20"/>
              </w:rPr>
            </w:pPr>
          </w:p>
          <w:p w:rsidR="00F7563C" w:rsidRPr="000F7F8E" w:rsidRDefault="00F7563C" w:rsidP="000F7F8E">
            <w:pPr>
              <w:jc w:val="center"/>
              <w:rPr>
                <w:sz w:val="20"/>
                <w:szCs w:val="20"/>
              </w:rPr>
            </w:pPr>
            <w:r w:rsidRPr="000F7F8E">
              <w:rPr>
                <w:sz w:val="20"/>
                <w:szCs w:val="20"/>
              </w:rPr>
              <w:t>none</w:t>
            </w:r>
          </w:p>
        </w:tc>
        <w:tc>
          <w:tcPr>
            <w:tcW w:w="3690" w:type="dxa"/>
            <w:tcBorders>
              <w:top w:val="single" w:sz="6" w:space="0" w:color="auto"/>
              <w:bottom w:val="single" w:sz="6" w:space="0" w:color="auto"/>
            </w:tcBorders>
          </w:tcPr>
          <w:p w:rsidR="00F7563C" w:rsidRPr="000F7F8E" w:rsidRDefault="00E8201E" w:rsidP="000F7F8E">
            <w:pPr>
              <w:jc w:val="center"/>
              <w:rPr>
                <w:sz w:val="20"/>
                <w:szCs w:val="20"/>
              </w:rPr>
            </w:pPr>
            <w:r w:rsidRPr="000F7F8E">
              <w:rPr>
                <w:sz w:val="20"/>
                <w:szCs w:val="20"/>
              </w:rPr>
              <w:t>n</w:t>
            </w:r>
            <w:r w:rsidR="00F7563C" w:rsidRPr="000F7F8E">
              <w:rPr>
                <w:sz w:val="20"/>
                <w:szCs w:val="20"/>
              </w:rPr>
              <w:t>one</w:t>
            </w:r>
          </w:p>
          <w:p w:rsidR="00F7563C" w:rsidRPr="000F7F8E" w:rsidRDefault="00F7563C" w:rsidP="000F7F8E">
            <w:pPr>
              <w:jc w:val="center"/>
              <w:rPr>
                <w:sz w:val="20"/>
                <w:szCs w:val="20"/>
              </w:rPr>
            </w:pPr>
          </w:p>
          <w:p w:rsidR="00F7563C" w:rsidRPr="000F7F8E" w:rsidRDefault="00F7563C" w:rsidP="000F7F8E">
            <w:pPr>
              <w:jc w:val="center"/>
              <w:rPr>
                <w:sz w:val="20"/>
                <w:szCs w:val="20"/>
              </w:rPr>
            </w:pPr>
            <w:r w:rsidRPr="000F7F8E">
              <w:rPr>
                <w:sz w:val="20"/>
                <w:szCs w:val="20"/>
              </w:rPr>
              <w:sym w:font="Symbol" w:char="F0AD"/>
            </w:r>
            <w:r w:rsidRPr="000F7F8E">
              <w:rPr>
                <w:sz w:val="20"/>
                <w:szCs w:val="20"/>
              </w:rPr>
              <w:t xml:space="preserve"> BUN*, protein*</w:t>
            </w:r>
          </w:p>
        </w:tc>
        <w:tc>
          <w:tcPr>
            <w:tcW w:w="2250" w:type="dxa"/>
            <w:tcBorders>
              <w:top w:val="single" w:sz="6" w:space="0" w:color="auto"/>
              <w:bottom w:val="single" w:sz="6" w:space="0" w:color="auto"/>
            </w:tcBorders>
          </w:tcPr>
          <w:p w:rsidR="004260D1" w:rsidRPr="000F7F8E" w:rsidRDefault="004260D1" w:rsidP="000F7F8E">
            <w:pPr>
              <w:jc w:val="center"/>
              <w:rPr>
                <w:sz w:val="20"/>
                <w:szCs w:val="20"/>
              </w:rPr>
            </w:pPr>
          </w:p>
          <w:p w:rsidR="00F7563C" w:rsidRPr="000F7F8E" w:rsidRDefault="00933118" w:rsidP="000F7F8E">
            <w:pPr>
              <w:jc w:val="center"/>
              <w:rPr>
                <w:sz w:val="20"/>
                <w:szCs w:val="20"/>
              </w:rPr>
            </w:pPr>
            <w:r w:rsidRPr="000F7F8E">
              <w:rPr>
                <w:sz w:val="20"/>
                <w:szCs w:val="20"/>
              </w:rPr>
              <w:t>Griffin et al., 1986, 1988</w:t>
            </w:r>
          </w:p>
        </w:tc>
      </w:tr>
      <w:tr w:rsidR="00F7563C" w:rsidRPr="00E430D0" w:rsidTr="00D8614C">
        <w:trPr>
          <w:trHeight w:val="345"/>
        </w:trPr>
        <w:tc>
          <w:tcPr>
            <w:tcW w:w="1458" w:type="dxa"/>
            <w:gridSpan w:val="2"/>
            <w:tcBorders>
              <w:top w:val="single" w:sz="6" w:space="0" w:color="auto"/>
              <w:bottom w:val="single" w:sz="6" w:space="0" w:color="auto"/>
            </w:tcBorders>
          </w:tcPr>
          <w:p w:rsidR="00EB157E" w:rsidRPr="000F7F8E" w:rsidRDefault="00F7563C" w:rsidP="000F7F8E">
            <w:pPr>
              <w:jc w:val="center"/>
              <w:rPr>
                <w:sz w:val="20"/>
                <w:szCs w:val="20"/>
              </w:rPr>
            </w:pPr>
            <w:r w:rsidRPr="000F7F8E">
              <w:rPr>
                <w:sz w:val="20"/>
                <w:szCs w:val="20"/>
              </w:rPr>
              <w:t>B6C3F1 mouse</w:t>
            </w:r>
          </w:p>
          <w:p w:rsidR="00F7563C" w:rsidRPr="000F7F8E" w:rsidRDefault="00EB157E" w:rsidP="000F7F8E">
            <w:pPr>
              <w:jc w:val="center"/>
              <w:rPr>
                <w:sz w:val="20"/>
                <w:szCs w:val="20"/>
              </w:rPr>
            </w:pPr>
            <w:r w:rsidRPr="000F7F8E">
              <w:rPr>
                <w:sz w:val="20"/>
                <w:szCs w:val="20"/>
              </w:rPr>
              <w:t>Inhalation</w:t>
            </w:r>
          </w:p>
          <w:p w:rsidR="00F7563C" w:rsidRPr="000F7F8E" w:rsidRDefault="00F7563C" w:rsidP="000F7F8E">
            <w:pPr>
              <w:jc w:val="center"/>
              <w:rPr>
                <w:sz w:val="20"/>
                <w:szCs w:val="20"/>
              </w:rPr>
            </w:pPr>
            <w:r w:rsidRPr="000F7F8E">
              <w:rPr>
                <w:sz w:val="20"/>
                <w:szCs w:val="20"/>
              </w:rPr>
              <w:t>13 w</w:t>
            </w:r>
            <w:r w:rsidR="00EB157E" w:rsidRPr="000F7F8E">
              <w:rPr>
                <w:sz w:val="20"/>
                <w:szCs w:val="20"/>
              </w:rPr>
              <w:t>k; 6 h/d; 5 d/wk</w:t>
            </w:r>
          </w:p>
        </w:tc>
        <w:tc>
          <w:tcPr>
            <w:tcW w:w="1350" w:type="dxa"/>
            <w:tcBorders>
              <w:top w:val="single" w:sz="6" w:space="0" w:color="auto"/>
              <w:bottom w:val="single" w:sz="6" w:space="0" w:color="auto"/>
            </w:tcBorders>
          </w:tcPr>
          <w:p w:rsidR="00954AA4" w:rsidRPr="000F7F8E" w:rsidRDefault="00F7563C" w:rsidP="000F7F8E">
            <w:pPr>
              <w:jc w:val="center"/>
              <w:rPr>
                <w:sz w:val="20"/>
                <w:szCs w:val="20"/>
                <w:vertAlign w:val="superscript"/>
              </w:rPr>
            </w:pPr>
            <w:r w:rsidRPr="000F7F8E">
              <w:rPr>
                <w:sz w:val="20"/>
                <w:szCs w:val="20"/>
              </w:rPr>
              <w:t>100 ppm</w:t>
            </w:r>
          </w:p>
          <w:p w:rsidR="00F7563C" w:rsidRPr="000F7F8E" w:rsidRDefault="00954AA4" w:rsidP="000F7F8E">
            <w:pPr>
              <w:jc w:val="center"/>
              <w:rPr>
                <w:sz w:val="20"/>
                <w:szCs w:val="20"/>
                <w:vertAlign w:val="superscript"/>
              </w:rPr>
            </w:pPr>
            <w:r w:rsidRPr="000F7F8E">
              <w:rPr>
                <w:sz w:val="20"/>
                <w:szCs w:val="20"/>
              </w:rPr>
              <w:t>[</w:t>
            </w:r>
            <w:r w:rsidR="00D41789" w:rsidRPr="000F7F8E">
              <w:rPr>
                <w:sz w:val="20"/>
                <w:szCs w:val="20"/>
              </w:rPr>
              <w:t>LOAEC</w:t>
            </w:r>
            <w:r w:rsidR="00EB157E" w:rsidRPr="000F7F8E">
              <w:rPr>
                <w:sz w:val="20"/>
                <w:szCs w:val="20"/>
                <w:vertAlign w:val="subscript"/>
              </w:rPr>
              <w:t>sys</w:t>
            </w:r>
            <w:r w:rsidR="00EB157E" w:rsidRPr="000F7F8E">
              <w:rPr>
                <w:sz w:val="20"/>
                <w:szCs w:val="20"/>
              </w:rPr>
              <w:t>;</w:t>
            </w:r>
          </w:p>
          <w:p w:rsidR="00EB157E" w:rsidRPr="000F7F8E" w:rsidRDefault="00EB157E" w:rsidP="000F7F8E">
            <w:pPr>
              <w:jc w:val="center"/>
              <w:rPr>
                <w:sz w:val="20"/>
                <w:szCs w:val="20"/>
              </w:rPr>
            </w:pPr>
            <w:r w:rsidRPr="000F7F8E">
              <w:rPr>
                <w:sz w:val="20"/>
                <w:szCs w:val="20"/>
              </w:rPr>
              <w:t>NOAEC</w:t>
            </w:r>
            <w:r w:rsidR="00D41789" w:rsidRPr="000F7F8E">
              <w:rPr>
                <w:sz w:val="20"/>
                <w:szCs w:val="20"/>
                <w:vertAlign w:val="subscript"/>
              </w:rPr>
              <w:t>local</w:t>
            </w:r>
            <w:r w:rsidRPr="000F7F8E">
              <w:rPr>
                <w:sz w:val="20"/>
                <w:szCs w:val="20"/>
              </w:rPr>
              <w:t>]</w:t>
            </w:r>
          </w:p>
          <w:p w:rsidR="00EB157E" w:rsidRPr="000F7F8E" w:rsidRDefault="00EB157E" w:rsidP="000F7F8E">
            <w:pPr>
              <w:jc w:val="center"/>
              <w:rPr>
                <w:sz w:val="20"/>
                <w:szCs w:val="20"/>
              </w:rPr>
            </w:pPr>
          </w:p>
          <w:p w:rsidR="00954AA4" w:rsidRPr="000F7F8E" w:rsidRDefault="00954AA4" w:rsidP="000F7F8E">
            <w:pPr>
              <w:jc w:val="center"/>
              <w:rPr>
                <w:sz w:val="20"/>
                <w:szCs w:val="20"/>
              </w:rPr>
            </w:pPr>
          </w:p>
          <w:p w:rsidR="00954AA4" w:rsidRPr="000F7F8E" w:rsidRDefault="00954AA4" w:rsidP="000F7F8E">
            <w:pPr>
              <w:jc w:val="center"/>
              <w:rPr>
                <w:sz w:val="20"/>
                <w:szCs w:val="20"/>
              </w:rPr>
            </w:pPr>
          </w:p>
          <w:p w:rsidR="00F7563C" w:rsidRPr="000F7F8E" w:rsidRDefault="00F7563C" w:rsidP="000F7F8E">
            <w:pPr>
              <w:jc w:val="center"/>
              <w:rPr>
                <w:sz w:val="20"/>
                <w:szCs w:val="20"/>
                <w:vertAlign w:val="superscript"/>
              </w:rPr>
            </w:pPr>
            <w:r w:rsidRPr="000F7F8E">
              <w:rPr>
                <w:sz w:val="20"/>
                <w:szCs w:val="20"/>
              </w:rPr>
              <w:t>350 ppm</w:t>
            </w:r>
          </w:p>
          <w:p w:rsidR="00F7563C" w:rsidRPr="000F7F8E" w:rsidRDefault="00EB157E" w:rsidP="000F7F8E">
            <w:pPr>
              <w:jc w:val="center"/>
              <w:rPr>
                <w:sz w:val="20"/>
                <w:szCs w:val="20"/>
              </w:rPr>
            </w:pPr>
            <w:r w:rsidRPr="000F7F8E">
              <w:rPr>
                <w:sz w:val="20"/>
                <w:szCs w:val="20"/>
              </w:rPr>
              <w:t>[LOAEC</w:t>
            </w:r>
            <w:r w:rsidR="00D41789" w:rsidRPr="000F7F8E">
              <w:rPr>
                <w:sz w:val="20"/>
                <w:szCs w:val="20"/>
                <w:vertAlign w:val="subscript"/>
              </w:rPr>
              <w:t>sys</w:t>
            </w:r>
            <w:r w:rsidRPr="000F7F8E">
              <w:rPr>
                <w:sz w:val="20"/>
                <w:szCs w:val="20"/>
              </w:rPr>
              <w:t>]</w:t>
            </w:r>
          </w:p>
          <w:p w:rsidR="00EB157E" w:rsidRPr="000F7F8E" w:rsidRDefault="00EB157E" w:rsidP="000F7F8E">
            <w:pPr>
              <w:jc w:val="center"/>
              <w:rPr>
                <w:sz w:val="20"/>
                <w:szCs w:val="20"/>
              </w:rPr>
            </w:pPr>
          </w:p>
          <w:p w:rsidR="00954AA4" w:rsidRPr="000F7F8E" w:rsidRDefault="00954AA4" w:rsidP="000F7F8E">
            <w:pPr>
              <w:jc w:val="center"/>
              <w:rPr>
                <w:sz w:val="20"/>
                <w:szCs w:val="20"/>
              </w:rPr>
            </w:pPr>
          </w:p>
          <w:p w:rsidR="00954AA4" w:rsidRPr="000F7F8E" w:rsidRDefault="00954AA4" w:rsidP="000F7F8E">
            <w:pPr>
              <w:jc w:val="center"/>
              <w:rPr>
                <w:sz w:val="20"/>
                <w:szCs w:val="20"/>
              </w:rPr>
            </w:pPr>
          </w:p>
          <w:p w:rsidR="00F7563C" w:rsidRPr="000F7F8E" w:rsidRDefault="00F7563C" w:rsidP="000F7F8E">
            <w:pPr>
              <w:jc w:val="center"/>
              <w:rPr>
                <w:sz w:val="20"/>
                <w:szCs w:val="20"/>
              </w:rPr>
            </w:pPr>
            <w:r w:rsidRPr="000F7F8E">
              <w:rPr>
                <w:sz w:val="20"/>
                <w:szCs w:val="20"/>
              </w:rPr>
              <w:t>1000 ppm</w:t>
            </w:r>
          </w:p>
          <w:p w:rsidR="00F7563C" w:rsidRPr="000F7F8E" w:rsidRDefault="00F7563C" w:rsidP="000F7F8E">
            <w:pPr>
              <w:jc w:val="center"/>
              <w:rPr>
                <w:sz w:val="20"/>
                <w:szCs w:val="20"/>
              </w:rPr>
            </w:pPr>
          </w:p>
        </w:tc>
        <w:tc>
          <w:tcPr>
            <w:tcW w:w="2700" w:type="dxa"/>
            <w:tcBorders>
              <w:top w:val="single" w:sz="6" w:space="0" w:color="auto"/>
              <w:bottom w:val="single" w:sz="6" w:space="0" w:color="auto"/>
            </w:tcBorders>
          </w:tcPr>
          <w:p w:rsidR="00EB157E" w:rsidRPr="000F7F8E" w:rsidRDefault="00EB157E" w:rsidP="000F7F8E">
            <w:pPr>
              <w:jc w:val="center"/>
              <w:rPr>
                <w:sz w:val="20"/>
                <w:szCs w:val="20"/>
              </w:rPr>
            </w:pPr>
            <w:r w:rsidRPr="000F7F8E">
              <w:rPr>
                <w:sz w:val="20"/>
                <w:szCs w:val="20"/>
              </w:rPr>
              <w:sym w:font="Symbol" w:char="F0AF"/>
            </w:r>
            <w:r w:rsidRPr="000F7F8E">
              <w:rPr>
                <w:sz w:val="20"/>
                <w:szCs w:val="20"/>
              </w:rPr>
              <w:sym w:font="Symbol" w:char="F0AD"/>
            </w:r>
            <w:r w:rsidRPr="000F7F8E">
              <w:rPr>
                <w:sz w:val="20"/>
                <w:szCs w:val="20"/>
              </w:rPr>
              <w:t xml:space="preserve"> kidney weight</w:t>
            </w:r>
          </w:p>
          <w:p w:rsidR="00F7563C" w:rsidRPr="000F7F8E" w:rsidRDefault="00EB157E" w:rsidP="000F7F8E">
            <w:pPr>
              <w:jc w:val="center"/>
              <w:rPr>
                <w:sz w:val="20"/>
                <w:szCs w:val="20"/>
              </w:rPr>
            </w:pPr>
            <w:r w:rsidRPr="000F7F8E">
              <w:rPr>
                <w:sz w:val="20"/>
                <w:szCs w:val="20"/>
              </w:rPr>
              <w:sym w:font="Symbol" w:char="F0AF"/>
            </w:r>
            <w:r w:rsidRPr="000F7F8E">
              <w:rPr>
                <w:sz w:val="20"/>
                <w:szCs w:val="20"/>
              </w:rPr>
              <w:t xml:space="preserve">  heart, thymus weights</w:t>
            </w:r>
          </w:p>
          <w:p w:rsidR="00F7563C" w:rsidRPr="000F7F8E" w:rsidRDefault="00F7563C" w:rsidP="000F7F8E">
            <w:pPr>
              <w:jc w:val="center"/>
              <w:rPr>
                <w:sz w:val="20"/>
                <w:szCs w:val="20"/>
              </w:rPr>
            </w:pPr>
          </w:p>
          <w:p w:rsidR="00954AA4" w:rsidRPr="000F7F8E" w:rsidRDefault="00954AA4" w:rsidP="000F7F8E">
            <w:pPr>
              <w:jc w:val="center"/>
              <w:rPr>
                <w:sz w:val="20"/>
                <w:szCs w:val="20"/>
              </w:rPr>
            </w:pPr>
          </w:p>
          <w:p w:rsidR="00954AA4" w:rsidRPr="000F7F8E" w:rsidRDefault="00954AA4" w:rsidP="000F7F8E">
            <w:pPr>
              <w:jc w:val="center"/>
              <w:rPr>
                <w:sz w:val="20"/>
                <w:szCs w:val="20"/>
              </w:rPr>
            </w:pPr>
          </w:p>
          <w:p w:rsidR="00954AA4" w:rsidRPr="000F7F8E" w:rsidRDefault="00954AA4" w:rsidP="000F7F8E">
            <w:pPr>
              <w:jc w:val="center"/>
              <w:rPr>
                <w:sz w:val="20"/>
                <w:szCs w:val="20"/>
              </w:rPr>
            </w:pPr>
          </w:p>
          <w:p w:rsidR="00EB157E" w:rsidRPr="000F7F8E" w:rsidRDefault="00EB157E" w:rsidP="000F7F8E">
            <w:pPr>
              <w:jc w:val="center"/>
              <w:rPr>
                <w:sz w:val="20"/>
                <w:szCs w:val="20"/>
              </w:rPr>
            </w:pPr>
            <w:r w:rsidRPr="000F7F8E">
              <w:rPr>
                <w:sz w:val="20"/>
                <w:szCs w:val="20"/>
              </w:rPr>
              <w:sym w:font="Symbol" w:char="F0AF"/>
            </w:r>
            <w:r w:rsidRPr="000F7F8E">
              <w:rPr>
                <w:sz w:val="20"/>
                <w:szCs w:val="20"/>
              </w:rPr>
              <w:sym w:font="Symbol" w:char="F0AD"/>
            </w:r>
            <w:r w:rsidRPr="000F7F8E">
              <w:rPr>
                <w:sz w:val="20"/>
                <w:szCs w:val="20"/>
              </w:rPr>
              <w:t xml:space="preserve"> kidney weight</w:t>
            </w:r>
          </w:p>
          <w:p w:rsidR="00EB157E" w:rsidRPr="000F7F8E" w:rsidRDefault="00EB157E" w:rsidP="000F7F8E">
            <w:pPr>
              <w:jc w:val="center"/>
              <w:rPr>
                <w:sz w:val="20"/>
                <w:szCs w:val="20"/>
              </w:rPr>
            </w:pPr>
            <w:r w:rsidRPr="000F7F8E">
              <w:rPr>
                <w:sz w:val="20"/>
                <w:szCs w:val="20"/>
              </w:rPr>
              <w:sym w:font="Symbol" w:char="F0AF"/>
            </w:r>
            <w:r w:rsidRPr="000F7F8E">
              <w:rPr>
                <w:sz w:val="20"/>
                <w:szCs w:val="20"/>
              </w:rPr>
              <w:t xml:space="preserve">  heart, thymus, liver weights</w:t>
            </w:r>
          </w:p>
          <w:p w:rsidR="00F7563C" w:rsidRPr="000F7F8E" w:rsidRDefault="00F7563C" w:rsidP="000F7F8E">
            <w:pPr>
              <w:jc w:val="center"/>
              <w:rPr>
                <w:sz w:val="20"/>
                <w:szCs w:val="20"/>
              </w:rPr>
            </w:pPr>
            <w:r w:rsidRPr="000F7F8E">
              <w:rPr>
                <w:sz w:val="20"/>
                <w:szCs w:val="20"/>
              </w:rPr>
              <w:sym w:font="Symbol" w:char="F0AD"/>
            </w:r>
            <w:r w:rsidRPr="000F7F8E">
              <w:rPr>
                <w:sz w:val="20"/>
                <w:szCs w:val="20"/>
              </w:rPr>
              <w:t xml:space="preserve"> testes weight</w:t>
            </w:r>
          </w:p>
          <w:p w:rsidR="00F7563C" w:rsidRPr="000F7F8E" w:rsidRDefault="00F7563C" w:rsidP="000F7F8E">
            <w:pPr>
              <w:jc w:val="center"/>
              <w:rPr>
                <w:sz w:val="20"/>
                <w:szCs w:val="20"/>
              </w:rPr>
            </w:pPr>
          </w:p>
          <w:p w:rsidR="00F7563C" w:rsidRPr="000F7F8E" w:rsidRDefault="00F7563C" w:rsidP="000F7F8E">
            <w:pPr>
              <w:jc w:val="center"/>
              <w:rPr>
                <w:sz w:val="20"/>
                <w:szCs w:val="20"/>
              </w:rPr>
            </w:pPr>
          </w:p>
          <w:p w:rsidR="00954AA4" w:rsidRPr="000F7F8E" w:rsidRDefault="00F7563C" w:rsidP="000F7F8E">
            <w:pPr>
              <w:jc w:val="center"/>
              <w:rPr>
                <w:sz w:val="20"/>
                <w:szCs w:val="20"/>
              </w:rPr>
            </w:pPr>
            <w:r w:rsidRPr="000F7F8E">
              <w:rPr>
                <w:sz w:val="20"/>
                <w:szCs w:val="20"/>
              </w:rPr>
              <w:sym w:font="Symbol" w:char="F0AF"/>
            </w:r>
            <w:r w:rsidRPr="000F7F8E">
              <w:rPr>
                <w:sz w:val="20"/>
                <w:szCs w:val="20"/>
              </w:rPr>
              <w:t xml:space="preserve"> </w:t>
            </w:r>
            <w:r w:rsidR="00954AA4" w:rsidRPr="000F7F8E">
              <w:rPr>
                <w:sz w:val="20"/>
                <w:szCs w:val="20"/>
              </w:rPr>
              <w:t>heart, kidney and thymus weights</w:t>
            </w:r>
          </w:p>
          <w:p w:rsidR="00F7563C" w:rsidRPr="000F7F8E" w:rsidRDefault="00F7563C" w:rsidP="000F7F8E">
            <w:pPr>
              <w:jc w:val="center"/>
              <w:rPr>
                <w:sz w:val="20"/>
                <w:szCs w:val="20"/>
              </w:rPr>
            </w:pPr>
            <w:r w:rsidRPr="000F7F8E">
              <w:rPr>
                <w:sz w:val="20"/>
                <w:szCs w:val="20"/>
              </w:rPr>
              <w:sym w:font="Symbol" w:char="F0AD"/>
            </w:r>
            <w:r w:rsidRPr="000F7F8E">
              <w:rPr>
                <w:sz w:val="20"/>
                <w:szCs w:val="20"/>
              </w:rPr>
              <w:t xml:space="preserve"> liver, testes weight</w:t>
            </w:r>
          </w:p>
        </w:tc>
        <w:tc>
          <w:tcPr>
            <w:tcW w:w="2610" w:type="dxa"/>
            <w:tcBorders>
              <w:top w:val="single" w:sz="6" w:space="0" w:color="auto"/>
              <w:bottom w:val="single" w:sz="6" w:space="0" w:color="auto"/>
            </w:tcBorders>
          </w:tcPr>
          <w:p w:rsidR="00F7563C" w:rsidRPr="000F7F8E" w:rsidRDefault="00954AA4" w:rsidP="000F7F8E">
            <w:pPr>
              <w:jc w:val="center"/>
              <w:rPr>
                <w:sz w:val="20"/>
                <w:szCs w:val="20"/>
              </w:rPr>
            </w:pPr>
            <w:r w:rsidRPr="000F7F8E">
              <w:rPr>
                <w:sz w:val="20"/>
                <w:szCs w:val="20"/>
              </w:rPr>
              <w:t>none</w:t>
            </w:r>
          </w:p>
          <w:p w:rsidR="00F7563C" w:rsidRPr="000F7F8E" w:rsidRDefault="00F7563C" w:rsidP="000F7F8E">
            <w:pPr>
              <w:jc w:val="center"/>
              <w:rPr>
                <w:sz w:val="20"/>
                <w:szCs w:val="20"/>
              </w:rPr>
            </w:pPr>
          </w:p>
          <w:p w:rsidR="00954AA4" w:rsidRPr="000F7F8E" w:rsidRDefault="00954AA4" w:rsidP="000F7F8E">
            <w:pPr>
              <w:jc w:val="center"/>
              <w:rPr>
                <w:sz w:val="20"/>
                <w:szCs w:val="20"/>
              </w:rPr>
            </w:pPr>
          </w:p>
          <w:p w:rsidR="00954AA4" w:rsidRPr="000F7F8E" w:rsidRDefault="00954AA4" w:rsidP="000F7F8E">
            <w:pPr>
              <w:jc w:val="center"/>
              <w:rPr>
                <w:sz w:val="20"/>
                <w:szCs w:val="20"/>
              </w:rPr>
            </w:pPr>
          </w:p>
          <w:p w:rsidR="00954AA4" w:rsidRPr="000F7F8E" w:rsidRDefault="00954AA4" w:rsidP="000F7F8E">
            <w:pPr>
              <w:jc w:val="center"/>
              <w:rPr>
                <w:sz w:val="20"/>
                <w:szCs w:val="20"/>
              </w:rPr>
            </w:pPr>
          </w:p>
          <w:p w:rsidR="00954AA4" w:rsidRPr="000F7F8E" w:rsidRDefault="00954AA4" w:rsidP="000F7F8E">
            <w:pPr>
              <w:jc w:val="center"/>
              <w:rPr>
                <w:sz w:val="20"/>
                <w:szCs w:val="20"/>
              </w:rPr>
            </w:pPr>
          </w:p>
          <w:p w:rsidR="00F7563C" w:rsidRPr="000F7F8E" w:rsidRDefault="00954AA4" w:rsidP="000F7F8E">
            <w:pPr>
              <w:jc w:val="center"/>
              <w:rPr>
                <w:sz w:val="20"/>
                <w:szCs w:val="20"/>
              </w:rPr>
            </w:pPr>
            <w:r w:rsidRPr="000F7F8E">
              <w:rPr>
                <w:sz w:val="20"/>
                <w:szCs w:val="20"/>
              </w:rPr>
              <w:t>salivary gland, nasal tissues</w:t>
            </w:r>
            <w:r w:rsidR="00F7563C" w:rsidRPr="000F7F8E">
              <w:rPr>
                <w:sz w:val="20"/>
                <w:szCs w:val="20"/>
              </w:rPr>
              <w:t>, liver</w:t>
            </w:r>
          </w:p>
          <w:p w:rsidR="00F7563C" w:rsidRPr="000F7F8E" w:rsidRDefault="00F7563C" w:rsidP="000F7F8E">
            <w:pPr>
              <w:jc w:val="center"/>
              <w:rPr>
                <w:sz w:val="20"/>
                <w:szCs w:val="20"/>
              </w:rPr>
            </w:pPr>
          </w:p>
          <w:p w:rsidR="00954AA4" w:rsidRPr="000F7F8E" w:rsidRDefault="00954AA4" w:rsidP="000F7F8E">
            <w:pPr>
              <w:jc w:val="center"/>
              <w:rPr>
                <w:sz w:val="20"/>
                <w:szCs w:val="20"/>
              </w:rPr>
            </w:pPr>
          </w:p>
          <w:p w:rsidR="00954AA4" w:rsidRPr="000F7F8E" w:rsidRDefault="00954AA4" w:rsidP="000F7F8E">
            <w:pPr>
              <w:jc w:val="center"/>
              <w:rPr>
                <w:sz w:val="20"/>
                <w:szCs w:val="20"/>
              </w:rPr>
            </w:pPr>
          </w:p>
          <w:p w:rsidR="00F7563C" w:rsidRPr="000F7F8E" w:rsidRDefault="00F7563C" w:rsidP="000F7F8E">
            <w:pPr>
              <w:jc w:val="center"/>
              <w:rPr>
                <w:sz w:val="20"/>
                <w:szCs w:val="20"/>
              </w:rPr>
            </w:pPr>
            <w:r w:rsidRPr="000F7F8E">
              <w:rPr>
                <w:sz w:val="20"/>
                <w:szCs w:val="20"/>
              </w:rPr>
              <w:t xml:space="preserve">salivary gland,  liver, </w:t>
            </w:r>
            <w:r w:rsidR="00954AA4" w:rsidRPr="000F7F8E">
              <w:rPr>
                <w:sz w:val="20"/>
                <w:szCs w:val="20"/>
              </w:rPr>
              <w:t>nasal tissues</w:t>
            </w:r>
            <w:r w:rsidRPr="000F7F8E">
              <w:rPr>
                <w:sz w:val="20"/>
                <w:szCs w:val="20"/>
              </w:rPr>
              <w:t>, testes</w:t>
            </w:r>
          </w:p>
          <w:p w:rsidR="00F7563C" w:rsidRPr="000F7F8E" w:rsidRDefault="00F7563C" w:rsidP="000F7F8E">
            <w:pPr>
              <w:jc w:val="center"/>
              <w:rPr>
                <w:sz w:val="20"/>
                <w:szCs w:val="20"/>
              </w:rPr>
            </w:pPr>
          </w:p>
        </w:tc>
        <w:tc>
          <w:tcPr>
            <w:tcW w:w="3690" w:type="dxa"/>
            <w:tcBorders>
              <w:top w:val="single" w:sz="6" w:space="0" w:color="auto"/>
              <w:bottom w:val="single" w:sz="6" w:space="0" w:color="auto"/>
            </w:tcBorders>
          </w:tcPr>
          <w:p w:rsidR="00F7563C" w:rsidRPr="000F7F8E" w:rsidRDefault="00EB157E" w:rsidP="000F7F8E">
            <w:pPr>
              <w:jc w:val="center"/>
              <w:rPr>
                <w:sz w:val="20"/>
                <w:szCs w:val="20"/>
              </w:rPr>
            </w:pPr>
            <w:r w:rsidRPr="000F7F8E">
              <w:rPr>
                <w:sz w:val="20"/>
                <w:szCs w:val="20"/>
              </w:rPr>
              <w:sym w:font="Symbol" w:char="F0AF"/>
            </w:r>
            <w:r w:rsidRPr="000F7F8E">
              <w:rPr>
                <w:sz w:val="20"/>
                <w:szCs w:val="20"/>
              </w:rPr>
              <w:t xml:space="preserve"> BUN, alkaline phosphatase (interim)</w:t>
            </w:r>
          </w:p>
          <w:p w:rsidR="00F7563C" w:rsidRPr="000F7F8E" w:rsidRDefault="00F7563C" w:rsidP="000F7F8E">
            <w:pPr>
              <w:jc w:val="center"/>
              <w:rPr>
                <w:sz w:val="20"/>
                <w:szCs w:val="20"/>
              </w:rPr>
            </w:pPr>
          </w:p>
          <w:p w:rsidR="00954AA4" w:rsidRPr="000F7F8E" w:rsidRDefault="00954AA4" w:rsidP="000F7F8E">
            <w:pPr>
              <w:jc w:val="center"/>
              <w:rPr>
                <w:sz w:val="20"/>
                <w:szCs w:val="20"/>
              </w:rPr>
            </w:pPr>
          </w:p>
          <w:p w:rsidR="00954AA4" w:rsidRPr="000F7F8E" w:rsidRDefault="00954AA4" w:rsidP="000F7F8E">
            <w:pPr>
              <w:jc w:val="center"/>
              <w:rPr>
                <w:sz w:val="20"/>
                <w:szCs w:val="20"/>
              </w:rPr>
            </w:pPr>
          </w:p>
          <w:p w:rsidR="00954AA4" w:rsidRPr="000F7F8E" w:rsidRDefault="00954AA4" w:rsidP="000F7F8E">
            <w:pPr>
              <w:jc w:val="center"/>
              <w:rPr>
                <w:sz w:val="20"/>
                <w:szCs w:val="20"/>
              </w:rPr>
            </w:pPr>
          </w:p>
          <w:p w:rsidR="00954AA4" w:rsidRPr="000F7F8E" w:rsidRDefault="00954AA4" w:rsidP="000F7F8E">
            <w:pPr>
              <w:jc w:val="center"/>
              <w:rPr>
                <w:sz w:val="20"/>
                <w:szCs w:val="20"/>
              </w:rPr>
            </w:pPr>
          </w:p>
          <w:p w:rsidR="004C2D3D" w:rsidRPr="000F7F8E" w:rsidRDefault="00F7563C" w:rsidP="000F7F8E">
            <w:pPr>
              <w:jc w:val="center"/>
              <w:rPr>
                <w:sz w:val="20"/>
                <w:szCs w:val="20"/>
              </w:rPr>
            </w:pPr>
            <w:r w:rsidRPr="000F7F8E">
              <w:rPr>
                <w:sz w:val="20"/>
                <w:szCs w:val="20"/>
              </w:rPr>
              <w:sym w:font="Symbol" w:char="F0AD"/>
            </w:r>
            <w:r w:rsidRPr="000F7F8E">
              <w:rPr>
                <w:sz w:val="20"/>
                <w:szCs w:val="20"/>
              </w:rPr>
              <w:t xml:space="preserve"> reticulocyt</w:t>
            </w:r>
            <w:r w:rsidR="004C2D3D" w:rsidRPr="000F7F8E">
              <w:rPr>
                <w:sz w:val="20"/>
                <w:szCs w:val="20"/>
              </w:rPr>
              <w:t>es, MetHb,Heinz bodies</w:t>
            </w:r>
          </w:p>
          <w:p w:rsidR="00F7563C" w:rsidRPr="000F7F8E" w:rsidRDefault="00F7563C" w:rsidP="000F7F8E">
            <w:pPr>
              <w:jc w:val="center"/>
              <w:rPr>
                <w:sz w:val="20"/>
                <w:szCs w:val="20"/>
              </w:rPr>
            </w:pPr>
            <w:r w:rsidRPr="000F7F8E">
              <w:rPr>
                <w:sz w:val="20"/>
                <w:szCs w:val="20"/>
              </w:rPr>
              <w:sym w:font="Symbol" w:char="F0AF"/>
            </w:r>
            <w:r w:rsidRPr="000F7F8E">
              <w:rPr>
                <w:sz w:val="20"/>
                <w:szCs w:val="20"/>
              </w:rPr>
              <w:t xml:space="preserve"> BUN</w:t>
            </w:r>
            <w:r w:rsidR="004C2D3D" w:rsidRPr="000F7F8E">
              <w:rPr>
                <w:sz w:val="20"/>
                <w:szCs w:val="20"/>
              </w:rPr>
              <w:t>, rbc</w:t>
            </w:r>
          </w:p>
          <w:p w:rsidR="00F7563C" w:rsidRPr="000F7F8E" w:rsidRDefault="00F7563C" w:rsidP="000F7F8E">
            <w:pPr>
              <w:jc w:val="center"/>
              <w:rPr>
                <w:sz w:val="20"/>
                <w:szCs w:val="20"/>
              </w:rPr>
            </w:pPr>
          </w:p>
          <w:p w:rsidR="00954AA4" w:rsidRPr="000F7F8E" w:rsidRDefault="00954AA4" w:rsidP="000F7F8E">
            <w:pPr>
              <w:jc w:val="center"/>
              <w:rPr>
                <w:sz w:val="20"/>
                <w:szCs w:val="20"/>
              </w:rPr>
            </w:pPr>
          </w:p>
          <w:p w:rsidR="00954AA4" w:rsidRPr="000F7F8E" w:rsidRDefault="00954AA4" w:rsidP="000F7F8E">
            <w:pPr>
              <w:jc w:val="center"/>
              <w:rPr>
                <w:sz w:val="20"/>
                <w:szCs w:val="20"/>
              </w:rPr>
            </w:pPr>
          </w:p>
          <w:p w:rsidR="004C2D3D" w:rsidRPr="000F7F8E" w:rsidRDefault="00F7563C" w:rsidP="000F7F8E">
            <w:pPr>
              <w:jc w:val="center"/>
              <w:rPr>
                <w:sz w:val="20"/>
                <w:szCs w:val="20"/>
                <w:lang w:val="de-DE"/>
              </w:rPr>
            </w:pPr>
            <w:r w:rsidRPr="000F7F8E">
              <w:rPr>
                <w:sz w:val="20"/>
                <w:szCs w:val="20"/>
              </w:rPr>
              <w:sym w:font="Symbol" w:char="F0AD"/>
            </w:r>
            <w:r w:rsidR="004C2D3D" w:rsidRPr="000F7F8E">
              <w:rPr>
                <w:sz w:val="20"/>
                <w:szCs w:val="20"/>
                <w:lang w:val="de-DE"/>
              </w:rPr>
              <w:t xml:space="preserve">Hb, </w:t>
            </w:r>
            <w:r w:rsidRPr="000F7F8E">
              <w:rPr>
                <w:sz w:val="20"/>
                <w:szCs w:val="20"/>
                <w:lang w:val="de-DE"/>
              </w:rPr>
              <w:t xml:space="preserve">MetHb, </w:t>
            </w:r>
            <w:r w:rsidR="004C2D3D" w:rsidRPr="000F7F8E">
              <w:rPr>
                <w:sz w:val="20"/>
                <w:szCs w:val="20"/>
                <w:lang w:val="de-DE"/>
              </w:rPr>
              <w:t>Heinz bodies, wbc, rbc, reticulocytes, packed CV</w:t>
            </w:r>
          </w:p>
          <w:p w:rsidR="00F7563C" w:rsidRPr="000F7F8E" w:rsidRDefault="00F7563C" w:rsidP="000F7F8E">
            <w:pPr>
              <w:jc w:val="center"/>
              <w:rPr>
                <w:sz w:val="20"/>
                <w:szCs w:val="20"/>
                <w:lang w:val="de-DE"/>
              </w:rPr>
            </w:pPr>
            <w:r w:rsidRPr="000F7F8E">
              <w:rPr>
                <w:sz w:val="20"/>
                <w:szCs w:val="20"/>
              </w:rPr>
              <w:sym w:font="Symbol" w:char="F0AF"/>
            </w:r>
            <w:r w:rsidRPr="000F7F8E">
              <w:rPr>
                <w:sz w:val="20"/>
                <w:szCs w:val="20"/>
                <w:lang w:val="de-DE"/>
              </w:rPr>
              <w:t xml:space="preserve"> BUN</w:t>
            </w:r>
            <w:r w:rsidR="004C2D3D" w:rsidRPr="000F7F8E">
              <w:rPr>
                <w:sz w:val="20"/>
                <w:szCs w:val="20"/>
                <w:lang w:val="de-DE"/>
              </w:rPr>
              <w:t>, calcium, phosphorus, alkaline phosphatase</w:t>
            </w:r>
          </w:p>
        </w:tc>
        <w:tc>
          <w:tcPr>
            <w:tcW w:w="2250" w:type="dxa"/>
            <w:tcBorders>
              <w:top w:val="single" w:sz="6" w:space="0" w:color="auto"/>
              <w:bottom w:val="single" w:sz="6" w:space="0" w:color="auto"/>
            </w:tcBorders>
          </w:tcPr>
          <w:p w:rsidR="004260D1" w:rsidRPr="000F7F8E" w:rsidRDefault="004260D1" w:rsidP="000F7F8E">
            <w:pPr>
              <w:jc w:val="center"/>
              <w:rPr>
                <w:sz w:val="20"/>
                <w:szCs w:val="20"/>
              </w:rPr>
            </w:pPr>
          </w:p>
          <w:p w:rsidR="00F7563C" w:rsidRPr="000F7F8E" w:rsidRDefault="00954AA4" w:rsidP="000F7F8E">
            <w:pPr>
              <w:jc w:val="center"/>
              <w:rPr>
                <w:sz w:val="20"/>
                <w:szCs w:val="20"/>
              </w:rPr>
            </w:pPr>
            <w:r w:rsidRPr="000F7F8E">
              <w:rPr>
                <w:sz w:val="20"/>
                <w:szCs w:val="20"/>
              </w:rPr>
              <w:t>Gushow et al., 1982</w:t>
            </w:r>
          </w:p>
        </w:tc>
      </w:tr>
      <w:tr w:rsidR="00954AA4" w:rsidTr="00D8614C">
        <w:trPr>
          <w:trHeight w:val="665"/>
        </w:trPr>
        <w:tc>
          <w:tcPr>
            <w:tcW w:w="14058" w:type="dxa"/>
            <w:gridSpan w:val="7"/>
            <w:tcBorders>
              <w:top w:val="single" w:sz="6" w:space="0" w:color="auto"/>
              <w:bottom w:val="single" w:sz="6" w:space="0" w:color="auto"/>
            </w:tcBorders>
            <w:vAlign w:val="center"/>
          </w:tcPr>
          <w:p w:rsidR="00954AA4" w:rsidRPr="000F7F8E" w:rsidRDefault="00954AA4" w:rsidP="000F7F8E">
            <w:pPr>
              <w:jc w:val="center"/>
              <w:rPr>
                <w:b/>
                <w:sz w:val="20"/>
                <w:szCs w:val="20"/>
              </w:rPr>
            </w:pPr>
            <w:r w:rsidRPr="000F7F8E">
              <w:rPr>
                <w:b/>
                <w:sz w:val="20"/>
                <w:szCs w:val="20"/>
              </w:rPr>
              <w:t>1-Nitropropane</w:t>
            </w:r>
          </w:p>
        </w:tc>
      </w:tr>
      <w:tr w:rsidR="00F7563C" w:rsidTr="00D8614C">
        <w:trPr>
          <w:trHeight w:val="665"/>
        </w:trPr>
        <w:tc>
          <w:tcPr>
            <w:tcW w:w="1458" w:type="dxa"/>
            <w:gridSpan w:val="2"/>
            <w:tcBorders>
              <w:top w:val="single" w:sz="6" w:space="0" w:color="auto"/>
              <w:bottom w:val="single" w:sz="6" w:space="0" w:color="auto"/>
            </w:tcBorders>
          </w:tcPr>
          <w:p w:rsidR="00F7563C" w:rsidRPr="000F7F8E" w:rsidRDefault="00F7563C" w:rsidP="000F7F8E">
            <w:pPr>
              <w:jc w:val="center"/>
              <w:rPr>
                <w:sz w:val="20"/>
                <w:szCs w:val="20"/>
              </w:rPr>
            </w:pPr>
            <w:r w:rsidRPr="000F7F8E">
              <w:rPr>
                <w:sz w:val="20"/>
                <w:szCs w:val="20"/>
              </w:rPr>
              <w:t>SD rat,</w:t>
            </w:r>
          </w:p>
          <w:p w:rsidR="00F7563C" w:rsidRPr="000F7F8E" w:rsidRDefault="00F7563C" w:rsidP="000F7F8E">
            <w:pPr>
              <w:jc w:val="center"/>
              <w:rPr>
                <w:sz w:val="20"/>
                <w:szCs w:val="20"/>
              </w:rPr>
            </w:pPr>
            <w:r w:rsidRPr="000F7F8E">
              <w:rPr>
                <w:sz w:val="20"/>
                <w:szCs w:val="20"/>
              </w:rPr>
              <w:t>OECD TG 422</w:t>
            </w:r>
          </w:p>
          <w:p w:rsidR="00A2191D" w:rsidRPr="000F7F8E" w:rsidRDefault="00A2191D" w:rsidP="000F7F8E">
            <w:pPr>
              <w:jc w:val="center"/>
              <w:rPr>
                <w:sz w:val="20"/>
                <w:szCs w:val="20"/>
              </w:rPr>
            </w:pPr>
            <w:r w:rsidRPr="000F7F8E">
              <w:rPr>
                <w:sz w:val="20"/>
                <w:szCs w:val="20"/>
              </w:rPr>
              <w:t>Inhalation</w:t>
            </w:r>
          </w:p>
          <w:p w:rsidR="00F7563C" w:rsidRPr="000F7F8E" w:rsidRDefault="00A2191D" w:rsidP="000F7F8E">
            <w:pPr>
              <w:jc w:val="center"/>
              <w:rPr>
                <w:sz w:val="20"/>
                <w:szCs w:val="20"/>
              </w:rPr>
            </w:pPr>
            <w:r w:rsidRPr="000F7F8E">
              <w:rPr>
                <w:sz w:val="20"/>
                <w:szCs w:val="20"/>
              </w:rPr>
              <w:t>28-47 d;</w:t>
            </w:r>
          </w:p>
          <w:p w:rsidR="00F7563C" w:rsidRPr="000F7F8E" w:rsidRDefault="00F7563C" w:rsidP="000F7F8E">
            <w:pPr>
              <w:jc w:val="center"/>
              <w:rPr>
                <w:sz w:val="20"/>
                <w:szCs w:val="20"/>
              </w:rPr>
            </w:pPr>
            <w:r w:rsidRPr="000F7F8E">
              <w:rPr>
                <w:sz w:val="20"/>
                <w:szCs w:val="20"/>
              </w:rPr>
              <w:t>6 h/d</w:t>
            </w:r>
            <w:r w:rsidR="00A2191D" w:rsidRPr="000F7F8E">
              <w:rPr>
                <w:sz w:val="20"/>
                <w:szCs w:val="20"/>
              </w:rPr>
              <w:t xml:space="preserve">; </w:t>
            </w:r>
            <w:r w:rsidRPr="000F7F8E">
              <w:rPr>
                <w:sz w:val="20"/>
                <w:szCs w:val="20"/>
              </w:rPr>
              <w:t>7 d/wk</w:t>
            </w:r>
          </w:p>
        </w:tc>
        <w:tc>
          <w:tcPr>
            <w:tcW w:w="1350" w:type="dxa"/>
            <w:tcBorders>
              <w:top w:val="single" w:sz="6" w:space="0" w:color="auto"/>
              <w:bottom w:val="single" w:sz="6" w:space="0" w:color="auto"/>
            </w:tcBorders>
          </w:tcPr>
          <w:p w:rsidR="00F7563C" w:rsidRPr="000F7F8E" w:rsidRDefault="00F7563C" w:rsidP="000F7F8E">
            <w:pPr>
              <w:jc w:val="center"/>
              <w:rPr>
                <w:sz w:val="20"/>
                <w:szCs w:val="20"/>
                <w:lang w:val="sv-SE"/>
              </w:rPr>
            </w:pPr>
            <w:r w:rsidRPr="000F7F8E">
              <w:rPr>
                <w:sz w:val="20"/>
                <w:szCs w:val="20"/>
                <w:lang w:val="sv-SE"/>
              </w:rPr>
              <w:t>24 ppm</w:t>
            </w:r>
          </w:p>
          <w:p w:rsidR="00A2191D" w:rsidRPr="000F7F8E" w:rsidRDefault="00A2191D" w:rsidP="000F7F8E">
            <w:pPr>
              <w:jc w:val="center"/>
              <w:rPr>
                <w:sz w:val="20"/>
                <w:szCs w:val="20"/>
              </w:rPr>
            </w:pPr>
            <w:r w:rsidRPr="000F7F8E">
              <w:rPr>
                <w:sz w:val="20"/>
                <w:szCs w:val="20"/>
              </w:rPr>
              <w:t>[NOAEC</w:t>
            </w:r>
            <w:r w:rsidRPr="000F7F8E">
              <w:rPr>
                <w:sz w:val="20"/>
                <w:szCs w:val="20"/>
                <w:vertAlign w:val="subscript"/>
              </w:rPr>
              <w:t>local</w:t>
            </w:r>
            <w:r w:rsidRPr="000F7F8E">
              <w:rPr>
                <w:sz w:val="20"/>
                <w:szCs w:val="20"/>
              </w:rPr>
              <w:t>]</w:t>
            </w:r>
          </w:p>
          <w:p w:rsidR="00F7563C" w:rsidRPr="000F7F8E" w:rsidRDefault="00F7563C" w:rsidP="000F7F8E">
            <w:pPr>
              <w:jc w:val="center"/>
              <w:rPr>
                <w:sz w:val="20"/>
                <w:szCs w:val="20"/>
                <w:lang w:val="sv-SE"/>
              </w:rPr>
            </w:pPr>
          </w:p>
          <w:p w:rsidR="00F7563C" w:rsidRPr="000F7F8E" w:rsidRDefault="00F7563C" w:rsidP="000F7F8E">
            <w:pPr>
              <w:jc w:val="center"/>
              <w:rPr>
                <w:sz w:val="20"/>
                <w:szCs w:val="20"/>
                <w:lang w:val="sv-SE"/>
              </w:rPr>
            </w:pPr>
            <w:r w:rsidRPr="000F7F8E">
              <w:rPr>
                <w:sz w:val="20"/>
                <w:szCs w:val="20"/>
                <w:lang w:val="sv-SE"/>
              </w:rPr>
              <w:t>48 ppm</w:t>
            </w:r>
          </w:p>
          <w:p w:rsidR="00A2191D" w:rsidRPr="000F7F8E" w:rsidRDefault="00A2191D" w:rsidP="000F7F8E">
            <w:pPr>
              <w:jc w:val="center"/>
              <w:rPr>
                <w:sz w:val="20"/>
                <w:szCs w:val="20"/>
              </w:rPr>
            </w:pPr>
            <w:r w:rsidRPr="000F7F8E">
              <w:rPr>
                <w:sz w:val="20"/>
                <w:szCs w:val="20"/>
              </w:rPr>
              <w:t>[LOAEC</w:t>
            </w:r>
            <w:r w:rsidRPr="000F7F8E">
              <w:rPr>
                <w:sz w:val="20"/>
                <w:szCs w:val="20"/>
                <w:vertAlign w:val="subscript"/>
              </w:rPr>
              <w:t>local</w:t>
            </w:r>
            <w:r w:rsidRPr="000F7F8E">
              <w:rPr>
                <w:sz w:val="20"/>
                <w:szCs w:val="20"/>
              </w:rPr>
              <w:t>]</w:t>
            </w:r>
          </w:p>
          <w:p w:rsidR="00F7563C" w:rsidRPr="000F7F8E" w:rsidRDefault="00F7563C" w:rsidP="000F7F8E">
            <w:pPr>
              <w:jc w:val="center"/>
              <w:rPr>
                <w:sz w:val="20"/>
                <w:szCs w:val="20"/>
                <w:lang w:val="sv-SE"/>
              </w:rPr>
            </w:pPr>
          </w:p>
          <w:p w:rsidR="00F7563C" w:rsidRPr="000F7F8E" w:rsidRDefault="00F7563C" w:rsidP="000F7F8E">
            <w:pPr>
              <w:jc w:val="center"/>
              <w:rPr>
                <w:sz w:val="20"/>
                <w:szCs w:val="20"/>
                <w:lang w:val="sv-SE"/>
              </w:rPr>
            </w:pPr>
            <w:r w:rsidRPr="000F7F8E">
              <w:rPr>
                <w:sz w:val="20"/>
                <w:szCs w:val="20"/>
                <w:lang w:val="sv-SE"/>
              </w:rPr>
              <w:t>96 ppm</w:t>
            </w:r>
          </w:p>
          <w:p w:rsidR="00A2191D" w:rsidRPr="000F7F8E" w:rsidRDefault="00A2191D" w:rsidP="000F7F8E">
            <w:pPr>
              <w:jc w:val="center"/>
              <w:rPr>
                <w:sz w:val="20"/>
                <w:szCs w:val="20"/>
                <w:vertAlign w:val="superscript"/>
              </w:rPr>
            </w:pPr>
            <w:r w:rsidRPr="000F7F8E">
              <w:rPr>
                <w:sz w:val="20"/>
                <w:szCs w:val="20"/>
              </w:rPr>
              <w:t>[NOAEC</w:t>
            </w:r>
            <w:r w:rsidRPr="000F7F8E">
              <w:rPr>
                <w:sz w:val="20"/>
                <w:szCs w:val="20"/>
                <w:vertAlign w:val="subscript"/>
              </w:rPr>
              <w:t>sys</w:t>
            </w:r>
            <w:r w:rsidRPr="000F7F8E">
              <w:rPr>
                <w:sz w:val="20"/>
                <w:szCs w:val="20"/>
              </w:rPr>
              <w:t>]</w:t>
            </w:r>
          </w:p>
          <w:p w:rsidR="00A2191D" w:rsidRPr="000F7F8E" w:rsidRDefault="00A2191D" w:rsidP="000F7F8E">
            <w:pPr>
              <w:jc w:val="center"/>
              <w:rPr>
                <w:sz w:val="20"/>
                <w:szCs w:val="20"/>
                <w:lang w:val="sv-SE"/>
              </w:rPr>
            </w:pPr>
          </w:p>
        </w:tc>
        <w:tc>
          <w:tcPr>
            <w:tcW w:w="2700" w:type="dxa"/>
            <w:tcBorders>
              <w:top w:val="single" w:sz="6" w:space="0" w:color="auto"/>
              <w:bottom w:val="single" w:sz="6" w:space="0" w:color="auto"/>
            </w:tcBorders>
          </w:tcPr>
          <w:p w:rsidR="00F7563C" w:rsidRPr="000F7F8E" w:rsidRDefault="00F7563C" w:rsidP="000F7F8E">
            <w:pPr>
              <w:jc w:val="center"/>
              <w:rPr>
                <w:sz w:val="20"/>
                <w:szCs w:val="20"/>
              </w:rPr>
            </w:pPr>
            <w:r w:rsidRPr="000F7F8E">
              <w:rPr>
                <w:sz w:val="20"/>
                <w:szCs w:val="20"/>
              </w:rPr>
              <w:sym w:font="Symbol" w:char="F0AF"/>
            </w:r>
            <w:r w:rsidRPr="000F7F8E">
              <w:rPr>
                <w:sz w:val="20"/>
                <w:szCs w:val="20"/>
              </w:rPr>
              <w:t xml:space="preserve"> thymus weight (males)</w:t>
            </w:r>
          </w:p>
          <w:p w:rsidR="00F7563C" w:rsidRPr="000F7F8E" w:rsidRDefault="00F7563C" w:rsidP="000F7F8E">
            <w:pPr>
              <w:jc w:val="center"/>
              <w:rPr>
                <w:sz w:val="20"/>
                <w:szCs w:val="20"/>
              </w:rPr>
            </w:pPr>
          </w:p>
          <w:p w:rsidR="00A2191D" w:rsidRPr="000F7F8E" w:rsidRDefault="00A2191D" w:rsidP="000F7F8E">
            <w:pPr>
              <w:jc w:val="center"/>
              <w:rPr>
                <w:sz w:val="20"/>
                <w:szCs w:val="20"/>
              </w:rPr>
            </w:pPr>
          </w:p>
          <w:p w:rsidR="00F7563C" w:rsidRPr="000F7F8E" w:rsidRDefault="00F7563C" w:rsidP="000F7F8E">
            <w:pPr>
              <w:jc w:val="center"/>
              <w:rPr>
                <w:sz w:val="20"/>
                <w:szCs w:val="20"/>
              </w:rPr>
            </w:pPr>
            <w:r w:rsidRPr="000F7F8E">
              <w:rPr>
                <w:sz w:val="20"/>
                <w:szCs w:val="20"/>
              </w:rPr>
              <w:t>none</w:t>
            </w:r>
          </w:p>
          <w:p w:rsidR="00F7563C" w:rsidRPr="000F7F8E" w:rsidRDefault="00F7563C" w:rsidP="000F7F8E">
            <w:pPr>
              <w:jc w:val="center"/>
              <w:rPr>
                <w:sz w:val="20"/>
                <w:szCs w:val="20"/>
              </w:rPr>
            </w:pPr>
          </w:p>
          <w:p w:rsidR="00A2191D" w:rsidRPr="000F7F8E" w:rsidRDefault="00A2191D" w:rsidP="000F7F8E">
            <w:pPr>
              <w:jc w:val="center"/>
              <w:rPr>
                <w:sz w:val="20"/>
                <w:szCs w:val="20"/>
              </w:rPr>
            </w:pPr>
          </w:p>
          <w:p w:rsidR="00A2191D" w:rsidRPr="000F7F8E" w:rsidRDefault="00F7563C" w:rsidP="000F7F8E">
            <w:pPr>
              <w:jc w:val="center"/>
              <w:rPr>
                <w:sz w:val="20"/>
                <w:szCs w:val="20"/>
              </w:rPr>
            </w:pPr>
            <w:r w:rsidRPr="000F7F8E">
              <w:rPr>
                <w:sz w:val="20"/>
                <w:szCs w:val="20"/>
              </w:rPr>
              <w:sym w:font="Symbol" w:char="F0AF"/>
            </w:r>
            <w:r w:rsidRPr="000F7F8E">
              <w:rPr>
                <w:sz w:val="20"/>
                <w:szCs w:val="20"/>
              </w:rPr>
              <w:t xml:space="preserve"> bw (males), food</w:t>
            </w:r>
          </w:p>
          <w:p w:rsidR="00F7563C" w:rsidRPr="000F7F8E" w:rsidRDefault="00F7563C" w:rsidP="000F7F8E">
            <w:pPr>
              <w:jc w:val="center"/>
              <w:rPr>
                <w:sz w:val="20"/>
                <w:szCs w:val="20"/>
              </w:rPr>
            </w:pPr>
            <w:r w:rsidRPr="000F7F8E">
              <w:rPr>
                <w:sz w:val="20"/>
                <w:szCs w:val="20"/>
              </w:rPr>
              <w:sym w:font="Symbol" w:char="F0AD"/>
            </w:r>
            <w:r w:rsidRPr="000F7F8E">
              <w:rPr>
                <w:sz w:val="20"/>
                <w:szCs w:val="20"/>
              </w:rPr>
              <w:t xml:space="preserve"> brain, testes weight</w:t>
            </w:r>
          </w:p>
        </w:tc>
        <w:tc>
          <w:tcPr>
            <w:tcW w:w="2610" w:type="dxa"/>
            <w:tcBorders>
              <w:top w:val="single" w:sz="6" w:space="0" w:color="auto"/>
              <w:bottom w:val="single" w:sz="6" w:space="0" w:color="auto"/>
            </w:tcBorders>
          </w:tcPr>
          <w:p w:rsidR="00F7563C" w:rsidRPr="000F7F8E" w:rsidRDefault="00F7563C" w:rsidP="000F7F8E">
            <w:pPr>
              <w:jc w:val="center"/>
              <w:rPr>
                <w:sz w:val="20"/>
                <w:szCs w:val="20"/>
              </w:rPr>
            </w:pPr>
            <w:r w:rsidRPr="000F7F8E">
              <w:rPr>
                <w:sz w:val="20"/>
                <w:szCs w:val="20"/>
              </w:rPr>
              <w:t>none</w:t>
            </w:r>
          </w:p>
          <w:p w:rsidR="00F7563C" w:rsidRPr="000F7F8E" w:rsidRDefault="00F7563C" w:rsidP="000F7F8E">
            <w:pPr>
              <w:jc w:val="center"/>
              <w:rPr>
                <w:sz w:val="20"/>
                <w:szCs w:val="20"/>
              </w:rPr>
            </w:pPr>
          </w:p>
          <w:p w:rsidR="00A2191D" w:rsidRPr="000F7F8E" w:rsidRDefault="00A2191D" w:rsidP="000F7F8E">
            <w:pPr>
              <w:jc w:val="center"/>
              <w:rPr>
                <w:sz w:val="20"/>
                <w:szCs w:val="20"/>
              </w:rPr>
            </w:pPr>
          </w:p>
          <w:p w:rsidR="00F7563C" w:rsidRPr="000F7F8E" w:rsidRDefault="00A2191D" w:rsidP="000F7F8E">
            <w:pPr>
              <w:jc w:val="center"/>
              <w:rPr>
                <w:sz w:val="20"/>
                <w:szCs w:val="20"/>
              </w:rPr>
            </w:pPr>
            <w:r w:rsidRPr="000F7F8E">
              <w:rPr>
                <w:sz w:val="20"/>
                <w:szCs w:val="20"/>
              </w:rPr>
              <w:t>nasal tissues</w:t>
            </w:r>
          </w:p>
          <w:p w:rsidR="00F7563C" w:rsidRPr="000F7F8E" w:rsidRDefault="00F7563C" w:rsidP="000F7F8E">
            <w:pPr>
              <w:jc w:val="center"/>
              <w:rPr>
                <w:sz w:val="20"/>
                <w:szCs w:val="20"/>
              </w:rPr>
            </w:pPr>
          </w:p>
          <w:p w:rsidR="00A2191D" w:rsidRPr="000F7F8E" w:rsidRDefault="00A2191D" w:rsidP="000F7F8E">
            <w:pPr>
              <w:jc w:val="center"/>
              <w:rPr>
                <w:sz w:val="20"/>
                <w:szCs w:val="20"/>
              </w:rPr>
            </w:pPr>
          </w:p>
          <w:p w:rsidR="00F7563C" w:rsidRPr="000F7F8E" w:rsidRDefault="00F7563C" w:rsidP="000F7F8E">
            <w:pPr>
              <w:jc w:val="center"/>
              <w:rPr>
                <w:sz w:val="20"/>
                <w:szCs w:val="20"/>
              </w:rPr>
            </w:pPr>
            <w:r w:rsidRPr="000F7F8E">
              <w:rPr>
                <w:sz w:val="20"/>
                <w:szCs w:val="20"/>
              </w:rPr>
              <w:t>n</w:t>
            </w:r>
            <w:r w:rsidR="00A2191D" w:rsidRPr="000F7F8E">
              <w:rPr>
                <w:sz w:val="20"/>
                <w:szCs w:val="20"/>
              </w:rPr>
              <w:t>asal tissues</w:t>
            </w:r>
          </w:p>
        </w:tc>
        <w:tc>
          <w:tcPr>
            <w:tcW w:w="3690" w:type="dxa"/>
            <w:tcBorders>
              <w:top w:val="single" w:sz="6" w:space="0" w:color="auto"/>
              <w:bottom w:val="single" w:sz="6" w:space="0" w:color="auto"/>
            </w:tcBorders>
          </w:tcPr>
          <w:p w:rsidR="00F7563C" w:rsidRPr="000F7F8E" w:rsidRDefault="00F7563C" w:rsidP="000F7F8E">
            <w:pPr>
              <w:jc w:val="center"/>
              <w:rPr>
                <w:sz w:val="20"/>
                <w:szCs w:val="20"/>
              </w:rPr>
            </w:pPr>
            <w:r w:rsidRPr="000F7F8E">
              <w:rPr>
                <w:sz w:val="20"/>
                <w:szCs w:val="20"/>
              </w:rPr>
              <w:t>none</w:t>
            </w:r>
          </w:p>
          <w:p w:rsidR="00F7563C" w:rsidRPr="000F7F8E" w:rsidRDefault="00F7563C" w:rsidP="000F7F8E">
            <w:pPr>
              <w:jc w:val="center"/>
              <w:rPr>
                <w:sz w:val="20"/>
                <w:szCs w:val="20"/>
              </w:rPr>
            </w:pPr>
          </w:p>
          <w:p w:rsidR="00A2191D" w:rsidRPr="000F7F8E" w:rsidRDefault="00A2191D" w:rsidP="000F7F8E">
            <w:pPr>
              <w:jc w:val="center"/>
              <w:rPr>
                <w:sz w:val="20"/>
                <w:szCs w:val="20"/>
              </w:rPr>
            </w:pPr>
          </w:p>
          <w:p w:rsidR="00F7563C" w:rsidRPr="000F7F8E" w:rsidRDefault="00F7563C" w:rsidP="000F7F8E">
            <w:pPr>
              <w:jc w:val="center"/>
              <w:rPr>
                <w:sz w:val="20"/>
                <w:szCs w:val="20"/>
              </w:rPr>
            </w:pPr>
            <w:r w:rsidRPr="000F7F8E">
              <w:rPr>
                <w:sz w:val="20"/>
                <w:szCs w:val="20"/>
              </w:rPr>
              <w:t>none</w:t>
            </w:r>
          </w:p>
          <w:p w:rsidR="00F7563C" w:rsidRPr="000F7F8E" w:rsidRDefault="00F7563C" w:rsidP="000F7F8E">
            <w:pPr>
              <w:jc w:val="center"/>
              <w:rPr>
                <w:sz w:val="20"/>
                <w:szCs w:val="20"/>
              </w:rPr>
            </w:pPr>
          </w:p>
          <w:p w:rsidR="00A2191D" w:rsidRPr="000F7F8E" w:rsidRDefault="00A2191D" w:rsidP="000F7F8E">
            <w:pPr>
              <w:jc w:val="center"/>
              <w:rPr>
                <w:sz w:val="20"/>
                <w:szCs w:val="20"/>
              </w:rPr>
            </w:pPr>
          </w:p>
          <w:p w:rsidR="00F7563C" w:rsidRPr="000F7F8E" w:rsidRDefault="00F7563C" w:rsidP="000F7F8E">
            <w:pPr>
              <w:jc w:val="center"/>
              <w:rPr>
                <w:sz w:val="20"/>
                <w:szCs w:val="20"/>
              </w:rPr>
            </w:pPr>
            <w:r w:rsidRPr="000F7F8E">
              <w:rPr>
                <w:sz w:val="20"/>
                <w:szCs w:val="20"/>
              </w:rPr>
              <w:sym w:font="Symbol" w:char="F0AD"/>
            </w:r>
            <w:r w:rsidRPr="000F7F8E">
              <w:rPr>
                <w:sz w:val="20"/>
                <w:szCs w:val="20"/>
              </w:rPr>
              <w:t xml:space="preserve"> albumin (males)</w:t>
            </w:r>
          </w:p>
          <w:p w:rsidR="00F7563C" w:rsidRPr="000F7F8E" w:rsidRDefault="00F7563C" w:rsidP="000F7F8E">
            <w:pPr>
              <w:jc w:val="center"/>
              <w:rPr>
                <w:sz w:val="20"/>
                <w:szCs w:val="20"/>
              </w:rPr>
            </w:pPr>
          </w:p>
        </w:tc>
        <w:tc>
          <w:tcPr>
            <w:tcW w:w="2250" w:type="dxa"/>
            <w:tcBorders>
              <w:top w:val="single" w:sz="6" w:space="0" w:color="auto"/>
              <w:bottom w:val="single" w:sz="6" w:space="0" w:color="auto"/>
            </w:tcBorders>
          </w:tcPr>
          <w:p w:rsidR="004260D1" w:rsidRPr="000F7F8E" w:rsidRDefault="004260D1" w:rsidP="000F7F8E">
            <w:pPr>
              <w:jc w:val="center"/>
              <w:rPr>
                <w:snapToGrid w:val="0"/>
                <w:sz w:val="20"/>
                <w:szCs w:val="20"/>
              </w:rPr>
            </w:pPr>
          </w:p>
          <w:p w:rsidR="00A2191D" w:rsidRPr="000F7F8E" w:rsidRDefault="00A2191D" w:rsidP="000F7F8E">
            <w:pPr>
              <w:jc w:val="center"/>
              <w:rPr>
                <w:sz w:val="20"/>
                <w:szCs w:val="20"/>
              </w:rPr>
            </w:pPr>
            <w:r w:rsidRPr="000F7F8E">
              <w:rPr>
                <w:snapToGrid w:val="0"/>
                <w:sz w:val="20"/>
                <w:szCs w:val="20"/>
              </w:rPr>
              <w:t xml:space="preserve">Carney </w:t>
            </w:r>
            <w:r w:rsidRPr="000F7F8E">
              <w:rPr>
                <w:i/>
                <w:snapToGrid w:val="0"/>
                <w:sz w:val="20"/>
                <w:szCs w:val="20"/>
              </w:rPr>
              <w:t>et al</w:t>
            </w:r>
            <w:r w:rsidRPr="000F7F8E">
              <w:rPr>
                <w:snapToGrid w:val="0"/>
                <w:sz w:val="20"/>
                <w:szCs w:val="20"/>
              </w:rPr>
              <w:t>., 2003</w:t>
            </w:r>
          </w:p>
          <w:p w:rsidR="00F7563C" w:rsidRPr="000F7F8E" w:rsidRDefault="00F7563C" w:rsidP="000F7F8E">
            <w:pPr>
              <w:jc w:val="center"/>
              <w:rPr>
                <w:sz w:val="20"/>
                <w:szCs w:val="20"/>
              </w:rPr>
            </w:pPr>
          </w:p>
        </w:tc>
      </w:tr>
      <w:tr w:rsidR="00F7563C" w:rsidTr="00332034">
        <w:trPr>
          <w:trHeight w:val="1251"/>
        </w:trPr>
        <w:tc>
          <w:tcPr>
            <w:tcW w:w="1458" w:type="dxa"/>
            <w:gridSpan w:val="2"/>
            <w:tcBorders>
              <w:top w:val="single" w:sz="6" w:space="0" w:color="auto"/>
            </w:tcBorders>
          </w:tcPr>
          <w:p w:rsidR="00F7563C" w:rsidRPr="000F7F8E" w:rsidRDefault="00F7563C" w:rsidP="000F7F8E">
            <w:pPr>
              <w:jc w:val="center"/>
              <w:rPr>
                <w:sz w:val="20"/>
                <w:szCs w:val="20"/>
              </w:rPr>
            </w:pPr>
            <w:r w:rsidRPr="000F7F8E">
              <w:rPr>
                <w:sz w:val="20"/>
                <w:szCs w:val="20"/>
              </w:rPr>
              <w:t>Long-Evans rat</w:t>
            </w:r>
          </w:p>
          <w:p w:rsidR="00F7563C" w:rsidRPr="000F7F8E" w:rsidRDefault="00A2191D" w:rsidP="000F7F8E">
            <w:pPr>
              <w:jc w:val="center"/>
              <w:rPr>
                <w:sz w:val="20"/>
                <w:szCs w:val="20"/>
              </w:rPr>
            </w:pPr>
            <w:r w:rsidRPr="000F7F8E">
              <w:rPr>
                <w:sz w:val="20"/>
                <w:szCs w:val="20"/>
              </w:rPr>
              <w:t>I</w:t>
            </w:r>
            <w:r w:rsidR="00F7563C" w:rsidRPr="000F7F8E">
              <w:rPr>
                <w:sz w:val="20"/>
                <w:szCs w:val="20"/>
              </w:rPr>
              <w:t>nhalation</w:t>
            </w:r>
          </w:p>
          <w:p w:rsidR="00A2191D" w:rsidRPr="000F7F8E" w:rsidRDefault="00A2191D" w:rsidP="000F7F8E">
            <w:pPr>
              <w:jc w:val="center"/>
              <w:rPr>
                <w:sz w:val="20"/>
                <w:szCs w:val="20"/>
              </w:rPr>
            </w:pPr>
            <w:r w:rsidRPr="000F7F8E">
              <w:rPr>
                <w:sz w:val="20"/>
                <w:szCs w:val="20"/>
              </w:rPr>
              <w:t>up to</w:t>
            </w:r>
          </w:p>
          <w:p w:rsidR="00A2191D" w:rsidRPr="000F7F8E" w:rsidRDefault="00A2191D" w:rsidP="000F7F8E">
            <w:pPr>
              <w:jc w:val="center"/>
              <w:rPr>
                <w:sz w:val="20"/>
                <w:szCs w:val="20"/>
              </w:rPr>
            </w:pPr>
            <w:r w:rsidRPr="000F7F8E">
              <w:rPr>
                <w:sz w:val="20"/>
                <w:szCs w:val="20"/>
              </w:rPr>
              <w:t>21.5 months,</w:t>
            </w:r>
          </w:p>
          <w:p w:rsidR="00F7563C" w:rsidRPr="000F7F8E" w:rsidRDefault="00F7563C" w:rsidP="000F7F8E">
            <w:pPr>
              <w:jc w:val="center"/>
              <w:rPr>
                <w:sz w:val="20"/>
                <w:szCs w:val="20"/>
              </w:rPr>
            </w:pPr>
            <w:r w:rsidRPr="000F7F8E">
              <w:rPr>
                <w:sz w:val="20"/>
                <w:szCs w:val="20"/>
              </w:rPr>
              <w:t>7 h/d</w:t>
            </w:r>
            <w:r w:rsidR="00A2191D" w:rsidRPr="000F7F8E">
              <w:rPr>
                <w:sz w:val="20"/>
                <w:szCs w:val="20"/>
              </w:rPr>
              <w:t xml:space="preserve">; </w:t>
            </w:r>
            <w:r w:rsidRPr="000F7F8E">
              <w:rPr>
                <w:sz w:val="20"/>
                <w:szCs w:val="20"/>
              </w:rPr>
              <w:t>5 d/wk</w:t>
            </w:r>
          </w:p>
        </w:tc>
        <w:tc>
          <w:tcPr>
            <w:tcW w:w="1350" w:type="dxa"/>
            <w:tcBorders>
              <w:top w:val="single" w:sz="6" w:space="0" w:color="auto"/>
            </w:tcBorders>
          </w:tcPr>
          <w:p w:rsidR="00F7563C" w:rsidRPr="000F7F8E" w:rsidRDefault="00F7563C" w:rsidP="000F7F8E">
            <w:pPr>
              <w:jc w:val="center"/>
              <w:rPr>
                <w:sz w:val="20"/>
                <w:szCs w:val="20"/>
              </w:rPr>
            </w:pPr>
            <w:r w:rsidRPr="000F7F8E">
              <w:rPr>
                <w:sz w:val="20"/>
                <w:szCs w:val="20"/>
              </w:rPr>
              <w:t>100 ppm</w:t>
            </w:r>
          </w:p>
          <w:p w:rsidR="00A2191D" w:rsidRPr="000F7F8E" w:rsidRDefault="00A2191D" w:rsidP="000F7F8E">
            <w:pPr>
              <w:jc w:val="center"/>
              <w:rPr>
                <w:sz w:val="20"/>
                <w:szCs w:val="20"/>
              </w:rPr>
            </w:pPr>
            <w:r w:rsidRPr="000F7F8E">
              <w:rPr>
                <w:sz w:val="20"/>
                <w:szCs w:val="20"/>
              </w:rPr>
              <w:t>[LOAEC</w:t>
            </w:r>
            <w:r w:rsidRPr="000F7F8E">
              <w:rPr>
                <w:sz w:val="20"/>
                <w:szCs w:val="20"/>
                <w:vertAlign w:val="subscript"/>
              </w:rPr>
              <w:t>sys</w:t>
            </w:r>
            <w:r w:rsidRPr="000F7F8E">
              <w:rPr>
                <w:sz w:val="20"/>
                <w:szCs w:val="20"/>
              </w:rPr>
              <w:t>]</w:t>
            </w:r>
          </w:p>
        </w:tc>
        <w:tc>
          <w:tcPr>
            <w:tcW w:w="2700" w:type="dxa"/>
            <w:tcBorders>
              <w:top w:val="single" w:sz="6" w:space="0" w:color="auto"/>
            </w:tcBorders>
          </w:tcPr>
          <w:p w:rsidR="00F7563C" w:rsidRPr="000F7F8E" w:rsidRDefault="00F7563C" w:rsidP="000F7F8E">
            <w:pPr>
              <w:jc w:val="center"/>
              <w:rPr>
                <w:sz w:val="20"/>
                <w:szCs w:val="20"/>
              </w:rPr>
            </w:pPr>
            <w:r w:rsidRPr="000F7F8E">
              <w:rPr>
                <w:sz w:val="20"/>
                <w:szCs w:val="20"/>
              </w:rPr>
              <w:sym w:font="Symbol" w:char="F0AF"/>
            </w:r>
            <w:r w:rsidRPr="000F7F8E">
              <w:rPr>
                <w:sz w:val="20"/>
                <w:szCs w:val="20"/>
              </w:rPr>
              <w:t xml:space="preserve"> bw</w:t>
            </w:r>
          </w:p>
          <w:p w:rsidR="00A2191D" w:rsidRPr="000F7F8E" w:rsidRDefault="00A2191D" w:rsidP="000F7F8E">
            <w:pPr>
              <w:jc w:val="center"/>
              <w:rPr>
                <w:sz w:val="20"/>
                <w:szCs w:val="20"/>
              </w:rPr>
            </w:pPr>
            <w:r w:rsidRPr="000F7F8E">
              <w:rPr>
                <w:sz w:val="20"/>
                <w:szCs w:val="20"/>
              </w:rPr>
              <w:sym w:font="Symbol" w:char="F0AF"/>
            </w:r>
            <w:r w:rsidRPr="000F7F8E">
              <w:rPr>
                <w:sz w:val="20"/>
                <w:szCs w:val="20"/>
              </w:rPr>
              <w:t xml:space="preserve"> liver, brain weight</w:t>
            </w:r>
          </w:p>
        </w:tc>
        <w:tc>
          <w:tcPr>
            <w:tcW w:w="2610" w:type="dxa"/>
            <w:tcBorders>
              <w:top w:val="single" w:sz="6" w:space="0" w:color="auto"/>
            </w:tcBorders>
          </w:tcPr>
          <w:p w:rsidR="00F7563C" w:rsidRPr="000F7F8E" w:rsidRDefault="00A2191D" w:rsidP="000F7F8E">
            <w:pPr>
              <w:jc w:val="center"/>
              <w:rPr>
                <w:sz w:val="20"/>
                <w:szCs w:val="20"/>
                <w:vertAlign w:val="superscript"/>
              </w:rPr>
            </w:pPr>
            <w:r w:rsidRPr="000F7F8E">
              <w:rPr>
                <w:sz w:val="20"/>
                <w:szCs w:val="20"/>
              </w:rPr>
              <w:t>n</w:t>
            </w:r>
            <w:r w:rsidR="00F7563C" w:rsidRPr="000F7F8E">
              <w:rPr>
                <w:sz w:val="20"/>
                <w:szCs w:val="20"/>
              </w:rPr>
              <w:t>one</w:t>
            </w:r>
            <w:r w:rsidRPr="000F7F8E">
              <w:rPr>
                <w:sz w:val="20"/>
                <w:szCs w:val="20"/>
                <w:vertAlign w:val="superscript"/>
              </w:rPr>
              <w:t>a</w:t>
            </w:r>
          </w:p>
        </w:tc>
        <w:tc>
          <w:tcPr>
            <w:tcW w:w="3690" w:type="dxa"/>
            <w:tcBorders>
              <w:top w:val="single" w:sz="6" w:space="0" w:color="auto"/>
            </w:tcBorders>
          </w:tcPr>
          <w:p w:rsidR="00F7563C" w:rsidRPr="000F7F8E" w:rsidRDefault="00A2191D" w:rsidP="000F7F8E">
            <w:pPr>
              <w:jc w:val="center"/>
              <w:rPr>
                <w:sz w:val="20"/>
                <w:szCs w:val="20"/>
              </w:rPr>
            </w:pPr>
            <w:r w:rsidRPr="000F7F8E">
              <w:rPr>
                <w:sz w:val="20"/>
                <w:szCs w:val="20"/>
              </w:rPr>
              <w:t>n</w:t>
            </w:r>
            <w:r w:rsidR="00F7563C" w:rsidRPr="000F7F8E">
              <w:rPr>
                <w:sz w:val="20"/>
                <w:szCs w:val="20"/>
              </w:rPr>
              <w:t>one</w:t>
            </w:r>
          </w:p>
        </w:tc>
        <w:tc>
          <w:tcPr>
            <w:tcW w:w="2250" w:type="dxa"/>
            <w:tcBorders>
              <w:top w:val="single" w:sz="6" w:space="0" w:color="auto"/>
            </w:tcBorders>
          </w:tcPr>
          <w:p w:rsidR="004260D1" w:rsidRPr="000F7F8E" w:rsidRDefault="004260D1" w:rsidP="000F7F8E">
            <w:pPr>
              <w:jc w:val="center"/>
              <w:rPr>
                <w:snapToGrid w:val="0"/>
                <w:sz w:val="20"/>
                <w:szCs w:val="20"/>
              </w:rPr>
            </w:pPr>
          </w:p>
          <w:p w:rsidR="00A2191D" w:rsidRPr="000F7F8E" w:rsidRDefault="00A2191D" w:rsidP="000F7F8E">
            <w:pPr>
              <w:jc w:val="center"/>
              <w:rPr>
                <w:sz w:val="20"/>
                <w:szCs w:val="20"/>
              </w:rPr>
            </w:pPr>
            <w:r w:rsidRPr="000F7F8E">
              <w:rPr>
                <w:snapToGrid w:val="0"/>
                <w:sz w:val="20"/>
                <w:szCs w:val="20"/>
              </w:rPr>
              <w:t xml:space="preserve">Griffin </w:t>
            </w:r>
            <w:r w:rsidRPr="000F7F8E">
              <w:rPr>
                <w:i/>
                <w:snapToGrid w:val="0"/>
                <w:sz w:val="20"/>
                <w:szCs w:val="20"/>
              </w:rPr>
              <w:t>et al</w:t>
            </w:r>
            <w:r w:rsidRPr="000F7F8E">
              <w:rPr>
                <w:snapToGrid w:val="0"/>
                <w:sz w:val="20"/>
                <w:szCs w:val="20"/>
              </w:rPr>
              <w:t>., 1982</w:t>
            </w:r>
          </w:p>
          <w:p w:rsidR="00F7563C" w:rsidRPr="000F7F8E" w:rsidRDefault="00F7563C" w:rsidP="000F7F8E">
            <w:pPr>
              <w:jc w:val="center"/>
              <w:rPr>
                <w:sz w:val="20"/>
                <w:szCs w:val="20"/>
              </w:rPr>
            </w:pPr>
          </w:p>
        </w:tc>
      </w:tr>
      <w:tr w:rsidR="00F7563C" w:rsidTr="000F7F8E">
        <w:trPr>
          <w:trHeight w:val="2205"/>
        </w:trPr>
        <w:tc>
          <w:tcPr>
            <w:tcW w:w="1458" w:type="dxa"/>
            <w:gridSpan w:val="2"/>
            <w:tcBorders>
              <w:bottom w:val="single" w:sz="12" w:space="0" w:color="auto"/>
            </w:tcBorders>
          </w:tcPr>
          <w:p w:rsidR="00F7563C" w:rsidRPr="000F7F8E" w:rsidRDefault="008F2889" w:rsidP="000F7F8E">
            <w:pPr>
              <w:jc w:val="center"/>
              <w:rPr>
                <w:sz w:val="20"/>
                <w:szCs w:val="20"/>
              </w:rPr>
            </w:pPr>
            <w:r w:rsidRPr="000F7F8E">
              <w:rPr>
                <w:sz w:val="20"/>
                <w:szCs w:val="20"/>
              </w:rPr>
              <w:t>SD rat</w:t>
            </w:r>
          </w:p>
          <w:p w:rsidR="008F2889" w:rsidRPr="000F7F8E" w:rsidRDefault="008F2889" w:rsidP="000F7F8E">
            <w:pPr>
              <w:jc w:val="center"/>
              <w:rPr>
                <w:sz w:val="20"/>
                <w:szCs w:val="20"/>
              </w:rPr>
            </w:pPr>
            <w:r w:rsidRPr="000F7F8E">
              <w:rPr>
                <w:sz w:val="20"/>
                <w:szCs w:val="20"/>
              </w:rPr>
              <w:t>Gavage</w:t>
            </w:r>
          </w:p>
          <w:p w:rsidR="00F7563C" w:rsidRPr="000F7F8E" w:rsidRDefault="00F7563C" w:rsidP="000F7F8E">
            <w:pPr>
              <w:jc w:val="center"/>
              <w:rPr>
                <w:sz w:val="20"/>
                <w:szCs w:val="20"/>
              </w:rPr>
            </w:pPr>
            <w:r w:rsidRPr="000F7F8E">
              <w:rPr>
                <w:sz w:val="20"/>
                <w:szCs w:val="20"/>
              </w:rPr>
              <w:t>28-days</w:t>
            </w:r>
          </w:p>
        </w:tc>
        <w:tc>
          <w:tcPr>
            <w:tcW w:w="1350" w:type="dxa"/>
            <w:tcBorders>
              <w:bottom w:val="single" w:sz="12" w:space="0" w:color="auto"/>
            </w:tcBorders>
          </w:tcPr>
          <w:p w:rsidR="00F7563C" w:rsidRPr="000F7F8E" w:rsidRDefault="00F7563C" w:rsidP="000F7F8E">
            <w:pPr>
              <w:jc w:val="center"/>
              <w:rPr>
                <w:sz w:val="20"/>
                <w:szCs w:val="20"/>
              </w:rPr>
            </w:pPr>
            <w:r w:rsidRPr="000F7F8E">
              <w:rPr>
                <w:sz w:val="20"/>
                <w:szCs w:val="20"/>
              </w:rPr>
              <w:t>10 mg/kg bw/day</w:t>
            </w:r>
          </w:p>
          <w:p w:rsidR="00F7563C" w:rsidRPr="000F7F8E" w:rsidRDefault="00F7563C" w:rsidP="000F7F8E">
            <w:pPr>
              <w:spacing w:before="40"/>
              <w:jc w:val="center"/>
              <w:rPr>
                <w:sz w:val="20"/>
                <w:szCs w:val="20"/>
              </w:rPr>
            </w:pPr>
          </w:p>
          <w:p w:rsidR="00F7563C" w:rsidRPr="000F7F8E" w:rsidRDefault="00F7563C" w:rsidP="000F7F8E">
            <w:pPr>
              <w:spacing w:before="40"/>
              <w:jc w:val="center"/>
              <w:rPr>
                <w:sz w:val="20"/>
                <w:szCs w:val="20"/>
              </w:rPr>
            </w:pPr>
            <w:r w:rsidRPr="000F7F8E">
              <w:rPr>
                <w:sz w:val="20"/>
                <w:szCs w:val="20"/>
              </w:rPr>
              <w:t>30 mg/kg bw/day</w:t>
            </w:r>
          </w:p>
          <w:p w:rsidR="00075480" w:rsidRPr="000F7F8E" w:rsidRDefault="00075480" w:rsidP="000F7F8E">
            <w:pPr>
              <w:spacing w:before="40"/>
              <w:jc w:val="center"/>
              <w:rPr>
                <w:sz w:val="20"/>
                <w:szCs w:val="20"/>
              </w:rPr>
            </w:pPr>
            <w:r w:rsidRPr="000F7F8E">
              <w:rPr>
                <w:sz w:val="20"/>
                <w:szCs w:val="20"/>
              </w:rPr>
              <w:t>[NOAEL</w:t>
            </w:r>
            <w:r w:rsidRPr="000F7F8E">
              <w:rPr>
                <w:sz w:val="20"/>
                <w:szCs w:val="20"/>
                <w:vertAlign w:val="subscript"/>
              </w:rPr>
              <w:t>sys</w:t>
            </w:r>
            <w:r w:rsidRPr="000F7F8E">
              <w:rPr>
                <w:sz w:val="20"/>
                <w:szCs w:val="20"/>
              </w:rPr>
              <w:t>]</w:t>
            </w:r>
          </w:p>
          <w:p w:rsidR="00F7563C" w:rsidRPr="000F7F8E" w:rsidRDefault="00F7563C" w:rsidP="000F7F8E">
            <w:pPr>
              <w:jc w:val="center"/>
              <w:rPr>
                <w:sz w:val="20"/>
                <w:szCs w:val="20"/>
              </w:rPr>
            </w:pPr>
          </w:p>
          <w:p w:rsidR="004260D1" w:rsidRPr="000F7F8E" w:rsidRDefault="004260D1" w:rsidP="000F7F8E">
            <w:pPr>
              <w:jc w:val="center"/>
              <w:rPr>
                <w:sz w:val="20"/>
                <w:szCs w:val="20"/>
              </w:rPr>
            </w:pPr>
          </w:p>
          <w:p w:rsidR="00F7563C" w:rsidRPr="000F7F8E" w:rsidRDefault="00F7563C" w:rsidP="000F7F8E">
            <w:pPr>
              <w:jc w:val="center"/>
              <w:rPr>
                <w:sz w:val="20"/>
                <w:szCs w:val="20"/>
              </w:rPr>
            </w:pPr>
            <w:r w:rsidRPr="000F7F8E">
              <w:rPr>
                <w:sz w:val="20"/>
                <w:szCs w:val="20"/>
              </w:rPr>
              <w:t>100 mg/kg bw/day</w:t>
            </w:r>
          </w:p>
          <w:p w:rsidR="00075480" w:rsidRPr="000F7F8E" w:rsidRDefault="00075480" w:rsidP="000F7F8E">
            <w:pPr>
              <w:jc w:val="center"/>
              <w:rPr>
                <w:sz w:val="20"/>
                <w:szCs w:val="20"/>
              </w:rPr>
            </w:pPr>
            <w:r w:rsidRPr="000F7F8E">
              <w:rPr>
                <w:sz w:val="20"/>
                <w:szCs w:val="20"/>
              </w:rPr>
              <w:t>[NOAEL</w:t>
            </w:r>
            <w:r w:rsidRPr="000F7F8E">
              <w:rPr>
                <w:sz w:val="20"/>
                <w:szCs w:val="20"/>
                <w:vertAlign w:val="subscript"/>
              </w:rPr>
              <w:t>sys</w:t>
            </w:r>
            <w:r w:rsidRPr="000F7F8E">
              <w:rPr>
                <w:sz w:val="20"/>
                <w:szCs w:val="20"/>
              </w:rPr>
              <w:t>]</w:t>
            </w:r>
          </w:p>
        </w:tc>
        <w:tc>
          <w:tcPr>
            <w:tcW w:w="2700" w:type="dxa"/>
            <w:tcBorders>
              <w:bottom w:val="single" w:sz="12" w:space="0" w:color="auto"/>
            </w:tcBorders>
          </w:tcPr>
          <w:p w:rsidR="00F7563C" w:rsidRPr="000F7F8E" w:rsidRDefault="00F7563C" w:rsidP="000F7F8E">
            <w:pPr>
              <w:jc w:val="center"/>
              <w:rPr>
                <w:sz w:val="20"/>
                <w:szCs w:val="20"/>
              </w:rPr>
            </w:pPr>
            <w:r w:rsidRPr="000F7F8E">
              <w:rPr>
                <w:sz w:val="20"/>
                <w:szCs w:val="20"/>
              </w:rPr>
              <w:sym w:font="Symbol" w:char="F0AD"/>
            </w:r>
            <w:r w:rsidR="004260D1" w:rsidRPr="000F7F8E">
              <w:rPr>
                <w:sz w:val="20"/>
                <w:szCs w:val="20"/>
              </w:rPr>
              <w:t xml:space="preserve"> adrenal, heart weight</w:t>
            </w:r>
          </w:p>
          <w:p w:rsidR="008F2889" w:rsidRPr="000F7F8E" w:rsidRDefault="008F2889" w:rsidP="000F7F8E">
            <w:pPr>
              <w:jc w:val="center"/>
              <w:rPr>
                <w:sz w:val="20"/>
                <w:szCs w:val="20"/>
              </w:rPr>
            </w:pPr>
          </w:p>
          <w:p w:rsidR="004260D1" w:rsidRPr="000F7F8E" w:rsidRDefault="004260D1" w:rsidP="000F7F8E">
            <w:pPr>
              <w:jc w:val="center"/>
              <w:rPr>
                <w:sz w:val="20"/>
                <w:szCs w:val="20"/>
              </w:rPr>
            </w:pPr>
          </w:p>
          <w:p w:rsidR="008F2889" w:rsidRPr="000F7F8E" w:rsidRDefault="008F2889" w:rsidP="000F7F8E">
            <w:pPr>
              <w:jc w:val="center"/>
              <w:rPr>
                <w:sz w:val="20"/>
                <w:szCs w:val="20"/>
              </w:rPr>
            </w:pPr>
            <w:r w:rsidRPr="000F7F8E">
              <w:rPr>
                <w:sz w:val="20"/>
                <w:szCs w:val="20"/>
              </w:rPr>
              <w:sym w:font="Symbol" w:char="F0AD"/>
            </w:r>
            <w:r w:rsidRPr="000F7F8E">
              <w:rPr>
                <w:sz w:val="20"/>
                <w:szCs w:val="20"/>
              </w:rPr>
              <w:t xml:space="preserve"> bw gain</w:t>
            </w:r>
          </w:p>
          <w:p w:rsidR="00F7563C" w:rsidRPr="000F7F8E" w:rsidRDefault="00F7563C" w:rsidP="000F7F8E">
            <w:pPr>
              <w:spacing w:before="80"/>
              <w:jc w:val="center"/>
              <w:rPr>
                <w:sz w:val="20"/>
                <w:szCs w:val="20"/>
              </w:rPr>
            </w:pPr>
            <w:r w:rsidRPr="000F7F8E">
              <w:rPr>
                <w:sz w:val="20"/>
                <w:szCs w:val="20"/>
              </w:rPr>
              <w:sym w:font="Symbol" w:char="F0AD"/>
            </w:r>
            <w:r w:rsidRPr="000F7F8E">
              <w:rPr>
                <w:sz w:val="20"/>
                <w:szCs w:val="20"/>
              </w:rPr>
              <w:t xml:space="preserve"> liver, brain weight</w:t>
            </w:r>
          </w:p>
          <w:p w:rsidR="00F7563C" w:rsidRPr="000F7F8E" w:rsidRDefault="00F7563C" w:rsidP="000F7F8E">
            <w:pPr>
              <w:jc w:val="center"/>
              <w:rPr>
                <w:sz w:val="20"/>
                <w:szCs w:val="20"/>
              </w:rPr>
            </w:pPr>
          </w:p>
          <w:p w:rsidR="008F2889" w:rsidRPr="000F7F8E" w:rsidRDefault="008F2889" w:rsidP="000F7F8E">
            <w:pPr>
              <w:jc w:val="center"/>
              <w:rPr>
                <w:sz w:val="20"/>
                <w:szCs w:val="20"/>
              </w:rPr>
            </w:pPr>
          </w:p>
          <w:p w:rsidR="00AC6082" w:rsidRPr="000F7F8E" w:rsidRDefault="00AC6082" w:rsidP="000F7F8E">
            <w:pPr>
              <w:jc w:val="center"/>
              <w:rPr>
                <w:sz w:val="20"/>
                <w:szCs w:val="20"/>
              </w:rPr>
            </w:pPr>
          </w:p>
          <w:p w:rsidR="004260D1" w:rsidRPr="000F7F8E" w:rsidRDefault="00F7563C" w:rsidP="000F7F8E">
            <w:pPr>
              <w:jc w:val="center"/>
              <w:rPr>
                <w:sz w:val="20"/>
                <w:szCs w:val="20"/>
              </w:rPr>
            </w:pPr>
            <w:r w:rsidRPr="000F7F8E">
              <w:rPr>
                <w:sz w:val="20"/>
                <w:szCs w:val="20"/>
              </w:rPr>
              <w:t>hunched posture, lethargy, ataxia,</w:t>
            </w:r>
          </w:p>
          <w:p w:rsidR="004260D1" w:rsidRPr="000F7F8E" w:rsidRDefault="00F7563C" w:rsidP="000F7F8E">
            <w:pPr>
              <w:jc w:val="center"/>
              <w:rPr>
                <w:sz w:val="20"/>
                <w:szCs w:val="20"/>
              </w:rPr>
            </w:pPr>
            <w:r w:rsidRPr="000F7F8E">
              <w:rPr>
                <w:sz w:val="20"/>
                <w:szCs w:val="20"/>
              </w:rPr>
              <w:sym w:font="Symbol" w:char="F0AF"/>
            </w:r>
            <w:r w:rsidR="004260D1" w:rsidRPr="000F7F8E">
              <w:rPr>
                <w:sz w:val="20"/>
                <w:szCs w:val="20"/>
              </w:rPr>
              <w:t xml:space="preserve"> bw gain,</w:t>
            </w:r>
            <w:r w:rsidRPr="000F7F8E">
              <w:rPr>
                <w:sz w:val="20"/>
                <w:szCs w:val="20"/>
              </w:rPr>
              <w:t xml:space="preserve"> food</w:t>
            </w:r>
          </w:p>
          <w:p w:rsidR="00F7563C" w:rsidRPr="000F7F8E" w:rsidRDefault="00F7563C" w:rsidP="000F7F8E">
            <w:pPr>
              <w:jc w:val="center"/>
              <w:rPr>
                <w:sz w:val="20"/>
                <w:szCs w:val="20"/>
              </w:rPr>
            </w:pPr>
            <w:r w:rsidRPr="000F7F8E">
              <w:rPr>
                <w:sz w:val="20"/>
                <w:szCs w:val="20"/>
              </w:rPr>
              <w:sym w:font="Symbol" w:char="F0AD"/>
            </w:r>
            <w:r w:rsidRPr="000F7F8E">
              <w:rPr>
                <w:sz w:val="20"/>
                <w:szCs w:val="20"/>
              </w:rPr>
              <w:t xml:space="preserve"> brain, kidney</w:t>
            </w:r>
            <w:r w:rsidR="004260D1" w:rsidRPr="000F7F8E">
              <w:rPr>
                <w:sz w:val="20"/>
                <w:szCs w:val="20"/>
              </w:rPr>
              <w:t>, heart</w:t>
            </w:r>
            <w:r w:rsidRPr="000F7F8E">
              <w:rPr>
                <w:sz w:val="20"/>
                <w:szCs w:val="20"/>
              </w:rPr>
              <w:t xml:space="preserve"> weight</w:t>
            </w:r>
          </w:p>
          <w:p w:rsidR="004260D1" w:rsidRPr="000F7F8E" w:rsidRDefault="004260D1" w:rsidP="000F7F8E">
            <w:pPr>
              <w:jc w:val="center"/>
              <w:rPr>
                <w:sz w:val="20"/>
                <w:szCs w:val="20"/>
              </w:rPr>
            </w:pPr>
            <w:r w:rsidRPr="000F7F8E">
              <w:rPr>
                <w:sz w:val="20"/>
                <w:szCs w:val="20"/>
              </w:rPr>
              <w:sym w:font="Symbol" w:char="F0AF"/>
            </w:r>
            <w:r w:rsidRPr="000F7F8E">
              <w:rPr>
                <w:sz w:val="20"/>
                <w:szCs w:val="20"/>
              </w:rPr>
              <w:t xml:space="preserve"> ovary, pituitary weight</w:t>
            </w:r>
          </w:p>
        </w:tc>
        <w:tc>
          <w:tcPr>
            <w:tcW w:w="2610" w:type="dxa"/>
            <w:tcBorders>
              <w:bottom w:val="single" w:sz="12" w:space="0" w:color="auto"/>
            </w:tcBorders>
          </w:tcPr>
          <w:p w:rsidR="00F7563C" w:rsidRPr="000F7F8E" w:rsidRDefault="00F7563C" w:rsidP="000F7F8E">
            <w:pPr>
              <w:jc w:val="center"/>
              <w:rPr>
                <w:sz w:val="20"/>
                <w:szCs w:val="20"/>
              </w:rPr>
            </w:pPr>
            <w:r w:rsidRPr="000F7F8E">
              <w:rPr>
                <w:sz w:val="20"/>
                <w:szCs w:val="20"/>
              </w:rPr>
              <w:t>none</w:t>
            </w:r>
          </w:p>
          <w:p w:rsidR="00F7563C" w:rsidRPr="000F7F8E" w:rsidRDefault="00F7563C" w:rsidP="000F7F8E">
            <w:pPr>
              <w:jc w:val="center"/>
              <w:rPr>
                <w:sz w:val="20"/>
                <w:szCs w:val="20"/>
              </w:rPr>
            </w:pPr>
          </w:p>
          <w:p w:rsidR="008F2889" w:rsidRPr="000F7F8E" w:rsidRDefault="008F2889" w:rsidP="000F7F8E">
            <w:pPr>
              <w:jc w:val="center"/>
              <w:rPr>
                <w:sz w:val="20"/>
                <w:szCs w:val="20"/>
              </w:rPr>
            </w:pPr>
          </w:p>
          <w:p w:rsidR="00F7563C" w:rsidRPr="000F7F8E" w:rsidRDefault="00F7563C" w:rsidP="000F7F8E">
            <w:pPr>
              <w:jc w:val="center"/>
              <w:rPr>
                <w:sz w:val="20"/>
                <w:szCs w:val="20"/>
              </w:rPr>
            </w:pPr>
            <w:r w:rsidRPr="000F7F8E">
              <w:rPr>
                <w:sz w:val="20"/>
                <w:szCs w:val="20"/>
              </w:rPr>
              <w:t>none</w:t>
            </w:r>
          </w:p>
          <w:p w:rsidR="00F7563C" w:rsidRPr="000F7F8E" w:rsidRDefault="00F7563C" w:rsidP="000F7F8E">
            <w:pPr>
              <w:jc w:val="center"/>
              <w:rPr>
                <w:sz w:val="20"/>
                <w:szCs w:val="20"/>
              </w:rPr>
            </w:pPr>
          </w:p>
          <w:p w:rsidR="00F7563C" w:rsidRPr="000F7F8E" w:rsidRDefault="00F7563C" w:rsidP="000F7F8E">
            <w:pPr>
              <w:jc w:val="center"/>
              <w:rPr>
                <w:sz w:val="20"/>
                <w:szCs w:val="20"/>
              </w:rPr>
            </w:pPr>
          </w:p>
          <w:p w:rsidR="004260D1" w:rsidRPr="000F7F8E" w:rsidRDefault="004260D1" w:rsidP="000F7F8E">
            <w:pPr>
              <w:jc w:val="center"/>
              <w:rPr>
                <w:sz w:val="20"/>
                <w:szCs w:val="20"/>
              </w:rPr>
            </w:pPr>
          </w:p>
          <w:p w:rsidR="00F7563C" w:rsidRPr="000F7F8E" w:rsidRDefault="00F7563C" w:rsidP="000F7F8E">
            <w:pPr>
              <w:jc w:val="center"/>
              <w:rPr>
                <w:sz w:val="20"/>
                <w:szCs w:val="20"/>
              </w:rPr>
            </w:pPr>
            <w:r w:rsidRPr="000F7F8E">
              <w:rPr>
                <w:sz w:val="20"/>
                <w:szCs w:val="20"/>
              </w:rPr>
              <w:t>none</w:t>
            </w:r>
          </w:p>
        </w:tc>
        <w:tc>
          <w:tcPr>
            <w:tcW w:w="3690" w:type="dxa"/>
            <w:tcBorders>
              <w:bottom w:val="single" w:sz="12" w:space="0" w:color="auto"/>
            </w:tcBorders>
          </w:tcPr>
          <w:p w:rsidR="004260D1" w:rsidRPr="000F7F8E" w:rsidRDefault="00F7563C" w:rsidP="000F7F8E">
            <w:pPr>
              <w:jc w:val="center"/>
              <w:rPr>
                <w:sz w:val="20"/>
                <w:szCs w:val="20"/>
              </w:rPr>
            </w:pPr>
            <w:r w:rsidRPr="000F7F8E">
              <w:rPr>
                <w:sz w:val="20"/>
                <w:szCs w:val="20"/>
              </w:rPr>
              <w:sym w:font="Symbol" w:char="F0AD"/>
            </w:r>
            <w:r w:rsidR="008F2889" w:rsidRPr="000F7F8E">
              <w:rPr>
                <w:sz w:val="20"/>
                <w:szCs w:val="20"/>
              </w:rPr>
              <w:t xml:space="preserve"> MetHb</w:t>
            </w:r>
          </w:p>
          <w:p w:rsidR="00F7563C" w:rsidRPr="000F7F8E" w:rsidRDefault="00F7563C" w:rsidP="000F7F8E">
            <w:pPr>
              <w:jc w:val="center"/>
              <w:rPr>
                <w:sz w:val="20"/>
                <w:szCs w:val="20"/>
              </w:rPr>
            </w:pPr>
            <w:r w:rsidRPr="000F7F8E">
              <w:rPr>
                <w:sz w:val="20"/>
                <w:szCs w:val="20"/>
              </w:rPr>
              <w:sym w:font="Symbol" w:char="F0AF"/>
            </w:r>
            <w:r w:rsidRPr="000F7F8E">
              <w:rPr>
                <w:sz w:val="20"/>
                <w:szCs w:val="20"/>
              </w:rPr>
              <w:t xml:space="preserve"> sp. gravity urine</w:t>
            </w:r>
            <w:r w:rsidR="004260D1" w:rsidRPr="000F7F8E">
              <w:rPr>
                <w:sz w:val="20"/>
                <w:szCs w:val="20"/>
              </w:rPr>
              <w:t>, alkaline phosphatase</w:t>
            </w:r>
          </w:p>
          <w:p w:rsidR="00F7563C" w:rsidRPr="000F7F8E" w:rsidRDefault="00F7563C" w:rsidP="000F7F8E">
            <w:pPr>
              <w:jc w:val="center"/>
              <w:rPr>
                <w:sz w:val="20"/>
                <w:szCs w:val="20"/>
              </w:rPr>
            </w:pPr>
          </w:p>
          <w:p w:rsidR="004260D1" w:rsidRPr="000F7F8E" w:rsidRDefault="004260D1" w:rsidP="000F7F8E">
            <w:pPr>
              <w:jc w:val="center"/>
              <w:rPr>
                <w:sz w:val="20"/>
                <w:szCs w:val="20"/>
              </w:rPr>
            </w:pPr>
          </w:p>
          <w:p w:rsidR="00F7563C" w:rsidRPr="000F7F8E" w:rsidRDefault="00F7563C" w:rsidP="000F7F8E">
            <w:pPr>
              <w:jc w:val="center"/>
              <w:rPr>
                <w:sz w:val="20"/>
                <w:szCs w:val="20"/>
              </w:rPr>
            </w:pPr>
            <w:r w:rsidRPr="000F7F8E">
              <w:rPr>
                <w:sz w:val="20"/>
                <w:szCs w:val="20"/>
              </w:rPr>
              <w:sym w:font="Symbol" w:char="F0AD"/>
            </w:r>
            <w:r w:rsidRPr="000F7F8E">
              <w:rPr>
                <w:sz w:val="20"/>
                <w:szCs w:val="20"/>
              </w:rPr>
              <w:t xml:space="preserve"> </w:t>
            </w:r>
            <w:r w:rsidR="008F2889" w:rsidRPr="000F7F8E">
              <w:rPr>
                <w:sz w:val="20"/>
                <w:szCs w:val="20"/>
              </w:rPr>
              <w:t xml:space="preserve">urine </w:t>
            </w:r>
            <w:r w:rsidRPr="000F7F8E">
              <w:rPr>
                <w:sz w:val="20"/>
                <w:szCs w:val="20"/>
              </w:rPr>
              <w:t xml:space="preserve">volume, </w:t>
            </w:r>
            <w:r w:rsidRPr="000F7F8E">
              <w:rPr>
                <w:sz w:val="20"/>
                <w:szCs w:val="20"/>
              </w:rPr>
              <w:sym w:font="Symbol" w:char="F0AF"/>
            </w:r>
            <w:r w:rsidRPr="000F7F8E">
              <w:rPr>
                <w:sz w:val="20"/>
                <w:szCs w:val="20"/>
              </w:rPr>
              <w:t xml:space="preserve"> sp. gravity urine</w:t>
            </w:r>
          </w:p>
          <w:p w:rsidR="00F7563C" w:rsidRPr="000F7F8E" w:rsidRDefault="00F7563C" w:rsidP="000F7F8E">
            <w:pPr>
              <w:jc w:val="center"/>
              <w:rPr>
                <w:sz w:val="20"/>
                <w:szCs w:val="20"/>
              </w:rPr>
            </w:pPr>
          </w:p>
          <w:p w:rsidR="00F7563C" w:rsidRPr="000F7F8E" w:rsidRDefault="00F7563C" w:rsidP="000F7F8E">
            <w:pPr>
              <w:jc w:val="center"/>
              <w:rPr>
                <w:sz w:val="20"/>
                <w:szCs w:val="20"/>
              </w:rPr>
            </w:pPr>
          </w:p>
          <w:p w:rsidR="00F7563C" w:rsidRPr="000F7F8E" w:rsidRDefault="00F7563C" w:rsidP="000F7F8E">
            <w:pPr>
              <w:jc w:val="center"/>
              <w:rPr>
                <w:sz w:val="20"/>
                <w:szCs w:val="20"/>
              </w:rPr>
            </w:pPr>
          </w:p>
          <w:p w:rsidR="004260D1" w:rsidRPr="000F7F8E" w:rsidRDefault="004260D1" w:rsidP="000F7F8E">
            <w:pPr>
              <w:jc w:val="center"/>
              <w:rPr>
                <w:sz w:val="20"/>
                <w:szCs w:val="20"/>
              </w:rPr>
            </w:pPr>
            <w:r w:rsidRPr="000F7F8E">
              <w:rPr>
                <w:sz w:val="20"/>
                <w:szCs w:val="20"/>
              </w:rPr>
              <w:sym w:font="Symbol" w:char="F0AF"/>
            </w:r>
            <w:r w:rsidRPr="000F7F8E">
              <w:rPr>
                <w:sz w:val="20"/>
                <w:szCs w:val="20"/>
              </w:rPr>
              <w:t xml:space="preserve"> Hb, mean corpuscle Hb, rbc (but within normal range), sp. gravity of urine</w:t>
            </w:r>
          </w:p>
          <w:p w:rsidR="00F7563C" w:rsidRPr="000F7F8E" w:rsidRDefault="00F7563C" w:rsidP="000F7F8E">
            <w:pPr>
              <w:jc w:val="center"/>
              <w:rPr>
                <w:sz w:val="20"/>
                <w:szCs w:val="20"/>
              </w:rPr>
            </w:pPr>
            <w:r w:rsidRPr="000F7F8E">
              <w:rPr>
                <w:sz w:val="20"/>
                <w:szCs w:val="20"/>
              </w:rPr>
              <w:sym w:font="Symbol" w:char="F0AD"/>
            </w:r>
            <w:r w:rsidR="004260D1" w:rsidRPr="000F7F8E">
              <w:rPr>
                <w:sz w:val="20"/>
                <w:szCs w:val="20"/>
              </w:rPr>
              <w:t>MetHb, lymhocytes, clotting time,</w:t>
            </w:r>
            <w:r w:rsidRPr="000F7F8E">
              <w:rPr>
                <w:sz w:val="20"/>
                <w:szCs w:val="20"/>
              </w:rPr>
              <w:t xml:space="preserve"> urine volume, A/G, </w:t>
            </w:r>
            <w:r w:rsidR="004260D1" w:rsidRPr="000F7F8E">
              <w:rPr>
                <w:sz w:val="20"/>
                <w:szCs w:val="20"/>
              </w:rPr>
              <w:t xml:space="preserve">plasma urea, </w:t>
            </w:r>
            <w:r w:rsidRPr="000F7F8E">
              <w:rPr>
                <w:sz w:val="20"/>
                <w:szCs w:val="20"/>
              </w:rPr>
              <w:t>tri</w:t>
            </w:r>
            <w:r w:rsidR="004260D1" w:rsidRPr="000F7F8E">
              <w:rPr>
                <w:sz w:val="20"/>
                <w:szCs w:val="20"/>
              </w:rPr>
              <w:t>glyceride</w:t>
            </w:r>
            <w:r w:rsidRPr="000F7F8E">
              <w:rPr>
                <w:sz w:val="20"/>
                <w:szCs w:val="20"/>
              </w:rPr>
              <w:t>s,</w:t>
            </w:r>
          </w:p>
        </w:tc>
        <w:tc>
          <w:tcPr>
            <w:tcW w:w="2250" w:type="dxa"/>
            <w:tcBorders>
              <w:bottom w:val="single" w:sz="12" w:space="0" w:color="auto"/>
            </w:tcBorders>
          </w:tcPr>
          <w:p w:rsidR="004260D1" w:rsidRPr="000F7F8E" w:rsidRDefault="004260D1" w:rsidP="000F7F8E">
            <w:pPr>
              <w:jc w:val="center"/>
              <w:rPr>
                <w:snapToGrid w:val="0"/>
                <w:sz w:val="20"/>
                <w:szCs w:val="20"/>
              </w:rPr>
            </w:pPr>
          </w:p>
          <w:p w:rsidR="00F7563C" w:rsidRPr="000F7F8E" w:rsidRDefault="008F2889" w:rsidP="000F7F8E">
            <w:pPr>
              <w:jc w:val="center"/>
              <w:rPr>
                <w:sz w:val="20"/>
                <w:szCs w:val="20"/>
              </w:rPr>
            </w:pPr>
            <w:r w:rsidRPr="000F7F8E">
              <w:rPr>
                <w:snapToGrid w:val="0"/>
                <w:sz w:val="20"/>
                <w:szCs w:val="20"/>
              </w:rPr>
              <w:t>Coles and Brooks, 1994</w:t>
            </w:r>
          </w:p>
        </w:tc>
      </w:tr>
    </w:tbl>
    <w:p w:rsidR="002D636B" w:rsidRDefault="002D636B" w:rsidP="00F37C80">
      <w:pPr>
        <w:jc w:val="both"/>
        <w:rPr>
          <w:sz w:val="20"/>
        </w:rPr>
      </w:pPr>
      <w:r>
        <w:rPr>
          <w:sz w:val="20"/>
        </w:rPr>
        <w:t xml:space="preserve">Hb = hemoglobin, </w:t>
      </w:r>
      <w:r w:rsidR="008F2889">
        <w:rPr>
          <w:sz w:val="20"/>
        </w:rPr>
        <w:t xml:space="preserve">Hct = hematocrit, </w:t>
      </w:r>
      <w:r>
        <w:rPr>
          <w:sz w:val="20"/>
        </w:rPr>
        <w:t xml:space="preserve">MCH = mean cell hemoglobin, </w:t>
      </w:r>
      <w:r w:rsidR="008F2889">
        <w:rPr>
          <w:sz w:val="20"/>
        </w:rPr>
        <w:t xml:space="preserve">MCV = mean cell volume, MetHb = methemoglobin, </w:t>
      </w:r>
      <w:r>
        <w:rPr>
          <w:sz w:val="20"/>
        </w:rPr>
        <w:t>OCT = ornithine carbamyl transferase</w:t>
      </w:r>
      <w:r w:rsidR="00A2191D">
        <w:rPr>
          <w:sz w:val="20"/>
        </w:rPr>
        <w:t>, packed CV= packed cell volume</w:t>
      </w:r>
      <w:r w:rsidR="008F2889">
        <w:rPr>
          <w:sz w:val="20"/>
        </w:rPr>
        <w:t>,</w:t>
      </w:r>
      <w:r w:rsidR="008F2889" w:rsidRPr="008F2889">
        <w:rPr>
          <w:sz w:val="20"/>
        </w:rPr>
        <w:t xml:space="preserve"> </w:t>
      </w:r>
      <w:r w:rsidR="008F2889">
        <w:rPr>
          <w:sz w:val="20"/>
        </w:rPr>
        <w:t xml:space="preserve">pt = platelets, </w:t>
      </w:r>
      <w:proofErr w:type="gramStart"/>
      <w:r w:rsidR="008F2889">
        <w:rPr>
          <w:sz w:val="20"/>
        </w:rPr>
        <w:t>rbc</w:t>
      </w:r>
      <w:proofErr w:type="gramEnd"/>
      <w:r w:rsidR="008F2889">
        <w:rPr>
          <w:sz w:val="20"/>
        </w:rPr>
        <w:t xml:space="preserve"> = red blood cells, wbc = white blood cells</w:t>
      </w:r>
    </w:p>
    <w:p w:rsidR="00A2191D" w:rsidRPr="008F2889" w:rsidRDefault="00A2191D" w:rsidP="00F37C80">
      <w:pPr>
        <w:jc w:val="both"/>
        <w:rPr>
          <w:sz w:val="20"/>
        </w:rPr>
      </w:pPr>
      <w:proofErr w:type="gramStart"/>
      <w:r w:rsidRPr="00A2191D">
        <w:rPr>
          <w:sz w:val="20"/>
          <w:vertAlign w:val="superscript"/>
        </w:rPr>
        <w:t>a</w:t>
      </w:r>
      <w:r w:rsidR="008F2889">
        <w:rPr>
          <w:sz w:val="20"/>
        </w:rPr>
        <w:t>Only</w:t>
      </w:r>
      <w:proofErr w:type="gramEnd"/>
      <w:r w:rsidR="008F2889">
        <w:rPr>
          <w:sz w:val="20"/>
        </w:rPr>
        <w:t xml:space="preserve"> histopathology </w:t>
      </w:r>
      <w:r w:rsidR="004260D1">
        <w:rPr>
          <w:sz w:val="20"/>
        </w:rPr>
        <w:t xml:space="preserve">of the liver was </w:t>
      </w:r>
      <w:r w:rsidR="008F2889">
        <w:rPr>
          <w:sz w:val="20"/>
        </w:rPr>
        <w:t>analysed</w:t>
      </w:r>
    </w:p>
    <w:p w:rsidR="00DF2879" w:rsidRDefault="00DF2879" w:rsidP="00F37C80">
      <w:pPr>
        <w:pStyle w:val="MSDS-TUZeile"/>
        <w:jc w:val="both"/>
        <w:rPr>
          <w:rFonts w:ascii="Times New Roman" w:hAnsi="Times New Roman" w:cs="Times New Roman"/>
          <w:highlight w:val="cyan"/>
          <w:lang w:val="en-GB"/>
        </w:rPr>
        <w:sectPr w:rsidR="00DF2879" w:rsidSect="00DF2879">
          <w:pgSz w:w="16840" w:h="11907" w:orient="landscape" w:code="9"/>
          <w:pgMar w:top="1134" w:right="1418" w:bottom="1134" w:left="1134" w:header="737" w:footer="737" w:gutter="0"/>
          <w:cols w:space="720"/>
          <w:docGrid w:linePitch="360"/>
        </w:sectPr>
      </w:pPr>
    </w:p>
    <w:p w:rsidR="00204A39" w:rsidRPr="00091F5A" w:rsidRDefault="00204A39" w:rsidP="00F37C80">
      <w:pPr>
        <w:pStyle w:val="Heading8"/>
        <w:jc w:val="both"/>
      </w:pPr>
      <w:r w:rsidRPr="00091F5A">
        <w:t>Studies in Humans</w:t>
      </w:r>
    </w:p>
    <w:p w:rsidR="00204A39" w:rsidRPr="00091F5A" w:rsidRDefault="00204A39" w:rsidP="00F37C80">
      <w:pPr>
        <w:pStyle w:val="BodyText"/>
      </w:pPr>
      <w:r w:rsidRPr="00091F5A">
        <w:t>No data available.</w:t>
      </w:r>
    </w:p>
    <w:p w:rsidR="00204A39" w:rsidRPr="00091F5A" w:rsidRDefault="00204A39" w:rsidP="00D8614C">
      <w:pPr>
        <w:pStyle w:val="Heading8"/>
      </w:pPr>
      <w:r w:rsidRPr="00091F5A">
        <w:t>Conclusion</w:t>
      </w:r>
    </w:p>
    <w:p w:rsidR="0069390F" w:rsidRDefault="005B4FAB" w:rsidP="00F37C80">
      <w:pPr>
        <w:pStyle w:val="BodyText"/>
      </w:pPr>
      <w:bookmarkStart w:id="95" w:name="_Toc32726034"/>
      <w:bookmarkStart w:id="96" w:name="_Toc32727217"/>
      <w:proofErr w:type="gramStart"/>
      <w:r>
        <w:rPr>
          <w:i/>
        </w:rPr>
        <w:t>Nitromethane.</w:t>
      </w:r>
      <w:proofErr w:type="gramEnd"/>
      <w:r>
        <w:rPr>
          <w:i/>
        </w:rPr>
        <w:t xml:space="preserve"> </w:t>
      </w:r>
      <w:r w:rsidR="00632105" w:rsidRPr="00443C11">
        <w:t>Repeat</w:t>
      </w:r>
      <w:r w:rsidR="007860A2">
        <w:t>ed</w:t>
      </w:r>
      <w:r w:rsidR="00632105">
        <w:t>-</w:t>
      </w:r>
      <w:r w:rsidR="00632105" w:rsidRPr="00443C11">
        <w:t xml:space="preserve">dose studies </w:t>
      </w:r>
      <w:r w:rsidR="00632105">
        <w:t>are available for all category members</w:t>
      </w:r>
      <w:r w:rsidR="005279A9">
        <w:t xml:space="preserve"> via the inhalation </w:t>
      </w:r>
      <w:proofErr w:type="gramStart"/>
      <w:r w:rsidR="005279A9">
        <w:t xml:space="preserve">route </w:t>
      </w:r>
      <w:r w:rsidR="00632105">
        <w:t xml:space="preserve"> and</w:t>
      </w:r>
      <w:proofErr w:type="gramEnd"/>
      <w:r w:rsidR="00632105">
        <w:t xml:space="preserve"> </w:t>
      </w:r>
      <w:r w:rsidR="005279A9">
        <w:t>for nitromethan</w:t>
      </w:r>
      <w:r w:rsidR="008617F5">
        <w:t>e</w:t>
      </w:r>
      <w:r w:rsidR="005279A9">
        <w:t xml:space="preserve"> and </w:t>
      </w:r>
      <w:r w:rsidR="00632105">
        <w:t>1-nitropropane</w:t>
      </w:r>
      <w:r w:rsidR="005279A9">
        <w:t xml:space="preserve"> via the oral</w:t>
      </w:r>
      <w:r w:rsidR="00632105">
        <w:t xml:space="preserve"> </w:t>
      </w:r>
      <w:r w:rsidR="00632105" w:rsidRPr="00443C11">
        <w:t>route</w:t>
      </w:r>
      <w:r w:rsidR="00632105">
        <w:t xml:space="preserve">. </w:t>
      </w:r>
      <w:r w:rsidR="00632105" w:rsidRPr="00443C11">
        <w:t xml:space="preserve"> </w:t>
      </w:r>
      <w:r w:rsidR="00CF2A50">
        <w:t xml:space="preserve">Available data from </w:t>
      </w:r>
      <w:r w:rsidR="0069390F">
        <w:t xml:space="preserve">a </w:t>
      </w:r>
      <w:r w:rsidR="00CF2A50">
        <w:t>repeated 13-week inhalation stud</w:t>
      </w:r>
      <w:r w:rsidR="0069390F">
        <w:t>y</w:t>
      </w:r>
      <w:r w:rsidR="004412C6">
        <w:t xml:space="preserve"> </w:t>
      </w:r>
      <w:r w:rsidR="0069390F">
        <w:t xml:space="preserve">in rats </w:t>
      </w:r>
      <w:r w:rsidR="00CF2A50">
        <w:t xml:space="preserve">with </w:t>
      </w:r>
      <w:r w:rsidR="00091F5A">
        <w:t>nitromethane suggest</w:t>
      </w:r>
      <w:r w:rsidR="00F24587">
        <w:t>ed a</w:t>
      </w:r>
      <w:r w:rsidR="00091F5A">
        <w:t xml:space="preserve"> </w:t>
      </w:r>
      <w:r w:rsidR="008617F5">
        <w:t>L</w:t>
      </w:r>
      <w:r w:rsidR="00CF2A50">
        <w:t xml:space="preserve">OAEC </w:t>
      </w:r>
      <w:r w:rsidR="00F24587">
        <w:t>of</w:t>
      </w:r>
      <w:r w:rsidR="00091F5A">
        <w:t xml:space="preserve"> 94 ppm</w:t>
      </w:r>
      <w:r w:rsidR="0069390F">
        <w:t xml:space="preserve">.   </w:t>
      </w:r>
      <w:r w:rsidR="00091F5A">
        <w:t xml:space="preserve">This concentration </w:t>
      </w:r>
      <w:r w:rsidR="00F24587">
        <w:t xml:space="preserve">caused </w:t>
      </w:r>
      <w:r w:rsidR="00091F5A">
        <w:t>slight anemia</w:t>
      </w:r>
      <w:r w:rsidR="0069390F">
        <w:t xml:space="preserve">.  </w:t>
      </w:r>
      <w:r>
        <w:t>At higher concentrations (</w:t>
      </w:r>
      <w:r w:rsidR="00B320DF" w:rsidRPr="00F37C80">
        <w:rPr>
          <w:u w:val="single"/>
        </w:rPr>
        <w:t>&gt;</w:t>
      </w:r>
      <w:r>
        <w:t xml:space="preserve"> 375 ppm), decreased forelimb and hindlimb grip strengths as well as degeneration of the sciatic nerve and the lumbar spinal cord were observed.  Hind limb paralysis was also noted.  </w:t>
      </w:r>
      <w:r w:rsidR="0069390F">
        <w:t xml:space="preserve">A similar inhalation study using nitromethane in mice resulted in a NOAEC of 188 ppm, based on </w:t>
      </w:r>
      <w:r w:rsidR="0069390F" w:rsidRPr="002F099C">
        <w:rPr>
          <w:color w:val="000000"/>
        </w:rPr>
        <w:t>based on changes in multiple organ weights, changes in sperm motility and oestrous cycle leng</w:t>
      </w:r>
      <w:r w:rsidR="0069390F" w:rsidRPr="00C31A59">
        <w:rPr>
          <w:color w:val="000000"/>
          <w:lang w:val="en-US"/>
        </w:rPr>
        <w:t>ths</w:t>
      </w:r>
      <w:r w:rsidR="008617F5">
        <w:rPr>
          <w:color w:val="000000"/>
          <w:lang w:val="en-US"/>
        </w:rPr>
        <w:t xml:space="preserve"> at 375 ppm</w:t>
      </w:r>
      <w:r w:rsidR="0069390F" w:rsidRPr="00C31A59">
        <w:rPr>
          <w:color w:val="000000"/>
          <w:lang w:val="en-US"/>
        </w:rPr>
        <w:t xml:space="preserve">.  </w:t>
      </w:r>
    </w:p>
    <w:p w:rsidR="00491CC3" w:rsidRDefault="0069390F" w:rsidP="00F37C80">
      <w:pPr>
        <w:jc w:val="both"/>
      </w:pPr>
      <w:r>
        <w:t>C</w:t>
      </w:r>
      <w:r w:rsidR="00091F5A">
        <w:t>hanges in thyroid weight and function in rabbits (without any adverse histopathology)</w:t>
      </w:r>
      <w:r w:rsidR="008617F5">
        <w:t xml:space="preserve"> were observed after exposure to nitromethane via inhalation at concentrations of 98 ppm and higher</w:t>
      </w:r>
      <w:r w:rsidR="00091F5A">
        <w:t xml:space="preserve">.  Thyroid effects </w:t>
      </w:r>
      <w:r w:rsidR="00F24587">
        <w:t xml:space="preserve">were </w:t>
      </w:r>
      <w:r w:rsidR="00091F5A">
        <w:t xml:space="preserve">also noted in rats (but not mice) exposed to higher concentrations. </w:t>
      </w:r>
      <w:r w:rsidR="008617F5">
        <w:t xml:space="preserve"> Additional effects associated with nitromethane inhalation at h</w:t>
      </w:r>
      <w:r w:rsidR="00091F5A">
        <w:t xml:space="preserve">igher concentrations </w:t>
      </w:r>
      <w:r w:rsidR="008617F5">
        <w:t xml:space="preserve">included </w:t>
      </w:r>
      <w:r w:rsidR="00091F5A">
        <w:t>increased kidney, heart and/or liver weights in rats and mice</w:t>
      </w:r>
      <w:r w:rsidR="008617F5">
        <w:t xml:space="preserve"> and </w:t>
      </w:r>
      <w:r w:rsidR="00091F5A">
        <w:t>toxicity to the spleen</w:t>
      </w:r>
      <w:r w:rsidR="008617F5">
        <w:t xml:space="preserve"> in mice</w:t>
      </w:r>
      <w:r w:rsidR="00091F5A">
        <w:t xml:space="preserve">.  </w:t>
      </w:r>
      <w:r w:rsidR="005B4FAB">
        <w:t>Sever</w:t>
      </w:r>
      <w:r w:rsidR="00FF7290">
        <w:t>a</w:t>
      </w:r>
      <w:r w:rsidR="005B4FAB">
        <w:t xml:space="preserve">l of the young male albino rats administered nitromethane in </w:t>
      </w:r>
      <w:r w:rsidR="005B4FAB" w:rsidRPr="00C31A59">
        <w:t>drinking water</w:t>
      </w:r>
      <w:r w:rsidR="005B4FAB">
        <w:t xml:space="preserve"> died, resulting in a LOAEL of 0.1% (approximately 150 mg/kg bw/day).</w:t>
      </w:r>
    </w:p>
    <w:p w:rsidR="00091F5A" w:rsidRDefault="005B4FAB" w:rsidP="00F37C80">
      <w:pPr>
        <w:jc w:val="both"/>
      </w:pPr>
      <w:proofErr w:type="gramStart"/>
      <w:r>
        <w:rPr>
          <w:i/>
        </w:rPr>
        <w:t>Nitroethane.</w:t>
      </w:r>
      <w:proofErr w:type="gramEnd"/>
      <w:r>
        <w:rPr>
          <w:i/>
        </w:rPr>
        <w:t xml:space="preserve"> </w:t>
      </w:r>
      <w:r w:rsidR="00C43058">
        <w:t>D</w:t>
      </w:r>
      <w:r w:rsidR="00CF2A50">
        <w:t xml:space="preserve">ata from </w:t>
      </w:r>
      <w:r w:rsidR="00C43058">
        <w:t xml:space="preserve">a </w:t>
      </w:r>
      <w:r w:rsidR="00CF2A50">
        <w:t>repeated 13-week inhalation</w:t>
      </w:r>
      <w:r w:rsidR="004412C6">
        <w:t xml:space="preserve"> </w:t>
      </w:r>
      <w:r w:rsidR="00CF2A50">
        <w:t>stud</w:t>
      </w:r>
      <w:r w:rsidR="00C43058">
        <w:t>y</w:t>
      </w:r>
      <w:r w:rsidR="004412C6">
        <w:t xml:space="preserve"> </w:t>
      </w:r>
      <w:r w:rsidR="00CF2A50">
        <w:t xml:space="preserve">with </w:t>
      </w:r>
      <w:r w:rsidR="00C43058">
        <w:t xml:space="preserve">rats exposed to </w:t>
      </w:r>
      <w:r w:rsidR="00091F5A">
        <w:t xml:space="preserve">nitroethane showed changes in </w:t>
      </w:r>
      <w:r w:rsidR="004412C6">
        <w:t xml:space="preserve">methomeglobin, </w:t>
      </w:r>
      <w:r w:rsidR="00091F5A">
        <w:t xml:space="preserve">the histopathology of the spleen and salivary glands </w:t>
      </w:r>
      <w:r w:rsidR="00C43058">
        <w:t xml:space="preserve">at </w:t>
      </w:r>
      <w:r w:rsidR="00091F5A">
        <w:t>concentrations ≥ 100 ppm</w:t>
      </w:r>
      <w:r w:rsidR="00C43058">
        <w:t xml:space="preserve">; the severity of </w:t>
      </w:r>
      <w:r w:rsidR="00922C18">
        <w:t>effects increas</w:t>
      </w:r>
      <w:r w:rsidR="00C43058">
        <w:t>ed from minimal effects to more severe effects at higher concentrations</w:t>
      </w:r>
      <w:r w:rsidR="00091F5A">
        <w:t xml:space="preserve">.  </w:t>
      </w:r>
      <w:r w:rsidR="00C43058">
        <w:t>In a 13-week inhalation study in mice, nitroethane resulted in increased methemoglobin, multinucleated spermatids in the testes, degenerative and inflammatory changes in the olfactory nasal epithelium, hepatocellular vacuolization, and decreased cytoplasmic granularity of renal cortical tubular epithelium and aductal epithelial cells of the salivary glands, with similar but less severe effects at 350 ppm.  T</w:t>
      </w:r>
      <w:r w:rsidR="00CF2A50">
        <w:t xml:space="preserve">he NOAEC </w:t>
      </w:r>
      <w:r w:rsidR="00C43058">
        <w:t xml:space="preserve">is </w:t>
      </w:r>
      <w:r w:rsidR="00CF2A50">
        <w:t>equal to 100 ppm in mice.</w:t>
      </w:r>
    </w:p>
    <w:p w:rsidR="00091F5A" w:rsidRDefault="00091F5A" w:rsidP="00F37C80">
      <w:pPr>
        <w:jc w:val="both"/>
      </w:pPr>
    </w:p>
    <w:p w:rsidR="00836315" w:rsidRDefault="005B4FAB" w:rsidP="00F37C80">
      <w:pPr>
        <w:jc w:val="both"/>
      </w:pPr>
      <w:proofErr w:type="gramStart"/>
      <w:r>
        <w:rPr>
          <w:i/>
        </w:rPr>
        <w:t>1-Nitropropane.</w:t>
      </w:r>
      <w:proofErr w:type="gramEnd"/>
      <w:r>
        <w:rPr>
          <w:i/>
        </w:rPr>
        <w:t xml:space="preserve">  </w:t>
      </w:r>
      <w:r w:rsidR="00CF2A50">
        <w:t>In a combined inhalation repeated-dose/reproductive developmental screening test</w:t>
      </w:r>
      <w:r w:rsidR="00091F5A">
        <w:t xml:space="preserve"> </w:t>
      </w:r>
      <w:r w:rsidR="0058595A">
        <w:t xml:space="preserve">(OECD TG 422) </w:t>
      </w:r>
      <w:r w:rsidR="00CF2A50">
        <w:t>in rats</w:t>
      </w:r>
      <w:r w:rsidR="00091F5A">
        <w:t xml:space="preserve"> with 1-nitropropane</w:t>
      </w:r>
      <w:r w:rsidR="00CF2A50">
        <w:t xml:space="preserve">, </w:t>
      </w:r>
      <w:r w:rsidR="0058595A">
        <w:t>9</w:t>
      </w:r>
      <w:r w:rsidR="0067289E">
        <w:t>6</w:t>
      </w:r>
      <w:r w:rsidR="0058595A">
        <w:t xml:space="preserve"> ppm (</w:t>
      </w:r>
      <w:r w:rsidR="0067289E" w:rsidRPr="0067289E">
        <w:t>0.35</w:t>
      </w:r>
      <w:r w:rsidR="0058595A" w:rsidRPr="0067289E">
        <w:t>mg/L</w:t>
      </w:r>
      <w:r w:rsidR="0058595A">
        <w:t>)</w:t>
      </w:r>
      <w:r w:rsidR="00491CC3">
        <w:t xml:space="preserve">resulted in </w:t>
      </w:r>
      <w:r w:rsidR="0058595A">
        <w:t xml:space="preserve">decreased food consumption in both sexes, and </w:t>
      </w:r>
      <w:r w:rsidR="00491CC3">
        <w:t xml:space="preserve">decreased </w:t>
      </w:r>
      <w:r w:rsidR="0058595A">
        <w:t xml:space="preserve">body weights of males prior to </w:t>
      </w:r>
      <w:r w:rsidR="0058595A" w:rsidRPr="00BD159C">
        <w:t xml:space="preserve">mating, </w:t>
      </w:r>
      <w:r w:rsidR="00B320DF" w:rsidRPr="00F37C80">
        <w:t>increased relative brain and testes weights (without histological changes) in males</w:t>
      </w:r>
      <w:r w:rsidR="00BD159C" w:rsidRPr="00BD159C">
        <w:t>.</w:t>
      </w:r>
      <w:r w:rsidR="00491CC3" w:rsidRPr="00BD159C">
        <w:t xml:space="preserve">  </w:t>
      </w:r>
      <w:r w:rsidR="00B320DF" w:rsidRPr="00F37C80">
        <w:t>Hist</w:t>
      </w:r>
      <w:r w:rsidR="0058595A">
        <w:t xml:space="preserve">opathologic changes </w:t>
      </w:r>
      <w:r w:rsidR="00491CC3">
        <w:t xml:space="preserve">were also seen </w:t>
      </w:r>
      <w:r w:rsidR="0058595A">
        <w:t xml:space="preserve">in the nasal tissues of one male and up to seven females. </w:t>
      </w:r>
      <w:r w:rsidR="00491CC3">
        <w:t xml:space="preserve"> </w:t>
      </w:r>
      <w:r w:rsidR="0058595A">
        <w:t>Based on these findings, the NOAEC was 48 ppm (</w:t>
      </w:r>
      <w:r w:rsidR="0067289E">
        <w:t>0.17</w:t>
      </w:r>
      <w:r w:rsidR="0058595A" w:rsidRPr="0067289E">
        <w:t xml:space="preserve"> mg/L</w:t>
      </w:r>
      <w:r w:rsidR="0058595A">
        <w:t>).  In a 28-day oral</w:t>
      </w:r>
      <w:r w:rsidR="00836315">
        <w:t xml:space="preserve"> gavage study, rats exposed to </w:t>
      </w:r>
      <w:r w:rsidR="0058595A">
        <w:t>100 mg/kg</w:t>
      </w:r>
      <w:r w:rsidR="004412C6">
        <w:t xml:space="preserve"> bw</w:t>
      </w:r>
      <w:r w:rsidR="0058595A">
        <w:t xml:space="preserve">/day 1-nitropropane showed effects on the nervous system </w:t>
      </w:r>
      <w:r w:rsidR="00836315">
        <w:t xml:space="preserve">(ataxia, salivation, hunched posture).  </w:t>
      </w:r>
      <w:r w:rsidR="00797B69">
        <w:t>There were</w:t>
      </w:r>
      <w:r w:rsidR="00836315">
        <w:t xml:space="preserve"> significant increases in brain weights without </w:t>
      </w:r>
      <w:r w:rsidR="00797B69">
        <w:t xml:space="preserve">corresponding </w:t>
      </w:r>
      <w:r w:rsidR="00836315">
        <w:t xml:space="preserve">morphologic changes.  </w:t>
      </w:r>
      <w:r w:rsidR="00797B69">
        <w:t>Based on these data, t</w:t>
      </w:r>
      <w:r w:rsidR="00836315" w:rsidRPr="00EA2F9B">
        <w:t>he NOAEL w</w:t>
      </w:r>
      <w:r w:rsidR="00797B69">
        <w:t>as</w:t>
      </w:r>
      <w:r w:rsidR="00836315" w:rsidRPr="00EA2F9B">
        <w:t xml:space="preserve"> 30 mg/kg</w:t>
      </w:r>
      <w:r w:rsidR="004412C6">
        <w:t xml:space="preserve"> bw</w:t>
      </w:r>
      <w:r w:rsidR="00797B69">
        <w:t>/day</w:t>
      </w:r>
      <w:r w:rsidR="00836315" w:rsidRPr="00EA2F9B">
        <w:t>.</w:t>
      </w:r>
    </w:p>
    <w:p w:rsidR="00204A39" w:rsidRPr="001179C3" w:rsidRDefault="00D8614C" w:rsidP="00D8614C">
      <w:pPr>
        <w:pStyle w:val="Heading3"/>
        <w:numPr>
          <w:ilvl w:val="0"/>
          <w:numId w:val="0"/>
        </w:numPr>
        <w:ind w:left="839" w:hanging="839"/>
        <w:jc w:val="both"/>
      </w:pPr>
      <w:bookmarkStart w:id="97" w:name="_Toc147824547"/>
      <w:r>
        <w:t>3.1.6</w:t>
      </w:r>
      <w:r>
        <w:tab/>
      </w:r>
      <w:r w:rsidR="00204A39" w:rsidRPr="001179C3">
        <w:t>Mutagenicity</w:t>
      </w:r>
      <w:bookmarkEnd w:id="95"/>
      <w:bookmarkEnd w:id="96"/>
      <w:bookmarkEnd w:id="97"/>
    </w:p>
    <w:p w:rsidR="00204A39" w:rsidRPr="001179C3" w:rsidRDefault="00096F98" w:rsidP="00F37C80">
      <w:pPr>
        <w:pStyle w:val="BodyText"/>
      </w:pPr>
      <w:r>
        <w:rPr>
          <w:i/>
        </w:rPr>
        <w:t>I</w:t>
      </w:r>
      <w:r w:rsidR="00204A39" w:rsidRPr="001179C3">
        <w:rPr>
          <w:i/>
        </w:rPr>
        <w:t>n vitro</w:t>
      </w:r>
      <w:r w:rsidR="00204A39" w:rsidRPr="001179C3">
        <w:t xml:space="preserve"> mutagenicity studies </w:t>
      </w:r>
      <w:r w:rsidR="00470333">
        <w:t>are available for</w:t>
      </w:r>
      <w:r w:rsidR="00204A39" w:rsidRPr="001179C3">
        <w:t xml:space="preserve"> </w:t>
      </w:r>
      <w:r w:rsidR="001179C3" w:rsidRPr="001179C3">
        <w:t>nitromethane</w:t>
      </w:r>
      <w:r w:rsidR="00AC7106">
        <w:t>,</w:t>
      </w:r>
      <w:r w:rsidR="001179C3" w:rsidRPr="001179C3">
        <w:t xml:space="preserve"> nitroethane</w:t>
      </w:r>
      <w:r w:rsidR="00AC7106">
        <w:t>, and 1-nitropropane</w:t>
      </w:r>
      <w:r w:rsidR="001179C3" w:rsidRPr="001179C3">
        <w:t xml:space="preserve">.  </w:t>
      </w:r>
      <w:r w:rsidR="00C2220F">
        <w:t>N</w:t>
      </w:r>
      <w:r w:rsidR="00C2220F" w:rsidRPr="001179C3">
        <w:t>itromethane</w:t>
      </w:r>
      <w:r w:rsidR="00C2220F">
        <w:t xml:space="preserve"> and 1-nitropropane have been tested for chromosomal aberrations </w:t>
      </w:r>
      <w:r w:rsidR="00C2220F" w:rsidRPr="00C2220F">
        <w:rPr>
          <w:i/>
        </w:rPr>
        <w:t>in vitro</w:t>
      </w:r>
      <w:r w:rsidR="00C2220F">
        <w:t xml:space="preserve">. </w:t>
      </w:r>
      <w:r w:rsidR="00C2220F" w:rsidRPr="001179C3">
        <w:rPr>
          <w:i/>
        </w:rPr>
        <w:t xml:space="preserve"> </w:t>
      </w:r>
      <w:r w:rsidR="00C002F3">
        <w:rPr>
          <w:i/>
        </w:rPr>
        <w:t>The Ames data set</w:t>
      </w:r>
      <w:r w:rsidR="00DF165A">
        <w:rPr>
          <w:i/>
        </w:rPr>
        <w:t xml:space="preserve"> includes good-quality studies on all three members.  </w:t>
      </w:r>
      <w:r w:rsidR="001179C3" w:rsidRPr="001179C3">
        <w:rPr>
          <w:i/>
        </w:rPr>
        <w:t>In vivo</w:t>
      </w:r>
      <w:r w:rsidR="001179C3" w:rsidRPr="001179C3">
        <w:t xml:space="preserve"> genotoxicity was evaluated in all three category members.</w:t>
      </w:r>
      <w:r w:rsidR="00204A39" w:rsidRPr="001179C3">
        <w:t xml:space="preserve"> </w:t>
      </w:r>
    </w:p>
    <w:p w:rsidR="0045111F" w:rsidRPr="00D8614C" w:rsidRDefault="0045111F" w:rsidP="00D8614C">
      <w:pPr>
        <w:pStyle w:val="Heading9"/>
        <w:rPr>
          <w:u w:val="single"/>
        </w:rPr>
      </w:pPr>
      <w:r w:rsidRPr="00D8614C">
        <w:rPr>
          <w:iCs/>
          <w:u w:val="single"/>
        </w:rPr>
        <w:t>In vitro</w:t>
      </w:r>
      <w:r w:rsidRPr="00D8614C">
        <w:rPr>
          <w:u w:val="single"/>
        </w:rPr>
        <w:t xml:space="preserve"> Studies</w:t>
      </w:r>
    </w:p>
    <w:p w:rsidR="003A0497" w:rsidRDefault="0045111F" w:rsidP="00F37C80">
      <w:pPr>
        <w:jc w:val="both"/>
      </w:pPr>
      <w:r w:rsidRPr="00DB0053">
        <w:rPr>
          <w:i/>
        </w:rPr>
        <w:t>Nitromethane</w:t>
      </w:r>
      <w:r>
        <w:t xml:space="preserve"> has been tested for mutagenicity in </w:t>
      </w:r>
      <w:r>
        <w:rPr>
          <w:i/>
          <w:iCs/>
        </w:rPr>
        <w:t>S. typhimurium</w:t>
      </w:r>
      <w:r>
        <w:t xml:space="preserve"> strains TA98, TA100, TA1535, TA1537 and TA153</w:t>
      </w:r>
      <w:r w:rsidRPr="001179C3">
        <w:t>8 (</w:t>
      </w:r>
      <w:r w:rsidRPr="001179C3">
        <w:rPr>
          <w:snapToGrid w:val="0"/>
        </w:rPr>
        <w:t>Domoradzki, 1980</w:t>
      </w:r>
      <w:r w:rsidRPr="001179C3">
        <w:t xml:space="preserve">).  Concentrations of nitromethane </w:t>
      </w:r>
      <w:r w:rsidR="003A0497">
        <w:t xml:space="preserve">of 23,732 </w:t>
      </w:r>
      <w:r>
        <w:t xml:space="preserve">and 47,465 ppm did not cause an increase in revertants in the presence or absence of a metabolic activation system.  </w:t>
      </w:r>
      <w:r w:rsidR="003A0497">
        <w:t>The concentration of 47,465 ppm was toxic to strains TA1535 and TA1537.  Positive and negative controls were used but results were not stated.</w:t>
      </w:r>
    </w:p>
    <w:p w:rsidR="00943EC2" w:rsidRDefault="00943EC2" w:rsidP="00F37C80">
      <w:pPr>
        <w:jc w:val="both"/>
      </w:pPr>
      <w:r w:rsidRPr="00D41789">
        <w:t xml:space="preserve">In an </w:t>
      </w:r>
      <w:r w:rsidRPr="00C7604A">
        <w:rPr>
          <w:i/>
        </w:rPr>
        <w:t>in vitro</w:t>
      </w:r>
      <w:r w:rsidRPr="00D41789">
        <w:t xml:space="preserve"> mammalian cell transformation assay</w:t>
      </w:r>
      <w:r>
        <w:t xml:space="preserve"> on Syrian hamster embryos</w:t>
      </w:r>
      <w:r w:rsidRPr="00D41789">
        <w:t xml:space="preserve">, nitromethane produced positive results (Kerckaert et all 1996).  </w:t>
      </w:r>
    </w:p>
    <w:p w:rsidR="00943EC2" w:rsidRDefault="00943EC2" w:rsidP="00F37C80">
      <w:pPr>
        <w:jc w:val="both"/>
      </w:pPr>
    </w:p>
    <w:p w:rsidR="003A0497" w:rsidRDefault="0045111F" w:rsidP="00F37C80">
      <w:pPr>
        <w:jc w:val="both"/>
      </w:pPr>
      <w:r w:rsidRPr="00DB0053">
        <w:rPr>
          <w:i/>
        </w:rPr>
        <w:t>Nitroethane</w:t>
      </w:r>
      <w:r w:rsidRPr="00DB0053">
        <w:t xml:space="preserve"> </w:t>
      </w:r>
      <w:r>
        <w:t xml:space="preserve">has been tested for mutagenicity in </w:t>
      </w:r>
      <w:r>
        <w:rPr>
          <w:i/>
          <w:iCs/>
        </w:rPr>
        <w:t>S. typhimurium</w:t>
      </w:r>
      <w:r>
        <w:t xml:space="preserve"> strains TA98, TA100, TA1535, TA1537 and TA1538 </w:t>
      </w:r>
      <w:r w:rsidRPr="001179C3">
        <w:t>(</w:t>
      </w:r>
      <w:r w:rsidRPr="001179C3">
        <w:rPr>
          <w:snapToGrid w:val="0"/>
        </w:rPr>
        <w:t>Domoradzki, 1980;</w:t>
      </w:r>
      <w:r>
        <w:t xml:space="preserve"> </w:t>
      </w:r>
      <w:r>
        <w:rPr>
          <w:snapToGrid w:val="0"/>
        </w:rPr>
        <w:t>Hite and Skeggs, 1979</w:t>
      </w:r>
      <w:r>
        <w:t xml:space="preserve">).  </w:t>
      </w:r>
      <w:r w:rsidR="00E8201E">
        <w:t>N</w:t>
      </w:r>
      <w:r>
        <w:t xml:space="preserve">itroethane did not cause an increase in revertants in the presence or absence of a metabolic activation system.  </w:t>
      </w:r>
      <w:r w:rsidR="003A0497">
        <w:t>The chemical was cytotoxic at 55,450 ppm; positive and negative controls were used but the results were not stated.</w:t>
      </w:r>
    </w:p>
    <w:p w:rsidR="003A0497" w:rsidRDefault="003A0497" w:rsidP="00F37C80">
      <w:pPr>
        <w:jc w:val="both"/>
      </w:pPr>
    </w:p>
    <w:p w:rsidR="0045111F" w:rsidRPr="00123FB2" w:rsidRDefault="0045111F" w:rsidP="00F37C80">
      <w:pPr>
        <w:jc w:val="both"/>
        <w:rPr>
          <w:highlight w:val="cyan"/>
        </w:rPr>
      </w:pPr>
      <w:r w:rsidRPr="00DB0053">
        <w:rPr>
          <w:i/>
        </w:rPr>
        <w:t>1-Nitropropane</w:t>
      </w:r>
      <w:r>
        <w:t xml:space="preserve"> has been tested for mutagenicity in </w:t>
      </w:r>
      <w:r>
        <w:rPr>
          <w:i/>
          <w:iCs/>
        </w:rPr>
        <w:t>S. typhimurium</w:t>
      </w:r>
      <w:r>
        <w:t xml:space="preserve"> strains TA92, TA98, TA100, TA1535 </w:t>
      </w:r>
      <w:r w:rsidR="00485891">
        <w:t xml:space="preserve">and </w:t>
      </w:r>
      <w:r>
        <w:t xml:space="preserve">TA1537 and </w:t>
      </w:r>
      <w:r w:rsidR="00485891">
        <w:rPr>
          <w:i/>
        </w:rPr>
        <w:t xml:space="preserve">E. coli </w:t>
      </w:r>
      <w:r w:rsidR="00485891">
        <w:t xml:space="preserve">strain WP2 uvrA with and without metabolic activation using closed plates to control evaporation </w:t>
      </w:r>
      <w:r>
        <w:t>(</w:t>
      </w:r>
      <w:r>
        <w:rPr>
          <w:snapToGrid w:val="0"/>
        </w:rPr>
        <w:t>Thompson, 1996</w:t>
      </w:r>
      <w:r>
        <w:t xml:space="preserve">Haworth </w:t>
      </w:r>
      <w:r w:rsidRPr="00E81F0C">
        <w:rPr>
          <w:i/>
        </w:rPr>
        <w:t>et al</w:t>
      </w:r>
      <w:r>
        <w:t>., 1983</w:t>
      </w:r>
      <w:r>
        <w:rPr>
          <w:snapToGrid w:val="0"/>
        </w:rPr>
        <w:t>and Weir, 1977</w:t>
      </w:r>
      <w:r>
        <w:t xml:space="preserve">).  The material tested negative in all studies at concentrations up to the limit concentration or cytotoxic levels.  </w:t>
      </w:r>
      <w:r w:rsidR="00485891">
        <w:t>The test material was evaluated at 50, 150, 500, 1500 and 500 µg/</w:t>
      </w:r>
      <w:proofErr w:type="gramStart"/>
      <w:r w:rsidR="00485891">
        <w:t>plate  Negative</w:t>
      </w:r>
      <w:proofErr w:type="gramEnd"/>
      <w:r w:rsidR="00485891">
        <w:t xml:space="preserve"> and positive controls were used, and a</w:t>
      </w:r>
      <w:r>
        <w:t>ll positive controls behaved as expected.</w:t>
      </w:r>
      <w:r w:rsidR="00485891">
        <w:t xml:space="preserve">  The material tested negative for gene mutations in both tests.</w:t>
      </w:r>
    </w:p>
    <w:p w:rsidR="00204A39" w:rsidRPr="00D8614C" w:rsidRDefault="00204A39" w:rsidP="00D93802">
      <w:pPr>
        <w:pStyle w:val="Heading9"/>
        <w:spacing w:before="240"/>
        <w:rPr>
          <w:u w:val="single"/>
        </w:rPr>
      </w:pPr>
      <w:r w:rsidRPr="00D8614C">
        <w:rPr>
          <w:iCs/>
          <w:u w:val="single"/>
        </w:rPr>
        <w:t>In vivo</w:t>
      </w:r>
      <w:r w:rsidRPr="00D8614C">
        <w:rPr>
          <w:u w:val="single"/>
        </w:rPr>
        <w:t xml:space="preserve"> Studies</w:t>
      </w:r>
    </w:p>
    <w:p w:rsidR="004B0C29" w:rsidRDefault="004B0C29" w:rsidP="00F37C80">
      <w:pPr>
        <w:jc w:val="both"/>
      </w:pPr>
      <w:r>
        <w:t xml:space="preserve">A mouse micronucleus study </w:t>
      </w:r>
      <w:r w:rsidR="009B2957">
        <w:t xml:space="preserve">on peripheral erythrocytes </w:t>
      </w:r>
      <w:r w:rsidR="00C2220F">
        <w:t xml:space="preserve">with </w:t>
      </w:r>
      <w:r w:rsidR="00B320DF" w:rsidRPr="00F37C80">
        <w:rPr>
          <w:i/>
        </w:rPr>
        <w:t>nitromethane</w:t>
      </w:r>
      <w:r w:rsidR="00C2220F">
        <w:t xml:space="preserve"> </w:t>
      </w:r>
      <w:r>
        <w:t xml:space="preserve">was conducted in conjunction with </w:t>
      </w:r>
      <w:r w:rsidR="00C2220F">
        <w:t xml:space="preserve">a </w:t>
      </w:r>
      <w:r>
        <w:t xml:space="preserve">13-week repeated dose </w:t>
      </w:r>
      <w:proofErr w:type="gramStart"/>
      <w:r>
        <w:t>study  (</w:t>
      </w:r>
      <w:proofErr w:type="gramEnd"/>
      <w:r>
        <w:t xml:space="preserve">Witt </w:t>
      </w:r>
      <w:r w:rsidRPr="006463FD">
        <w:rPr>
          <w:i/>
        </w:rPr>
        <w:t>et al</w:t>
      </w:r>
      <w:r>
        <w:t xml:space="preserve">., 2000; </w:t>
      </w:r>
      <w:r>
        <w:rPr>
          <w:snapToGrid w:val="0"/>
        </w:rPr>
        <w:t>USDHHS, 1997)</w:t>
      </w:r>
      <w:r>
        <w:t xml:space="preserve">. </w:t>
      </w:r>
      <w:r w:rsidR="006463FD">
        <w:t xml:space="preserve"> </w:t>
      </w:r>
      <w:r w:rsidR="009B2957">
        <w:t xml:space="preserve">The study utilized </w:t>
      </w:r>
      <w:proofErr w:type="gramStart"/>
      <w:r w:rsidR="009B2957">
        <w:t>10 animals/sex/concentration that were exposed for 5hrs/day, 5 days/week</w:t>
      </w:r>
      <w:proofErr w:type="gramEnd"/>
      <w:r w:rsidR="009B2957">
        <w:t xml:space="preserve">.  </w:t>
      </w:r>
      <w:r w:rsidR="00C2220F">
        <w:t>T</w:t>
      </w:r>
      <w:r>
        <w:t xml:space="preserve">here was no significant difference in the numbers of micronucleated normochromatic erythrocytes (NCE) in animals exposed by inhalation to concentrations up to </w:t>
      </w:r>
      <w:r w:rsidR="009B2957">
        <w:t>1500</w:t>
      </w:r>
      <w:r>
        <w:t xml:space="preserve"> ppm nitromethane versus controls.  </w:t>
      </w:r>
      <w:r w:rsidR="00C2220F">
        <w:t xml:space="preserve">  </w:t>
      </w:r>
      <w:r w:rsidR="00DF165A">
        <w:t>The reports did not present positive control data</w:t>
      </w:r>
      <w:r w:rsidR="00485891">
        <w:t xml:space="preserve"> </w:t>
      </w:r>
    </w:p>
    <w:p w:rsidR="00F97C4D" w:rsidRDefault="00F97C4D" w:rsidP="00F37C80">
      <w:pPr>
        <w:jc w:val="both"/>
        <w:rPr>
          <w:color w:val="000000"/>
        </w:rPr>
      </w:pPr>
      <w:r>
        <w:t xml:space="preserve">In a chromosome aberration test utilizing Syrian hamster embyros, </w:t>
      </w:r>
      <w:r w:rsidR="00B320DF" w:rsidRPr="00F37C80">
        <w:rPr>
          <w:i/>
          <w:color w:val="000000"/>
        </w:rPr>
        <w:t>nitromethane</w:t>
      </w:r>
      <w:r>
        <w:rPr>
          <w:color w:val="000000"/>
        </w:rPr>
        <w:t xml:space="preserve"> was negative in the SHE assay at all concentrations which resulted in 50% reduction in the relative cell number and/or in the percentage of binucleated cells (Gibson et al. 1997).  Nitromethane was tested using two different solvents, DMSO and media, since there was a big difference in the toxicity between the solvents.  In DMSO, 5.5 and 6.0 </w:t>
      </w:r>
      <w:r w:rsidR="0074682F">
        <w:rPr>
          <w:color w:val="000000"/>
        </w:rPr>
        <w:t>µ</w:t>
      </w:r>
      <w:r>
        <w:rPr>
          <w:color w:val="000000"/>
        </w:rPr>
        <w:t xml:space="preserve">g/ml nitromethane greatly reduced the cell number where as no toxicity was observed in nitromethane dissolved in media up to 5000 </w:t>
      </w:r>
      <w:r w:rsidR="0074682F">
        <w:rPr>
          <w:color w:val="000000"/>
        </w:rPr>
        <w:t>µ</w:t>
      </w:r>
      <w:r>
        <w:rPr>
          <w:color w:val="000000"/>
        </w:rPr>
        <w:t>g/mL.  Regardless of the solvent, nitromethane did not increase the frequency of micronuclei.</w:t>
      </w:r>
    </w:p>
    <w:p w:rsidR="00F97C4D" w:rsidRDefault="00F97C4D" w:rsidP="00F37C80">
      <w:pPr>
        <w:jc w:val="both"/>
        <w:rPr>
          <w:color w:val="000000"/>
        </w:rPr>
      </w:pPr>
    </w:p>
    <w:p w:rsidR="006463FD" w:rsidRDefault="00B320DF" w:rsidP="00F37C80">
      <w:pPr>
        <w:jc w:val="both"/>
        <w:rPr>
          <w:bCs/>
        </w:rPr>
      </w:pPr>
      <w:r w:rsidRPr="00F37C80">
        <w:rPr>
          <w:i/>
        </w:rPr>
        <w:t xml:space="preserve">Nitroethane </w:t>
      </w:r>
      <w:r w:rsidR="00C2220F">
        <w:t>was tested in a</w:t>
      </w:r>
      <w:r w:rsidR="006463FD">
        <w:rPr>
          <w:bCs/>
        </w:rPr>
        <w:t xml:space="preserve"> mouse micronucleus study </w:t>
      </w:r>
      <w:r w:rsidR="009B2957">
        <w:rPr>
          <w:bCs/>
        </w:rPr>
        <w:t xml:space="preserve">in bone marrow </w:t>
      </w:r>
      <w:r w:rsidR="006463FD">
        <w:rPr>
          <w:bCs/>
        </w:rPr>
        <w:t xml:space="preserve">at oral </w:t>
      </w:r>
      <w:r w:rsidR="009B2957">
        <w:rPr>
          <w:bCs/>
        </w:rPr>
        <w:t xml:space="preserve">doses </w:t>
      </w:r>
      <w:r w:rsidR="006463FD">
        <w:rPr>
          <w:bCs/>
        </w:rPr>
        <w:t xml:space="preserve">up to 1 </w:t>
      </w:r>
      <w:r w:rsidR="00C2220F">
        <w:rPr>
          <w:bCs/>
        </w:rPr>
        <w:t>mL</w:t>
      </w:r>
      <w:r w:rsidR="006463FD">
        <w:rPr>
          <w:bCs/>
        </w:rPr>
        <w:t>/kg</w:t>
      </w:r>
      <w:r w:rsidR="0074682F">
        <w:rPr>
          <w:bCs/>
        </w:rPr>
        <w:t>-</w:t>
      </w:r>
      <w:r w:rsidR="006463FD">
        <w:rPr>
          <w:bCs/>
        </w:rPr>
        <w:t xml:space="preserve">day (approximately 1 g/kg/day) (Hite and Skeggs, 1979).   </w:t>
      </w:r>
      <w:r w:rsidR="009B2957">
        <w:rPr>
          <w:bCs/>
        </w:rPr>
        <w:t xml:space="preserve">The </w:t>
      </w:r>
      <w:r w:rsidR="00DF165A">
        <w:rPr>
          <w:bCs/>
        </w:rPr>
        <w:t xml:space="preserve">study utilized </w:t>
      </w:r>
      <w:proofErr w:type="gramStart"/>
      <w:r w:rsidR="00DF165A">
        <w:rPr>
          <w:bCs/>
        </w:rPr>
        <w:t>8 animals/sex/concentration</w:t>
      </w:r>
      <w:proofErr w:type="gramEnd"/>
      <w:r w:rsidR="00DF165A">
        <w:rPr>
          <w:bCs/>
        </w:rPr>
        <w:t xml:space="preserve">; the exposure time was unavailable for this study. </w:t>
      </w:r>
      <w:r w:rsidR="00C2220F">
        <w:t>T</w:t>
      </w:r>
      <w:r w:rsidR="006463FD">
        <w:t>here was no significant difference in the numbers of micronucleated polychromatic erythrocytes (PCE) in animals exposed t</w:t>
      </w:r>
      <w:r w:rsidR="00C002F3">
        <w:t>o nitroethane versus controls.</w:t>
      </w:r>
      <w:r w:rsidR="00E8201E" w:rsidRPr="002D1503">
        <w:t xml:space="preserve"> </w:t>
      </w:r>
      <w:r w:rsidRPr="00F37C80">
        <w:rPr>
          <w:color w:val="000000"/>
        </w:rPr>
        <w:t>Data for the ratio of normochromatic/polychromatic cells were not listed.  Therefore, it is unknown if the doses used were sufficient to produce bone marrow cytotoxicity</w:t>
      </w:r>
      <w:r w:rsidR="00B667D5" w:rsidRPr="002D1503">
        <w:rPr>
          <w:color w:val="000000"/>
        </w:rPr>
        <w:t xml:space="preserve">.  </w:t>
      </w:r>
      <w:r w:rsidRPr="00F37C80">
        <w:t>Exposure time was short (use of 6 versus 72 hours).  Therefore, strong conclusions cannot be made from this study.</w:t>
      </w:r>
      <w:r w:rsidR="00E8201E">
        <w:t xml:space="preserve">  </w:t>
      </w:r>
    </w:p>
    <w:p w:rsidR="004B0C29" w:rsidRDefault="004B0C29" w:rsidP="00F37C80">
      <w:pPr>
        <w:jc w:val="both"/>
      </w:pPr>
    </w:p>
    <w:p w:rsidR="00523EBB" w:rsidRDefault="006463FD" w:rsidP="00F37C80">
      <w:pPr>
        <w:jc w:val="both"/>
        <w:rPr>
          <w:bCs/>
        </w:rPr>
      </w:pPr>
      <w:r>
        <w:rPr>
          <w:bCs/>
        </w:rPr>
        <w:t xml:space="preserve">The effect of </w:t>
      </w:r>
      <w:r w:rsidR="00B320DF" w:rsidRPr="00F37C80">
        <w:rPr>
          <w:bCs/>
          <w:i/>
        </w:rPr>
        <w:t>1-nitropropane</w:t>
      </w:r>
      <w:r>
        <w:rPr>
          <w:bCs/>
        </w:rPr>
        <w:t xml:space="preserve"> on the incidences of micronuclei in rat liver and bone marrow cells was studied in conjunction with the hepatocarcinogen 2-nitropropane (George </w:t>
      </w:r>
      <w:r w:rsidRPr="006463FD">
        <w:rPr>
          <w:bCs/>
          <w:i/>
        </w:rPr>
        <w:t>et al</w:t>
      </w:r>
      <w:r>
        <w:rPr>
          <w:bCs/>
        </w:rPr>
        <w:t>., 1989</w:t>
      </w:r>
      <w:r>
        <w:rPr>
          <w:snapToGrid w:val="0"/>
        </w:rPr>
        <w:t>)</w:t>
      </w:r>
      <w:r>
        <w:rPr>
          <w:bCs/>
        </w:rPr>
        <w:t xml:space="preserve">.  </w:t>
      </w:r>
      <w:r w:rsidR="00DF165A">
        <w:rPr>
          <w:bCs/>
        </w:rPr>
        <w:t xml:space="preserve">The study utilized 12 animals/dose group for bone marrow and 5 animals/dose group for liver. </w:t>
      </w:r>
      <w:r w:rsidR="00C2220F">
        <w:rPr>
          <w:bCs/>
        </w:rPr>
        <w:t>No</w:t>
      </w:r>
      <w:r>
        <w:t xml:space="preserve"> significant difference in the numbers of micronucleated polychromatic erythrocytes (PCE) in bone marrow cells from rats exposed by gavage to concentrations up to 400 mg/kg</w:t>
      </w:r>
      <w:r w:rsidR="00C2220F">
        <w:t xml:space="preserve"> was observed</w:t>
      </w:r>
      <w:r>
        <w:t xml:space="preserve">.  In contrast, the numbers of micronucleated hepatocytes isolated from animals treated similarly with 300 mg/kg </w:t>
      </w:r>
      <w:r>
        <w:rPr>
          <w:bCs/>
        </w:rPr>
        <w:t xml:space="preserve">1-nitropropane were increased with respect to control. </w:t>
      </w:r>
      <w:r>
        <w:t xml:space="preserve"> The elevated micronucleus frequencies in hepatocytes of treated animals were accompanied by increases in mitotic index</w:t>
      </w:r>
      <w:r w:rsidR="00A76C8E">
        <w:t xml:space="preserve"> (and may be due to </w:t>
      </w:r>
      <w:r>
        <w:t>increased cell proliferation</w:t>
      </w:r>
      <w:r w:rsidR="00A76C8E">
        <w:t>)</w:t>
      </w:r>
      <w:r>
        <w:t xml:space="preserve">.  The hepatocarcinogen 2-nitropropane also tested negative in the bone marrow test and positive in the hepatocyte test.  However, unlike 1-nitropropane, treatment with 2-nitropropane either had no effect on or inhibited the mitotic index (depending on dose).  </w:t>
      </w:r>
      <w:r w:rsidR="00096F98">
        <w:t>The positive controls behaved as expected.  1-Nitropropane did not induce micronuclei in bone marrow</w:t>
      </w:r>
      <w:r w:rsidR="00A76C8E">
        <w:t xml:space="preserve"> but induced micronuclei in hepatocytes.</w:t>
      </w:r>
    </w:p>
    <w:p w:rsidR="00A76C8E" w:rsidRPr="00451B06" w:rsidRDefault="00451B06" w:rsidP="00F37C80">
      <w:pPr>
        <w:jc w:val="both"/>
        <w:rPr>
          <w:bCs/>
        </w:rPr>
      </w:pPr>
      <w:r>
        <w:rPr>
          <w:bCs/>
        </w:rPr>
        <w:t xml:space="preserve">The genotoxic effect on bone marrow erythrocytes of mice was conducted using 1-nitropropane (Kleisch </w:t>
      </w:r>
      <w:r w:rsidR="00523EBB">
        <w:rPr>
          <w:bCs/>
        </w:rPr>
        <w:t>and Adler</w:t>
      </w:r>
      <w:r>
        <w:rPr>
          <w:bCs/>
          <w:i/>
        </w:rPr>
        <w:t xml:space="preserve">, </w:t>
      </w:r>
      <w:r w:rsidRPr="002D1503">
        <w:rPr>
          <w:bCs/>
        </w:rPr>
        <w:t xml:space="preserve">1987).  The highest frequency of micronucleated erythrocytes was 0.26%, not statistically elevated from the control group. No dose-or-time dependent </w:t>
      </w:r>
      <w:proofErr w:type="gramStart"/>
      <w:r w:rsidRPr="002D1503">
        <w:rPr>
          <w:bCs/>
        </w:rPr>
        <w:t>increase in the number</w:t>
      </w:r>
      <w:r w:rsidR="00523EBB" w:rsidRPr="002D1503">
        <w:rPr>
          <w:bCs/>
        </w:rPr>
        <w:t>s</w:t>
      </w:r>
      <w:r w:rsidRPr="002D1503">
        <w:rPr>
          <w:bCs/>
        </w:rPr>
        <w:t xml:space="preserve"> of PCE were</w:t>
      </w:r>
      <w:proofErr w:type="gramEnd"/>
      <w:r w:rsidRPr="002D1503">
        <w:rPr>
          <w:bCs/>
        </w:rPr>
        <w:t xml:space="preserve"> found</w:t>
      </w:r>
      <w:r w:rsidR="00523EBB" w:rsidRPr="002D1503">
        <w:rPr>
          <w:bCs/>
        </w:rPr>
        <w:t xml:space="preserve">; </w:t>
      </w:r>
      <w:r w:rsidR="00B320DF" w:rsidRPr="00F37C80">
        <w:rPr>
          <w:bCs/>
        </w:rPr>
        <w:t>therefore, cytotoxicity was not observed and it is not clear whether the chemical reached the bone marrow</w:t>
      </w:r>
      <w:r w:rsidRPr="002D1503">
        <w:rPr>
          <w:bCs/>
        </w:rPr>
        <w:t>.  There</w:t>
      </w:r>
      <w:r>
        <w:rPr>
          <w:bCs/>
        </w:rPr>
        <w:t xml:space="preserve"> was no increase in micronucleus rates at 300 mg/kg at either 24 or 72 hours.  A single positive finding at 200 mg/kg was not reproducible or dose-dependent.</w:t>
      </w:r>
    </w:p>
    <w:p w:rsidR="00204A39" w:rsidRPr="00595422" w:rsidRDefault="00D93802" w:rsidP="00D8614C">
      <w:pPr>
        <w:pStyle w:val="Caption"/>
        <w:ind w:hanging="839"/>
        <w:jc w:val="both"/>
        <w:rPr>
          <w:rFonts w:ascii="Times New Roman" w:hAnsi="Times New Roman"/>
          <w:bCs w:val="0"/>
        </w:rPr>
      </w:pPr>
      <w:bookmarkStart w:id="98" w:name="_Toc264544922"/>
      <w:bookmarkStart w:id="99" w:name="_Toc266716156"/>
      <w:r>
        <w:t xml:space="preserve"> </w:t>
      </w:r>
      <w:r w:rsidR="008105BE">
        <w:t xml:space="preserve">Table </w:t>
      </w:r>
      <w:r w:rsidR="00B320DF">
        <w:fldChar w:fldCharType="begin"/>
      </w:r>
      <w:r w:rsidR="008105BE">
        <w:instrText xml:space="preserve"> SEQ Table \* ARABIC </w:instrText>
      </w:r>
      <w:r w:rsidR="00B320DF">
        <w:fldChar w:fldCharType="separate"/>
      </w:r>
      <w:r w:rsidR="006263B7">
        <w:rPr>
          <w:noProof/>
        </w:rPr>
        <w:t>13</w:t>
      </w:r>
      <w:r w:rsidR="00B320DF">
        <w:fldChar w:fldCharType="end"/>
      </w:r>
      <w:r w:rsidR="005A43AA">
        <w:t xml:space="preserve">  </w:t>
      </w:r>
      <w:r w:rsidR="008105BE">
        <w:t>Summary of genetic toxicity data</w:t>
      </w:r>
      <w:bookmarkEnd w:id="98"/>
      <w:bookmarkEnd w:id="99"/>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31"/>
        <w:gridCol w:w="1478"/>
        <w:gridCol w:w="2108"/>
        <w:gridCol w:w="1497"/>
        <w:gridCol w:w="1299"/>
        <w:gridCol w:w="1646"/>
      </w:tblGrid>
      <w:tr w:rsidR="0016485A" w:rsidRPr="0016485A" w:rsidTr="00D8614C">
        <w:tc>
          <w:tcPr>
            <w:tcW w:w="1560" w:type="dxa"/>
            <w:tcBorders>
              <w:top w:val="single" w:sz="12" w:space="0" w:color="auto"/>
              <w:bottom w:val="single" w:sz="12" w:space="0" w:color="auto"/>
            </w:tcBorders>
          </w:tcPr>
          <w:p w:rsidR="0016485A" w:rsidRPr="00332034" w:rsidRDefault="0016485A" w:rsidP="00332034">
            <w:pPr>
              <w:pStyle w:val="MSDS-TZeile"/>
              <w:ind w:left="0"/>
              <w:jc w:val="center"/>
              <w:rPr>
                <w:rFonts w:ascii="Times New Roman" w:hAnsi="Times New Roman" w:cs="Times New Roman"/>
                <w:b/>
                <w:szCs w:val="20"/>
                <w:lang w:val="en-US"/>
              </w:rPr>
            </w:pPr>
            <w:r w:rsidRPr="00332034">
              <w:rPr>
                <w:rFonts w:ascii="Times New Roman" w:hAnsi="Times New Roman" w:cs="Times New Roman"/>
                <w:b/>
                <w:szCs w:val="20"/>
                <w:lang w:val="en-US"/>
              </w:rPr>
              <w:t>Test substance</w:t>
            </w:r>
          </w:p>
        </w:tc>
        <w:tc>
          <w:tcPr>
            <w:tcW w:w="1492" w:type="dxa"/>
            <w:tcBorders>
              <w:top w:val="single" w:sz="12" w:space="0" w:color="auto"/>
              <w:bottom w:val="single" w:sz="12" w:space="0" w:color="auto"/>
            </w:tcBorders>
          </w:tcPr>
          <w:p w:rsidR="0016485A" w:rsidRPr="00332034" w:rsidRDefault="0016485A" w:rsidP="00332034">
            <w:pPr>
              <w:pStyle w:val="MSDS-TZeile"/>
              <w:ind w:left="0"/>
              <w:jc w:val="center"/>
              <w:rPr>
                <w:rFonts w:ascii="Times New Roman" w:hAnsi="Times New Roman" w:cs="Times New Roman"/>
                <w:b/>
                <w:szCs w:val="20"/>
                <w:lang w:val="en-US"/>
              </w:rPr>
            </w:pPr>
            <w:r w:rsidRPr="00332034">
              <w:rPr>
                <w:rFonts w:ascii="Times New Roman" w:hAnsi="Times New Roman" w:cs="Times New Roman"/>
                <w:b/>
                <w:szCs w:val="20"/>
                <w:lang w:val="en-US"/>
              </w:rPr>
              <w:t>Test type</w:t>
            </w:r>
          </w:p>
        </w:tc>
        <w:tc>
          <w:tcPr>
            <w:tcW w:w="2228" w:type="dxa"/>
            <w:tcBorders>
              <w:top w:val="single" w:sz="12" w:space="0" w:color="auto"/>
              <w:bottom w:val="single" w:sz="12" w:space="0" w:color="auto"/>
            </w:tcBorders>
          </w:tcPr>
          <w:p w:rsidR="0016485A" w:rsidRPr="00332034" w:rsidRDefault="0016485A" w:rsidP="00332034">
            <w:pPr>
              <w:pStyle w:val="MSDS-TZeile"/>
              <w:ind w:left="0"/>
              <w:jc w:val="center"/>
              <w:rPr>
                <w:rFonts w:ascii="Times New Roman" w:hAnsi="Times New Roman" w:cs="Times New Roman"/>
                <w:b/>
                <w:szCs w:val="20"/>
                <w:lang w:val="en-US"/>
              </w:rPr>
            </w:pPr>
            <w:r w:rsidRPr="00332034">
              <w:rPr>
                <w:rFonts w:ascii="Times New Roman" w:hAnsi="Times New Roman" w:cs="Times New Roman"/>
                <w:b/>
                <w:szCs w:val="20"/>
                <w:lang w:val="en-US"/>
              </w:rPr>
              <w:t>Strain/species</w:t>
            </w:r>
          </w:p>
        </w:tc>
        <w:tc>
          <w:tcPr>
            <w:tcW w:w="1560" w:type="dxa"/>
            <w:tcBorders>
              <w:top w:val="single" w:sz="12" w:space="0" w:color="auto"/>
              <w:bottom w:val="single" w:sz="12" w:space="0" w:color="auto"/>
            </w:tcBorders>
          </w:tcPr>
          <w:p w:rsidR="0016485A" w:rsidRPr="00332034" w:rsidRDefault="0016485A" w:rsidP="00332034">
            <w:pPr>
              <w:pStyle w:val="MSDS-TZeile"/>
              <w:ind w:left="0"/>
              <w:jc w:val="center"/>
              <w:rPr>
                <w:rFonts w:ascii="Times New Roman" w:hAnsi="Times New Roman" w:cs="Times New Roman"/>
                <w:b/>
                <w:szCs w:val="20"/>
                <w:lang w:val="en-US"/>
              </w:rPr>
            </w:pPr>
            <w:r w:rsidRPr="00332034">
              <w:rPr>
                <w:rFonts w:ascii="Times New Roman" w:hAnsi="Times New Roman" w:cs="Times New Roman"/>
                <w:b/>
                <w:szCs w:val="20"/>
                <w:lang w:val="en-US"/>
              </w:rPr>
              <w:t>Dose Levels</w:t>
            </w:r>
          </w:p>
        </w:tc>
        <w:tc>
          <w:tcPr>
            <w:tcW w:w="1320" w:type="dxa"/>
            <w:tcBorders>
              <w:top w:val="single" w:sz="12" w:space="0" w:color="auto"/>
              <w:bottom w:val="single" w:sz="12" w:space="0" w:color="auto"/>
            </w:tcBorders>
          </w:tcPr>
          <w:p w:rsidR="0016485A" w:rsidRPr="00332034" w:rsidRDefault="0016485A" w:rsidP="00332034">
            <w:pPr>
              <w:pStyle w:val="MSDS-TZeile"/>
              <w:ind w:left="0"/>
              <w:jc w:val="center"/>
              <w:rPr>
                <w:rFonts w:ascii="Times New Roman" w:hAnsi="Times New Roman" w:cs="Times New Roman"/>
                <w:b/>
                <w:szCs w:val="20"/>
                <w:lang w:val="en-US"/>
              </w:rPr>
            </w:pPr>
            <w:r w:rsidRPr="00332034">
              <w:rPr>
                <w:rFonts w:ascii="Times New Roman" w:hAnsi="Times New Roman" w:cs="Times New Roman"/>
                <w:b/>
                <w:szCs w:val="20"/>
                <w:lang w:val="en-US"/>
              </w:rPr>
              <w:t>Conclusion</w:t>
            </w:r>
          </w:p>
        </w:tc>
        <w:tc>
          <w:tcPr>
            <w:tcW w:w="1680" w:type="dxa"/>
            <w:tcBorders>
              <w:top w:val="single" w:sz="12" w:space="0" w:color="auto"/>
              <w:bottom w:val="single" w:sz="12" w:space="0" w:color="auto"/>
            </w:tcBorders>
          </w:tcPr>
          <w:p w:rsidR="0016485A" w:rsidRPr="00332034" w:rsidRDefault="0016485A" w:rsidP="00332034">
            <w:pPr>
              <w:pStyle w:val="MSDS-TZeile"/>
              <w:ind w:left="0"/>
              <w:jc w:val="center"/>
              <w:rPr>
                <w:rFonts w:ascii="Times New Roman" w:hAnsi="Times New Roman" w:cs="Times New Roman"/>
                <w:b/>
                <w:szCs w:val="20"/>
                <w:lang w:val="en-US"/>
              </w:rPr>
            </w:pPr>
            <w:r w:rsidRPr="00332034">
              <w:rPr>
                <w:rFonts w:ascii="Times New Roman" w:hAnsi="Times New Roman" w:cs="Times New Roman"/>
                <w:b/>
                <w:szCs w:val="20"/>
                <w:lang w:val="en-US"/>
              </w:rPr>
              <w:t>Reference</w:t>
            </w:r>
          </w:p>
        </w:tc>
      </w:tr>
      <w:tr w:rsidR="00C22569" w:rsidRPr="00C22569" w:rsidTr="00D8614C">
        <w:trPr>
          <w:trHeight w:val="354"/>
        </w:trPr>
        <w:tc>
          <w:tcPr>
            <w:tcW w:w="9840" w:type="dxa"/>
            <w:gridSpan w:val="6"/>
            <w:tcBorders>
              <w:top w:val="single" w:sz="12" w:space="0" w:color="auto"/>
              <w:bottom w:val="single" w:sz="6" w:space="0" w:color="auto"/>
            </w:tcBorders>
            <w:vAlign w:val="center"/>
          </w:tcPr>
          <w:p w:rsidR="00C22569" w:rsidRPr="00332034" w:rsidRDefault="00C22569"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b/>
                <w:szCs w:val="20"/>
                <w:lang w:val="en-US"/>
              </w:rPr>
              <w:t>In Vivo</w:t>
            </w:r>
          </w:p>
        </w:tc>
      </w:tr>
      <w:tr w:rsidR="0016485A" w:rsidRPr="00C22569" w:rsidTr="00D8614C">
        <w:tc>
          <w:tcPr>
            <w:tcW w:w="1560" w:type="dxa"/>
            <w:tcBorders>
              <w:top w:val="single" w:sz="6" w:space="0" w:color="auto"/>
              <w:bottom w:val="single" w:sz="6" w:space="0" w:color="auto"/>
            </w:tcBorders>
          </w:tcPr>
          <w:p w:rsidR="0016485A" w:rsidRPr="00332034" w:rsidRDefault="00FD325B" w:rsidP="00332034">
            <w:pPr>
              <w:pStyle w:val="MSDS-TZeile"/>
              <w:ind w:left="0"/>
              <w:jc w:val="center"/>
              <w:rPr>
                <w:rFonts w:ascii="Times New Roman" w:hAnsi="Times New Roman" w:cs="Times New Roman"/>
                <w:b/>
                <w:i/>
                <w:szCs w:val="20"/>
                <w:lang w:val="en-US"/>
              </w:rPr>
            </w:pPr>
            <w:r w:rsidRPr="00332034">
              <w:rPr>
                <w:rFonts w:ascii="Times New Roman" w:hAnsi="Times New Roman" w:cs="Times New Roman"/>
                <w:b/>
                <w:i/>
                <w:szCs w:val="20"/>
                <w:lang w:val="en-US"/>
              </w:rPr>
              <w:t>Nitromethane</w:t>
            </w:r>
          </w:p>
        </w:tc>
        <w:tc>
          <w:tcPr>
            <w:tcW w:w="1492" w:type="dxa"/>
            <w:tcBorders>
              <w:top w:val="single" w:sz="6" w:space="0" w:color="auto"/>
              <w:bottom w:val="single" w:sz="6" w:space="0" w:color="auto"/>
            </w:tcBorders>
          </w:tcPr>
          <w:p w:rsidR="0016485A" w:rsidRPr="00332034" w:rsidRDefault="00862733" w:rsidP="00332034">
            <w:pPr>
              <w:pStyle w:val="MSDS-TZeile"/>
              <w:keepNext/>
              <w:numPr>
                <w:ilvl w:val="0"/>
                <w:numId w:val="7"/>
              </w:numPr>
              <w:tabs>
                <w:tab w:val="clear" w:pos="1077"/>
                <w:tab w:val="left" w:pos="839"/>
              </w:tabs>
              <w:spacing w:before="360" w:after="200"/>
              <w:ind w:left="0" w:hanging="839"/>
              <w:jc w:val="center"/>
              <w:outlineLvl w:val="0"/>
              <w:rPr>
                <w:rFonts w:ascii="Times New Roman" w:hAnsi="Times New Roman" w:cs="Times New Roman"/>
                <w:szCs w:val="20"/>
                <w:vertAlign w:val="superscript"/>
                <w:lang w:val="en-US"/>
              </w:rPr>
            </w:pPr>
            <w:r w:rsidRPr="00332034">
              <w:rPr>
                <w:rFonts w:ascii="Times New Roman" w:hAnsi="Times New Roman" w:cs="Times New Roman"/>
                <w:szCs w:val="20"/>
                <w:lang w:val="en-US"/>
              </w:rPr>
              <w:t>Micronucleus test</w:t>
            </w:r>
            <w:r w:rsidR="00987061" w:rsidRPr="00332034">
              <w:rPr>
                <w:rFonts w:ascii="Times New Roman" w:hAnsi="Times New Roman" w:cs="Times New Roman"/>
                <w:szCs w:val="20"/>
                <w:lang w:val="en-US"/>
              </w:rPr>
              <w:t xml:space="preserve"> (</w:t>
            </w:r>
            <w:r w:rsidR="009B2957" w:rsidRPr="00332034">
              <w:rPr>
                <w:rFonts w:ascii="Times New Roman" w:hAnsi="Times New Roman" w:cs="Times New Roman"/>
                <w:szCs w:val="20"/>
                <w:lang w:val="en-US"/>
              </w:rPr>
              <w:t>peripheral erythrocyte</w:t>
            </w:r>
            <w:r w:rsidR="00987061" w:rsidRPr="00332034">
              <w:rPr>
                <w:rFonts w:ascii="Times New Roman" w:hAnsi="Times New Roman" w:cs="Times New Roman"/>
                <w:szCs w:val="20"/>
                <w:lang w:val="en-US"/>
              </w:rPr>
              <w:t>)</w:t>
            </w:r>
            <w:r w:rsidR="00DF165A" w:rsidRPr="00332034">
              <w:rPr>
                <w:rFonts w:ascii="Times New Roman" w:hAnsi="Times New Roman" w:cs="Times New Roman"/>
                <w:szCs w:val="20"/>
                <w:vertAlign w:val="superscript"/>
                <w:lang w:val="en-US"/>
              </w:rPr>
              <w:t>a</w:t>
            </w:r>
          </w:p>
        </w:tc>
        <w:tc>
          <w:tcPr>
            <w:tcW w:w="2228" w:type="dxa"/>
            <w:tcBorders>
              <w:top w:val="single" w:sz="6" w:space="0" w:color="auto"/>
              <w:bottom w:val="single" w:sz="6" w:space="0" w:color="auto"/>
            </w:tcBorders>
          </w:tcPr>
          <w:p w:rsidR="0016485A" w:rsidRPr="00332034" w:rsidRDefault="00D130AB" w:rsidP="00332034">
            <w:pPr>
              <w:pStyle w:val="MSDS-TZeile"/>
              <w:ind w:left="0"/>
              <w:jc w:val="center"/>
              <w:rPr>
                <w:rFonts w:ascii="Times New Roman" w:hAnsi="Times New Roman" w:cs="Times New Roman"/>
                <w:szCs w:val="20"/>
                <w:lang w:val="fr-FR"/>
              </w:rPr>
            </w:pPr>
            <w:r w:rsidRPr="00332034">
              <w:rPr>
                <w:rFonts w:ascii="Times New Roman" w:hAnsi="Times New Roman" w:cs="Times New Roman"/>
                <w:szCs w:val="20"/>
                <w:lang w:val="fr-FR"/>
              </w:rPr>
              <w:t>Mouse, B6C3F1</w:t>
            </w:r>
          </w:p>
        </w:tc>
        <w:tc>
          <w:tcPr>
            <w:tcW w:w="1560" w:type="dxa"/>
            <w:tcBorders>
              <w:top w:val="single" w:sz="6" w:space="0" w:color="auto"/>
              <w:bottom w:val="single" w:sz="6" w:space="0" w:color="auto"/>
            </w:tcBorders>
          </w:tcPr>
          <w:p w:rsidR="0016485A" w:rsidRPr="00332034" w:rsidRDefault="00D130AB"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 xml:space="preserve">Up to </w:t>
            </w:r>
            <w:r w:rsidR="009B2957" w:rsidRPr="00332034">
              <w:rPr>
                <w:rFonts w:ascii="Times New Roman" w:hAnsi="Times New Roman" w:cs="Times New Roman"/>
                <w:szCs w:val="20"/>
                <w:lang w:val="en-US"/>
              </w:rPr>
              <w:t xml:space="preserve">1500 </w:t>
            </w:r>
            <w:r w:rsidRPr="00332034">
              <w:rPr>
                <w:rFonts w:ascii="Times New Roman" w:hAnsi="Times New Roman" w:cs="Times New Roman"/>
                <w:szCs w:val="20"/>
                <w:lang w:val="en-US"/>
              </w:rPr>
              <w:t>ppm</w:t>
            </w:r>
          </w:p>
          <w:p w:rsidR="00CE20DB" w:rsidRPr="00332034" w:rsidRDefault="00B320DF" w:rsidP="00332034">
            <w:pPr>
              <w:pStyle w:val="MSDS-TUZeile"/>
              <w:jc w:val="center"/>
              <w:rPr>
                <w:rFonts w:ascii="Times New Roman" w:hAnsi="Times New Roman" w:cs="Times New Roman"/>
                <w:szCs w:val="20"/>
                <w:lang w:val="en-US"/>
              </w:rPr>
            </w:pPr>
            <w:r w:rsidRPr="00332034">
              <w:rPr>
                <w:rFonts w:ascii="Times New Roman" w:hAnsi="Times New Roman" w:cs="Times New Roman"/>
                <w:szCs w:val="20"/>
                <w:lang w:val="en-US"/>
              </w:rPr>
              <w:t>5 hours/day</w:t>
            </w:r>
          </w:p>
          <w:p w:rsidR="00CE20DB" w:rsidRPr="00332034" w:rsidRDefault="00B320DF" w:rsidP="00332034">
            <w:pPr>
              <w:pStyle w:val="MSDS-TUZeile"/>
              <w:jc w:val="center"/>
              <w:rPr>
                <w:rFonts w:ascii="Times New Roman" w:hAnsi="Times New Roman" w:cs="Times New Roman"/>
                <w:szCs w:val="20"/>
                <w:lang w:val="en-US"/>
              </w:rPr>
            </w:pPr>
            <w:r w:rsidRPr="00332034">
              <w:rPr>
                <w:rFonts w:ascii="Times New Roman" w:hAnsi="Times New Roman" w:cs="Times New Roman"/>
                <w:szCs w:val="20"/>
                <w:lang w:val="en-US"/>
              </w:rPr>
              <w:t>5 days/week</w:t>
            </w:r>
          </w:p>
          <w:p w:rsidR="00CE20DB" w:rsidRPr="00332034" w:rsidRDefault="00B320DF" w:rsidP="00332034">
            <w:pPr>
              <w:pStyle w:val="MSDS-TUZeile"/>
              <w:jc w:val="center"/>
              <w:rPr>
                <w:szCs w:val="20"/>
                <w:lang w:val="en-US"/>
              </w:rPr>
            </w:pPr>
            <w:r w:rsidRPr="00332034">
              <w:rPr>
                <w:rFonts w:ascii="Times New Roman" w:hAnsi="Times New Roman" w:cs="Times New Roman"/>
                <w:szCs w:val="20"/>
                <w:lang w:val="en-US"/>
              </w:rPr>
              <w:t>13 weeks</w:t>
            </w:r>
          </w:p>
          <w:p w:rsidR="00CE20DB" w:rsidRPr="00332034" w:rsidRDefault="00CE20DB" w:rsidP="00332034">
            <w:pPr>
              <w:pStyle w:val="MSDS-TUZeile"/>
              <w:jc w:val="center"/>
              <w:rPr>
                <w:szCs w:val="20"/>
                <w:lang w:val="en-US"/>
              </w:rPr>
            </w:pPr>
          </w:p>
        </w:tc>
        <w:tc>
          <w:tcPr>
            <w:tcW w:w="1320" w:type="dxa"/>
            <w:tcBorders>
              <w:top w:val="single" w:sz="6" w:space="0" w:color="auto"/>
              <w:bottom w:val="single" w:sz="6" w:space="0" w:color="auto"/>
            </w:tcBorders>
          </w:tcPr>
          <w:p w:rsidR="0016485A" w:rsidRPr="00332034" w:rsidRDefault="00D130AB"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Negative</w:t>
            </w:r>
          </w:p>
        </w:tc>
        <w:tc>
          <w:tcPr>
            <w:tcW w:w="1680" w:type="dxa"/>
            <w:tcBorders>
              <w:top w:val="single" w:sz="6" w:space="0" w:color="auto"/>
              <w:bottom w:val="single" w:sz="6" w:space="0" w:color="auto"/>
            </w:tcBorders>
          </w:tcPr>
          <w:p w:rsidR="0016485A" w:rsidRPr="00332034" w:rsidRDefault="00DF165A"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USDHHS</w:t>
            </w:r>
            <w:r w:rsidR="00D130AB" w:rsidRPr="00332034">
              <w:rPr>
                <w:rFonts w:ascii="Times New Roman" w:hAnsi="Times New Roman" w:cs="Times New Roman"/>
                <w:szCs w:val="20"/>
                <w:lang w:val="en-US"/>
              </w:rPr>
              <w:t>, 1997</w:t>
            </w:r>
          </w:p>
        </w:tc>
      </w:tr>
      <w:tr w:rsidR="0016485A" w:rsidRPr="00C22569" w:rsidTr="00332034">
        <w:tc>
          <w:tcPr>
            <w:tcW w:w="1560" w:type="dxa"/>
            <w:tcBorders>
              <w:top w:val="single" w:sz="6" w:space="0" w:color="auto"/>
            </w:tcBorders>
          </w:tcPr>
          <w:p w:rsidR="0016485A" w:rsidRPr="00332034" w:rsidRDefault="00FD325B" w:rsidP="00332034">
            <w:pPr>
              <w:jc w:val="center"/>
              <w:rPr>
                <w:b/>
                <w:i/>
                <w:sz w:val="20"/>
                <w:szCs w:val="20"/>
              </w:rPr>
            </w:pPr>
            <w:r w:rsidRPr="00332034">
              <w:rPr>
                <w:b/>
                <w:i/>
                <w:sz w:val="20"/>
                <w:szCs w:val="20"/>
              </w:rPr>
              <w:t>Nitroethane</w:t>
            </w:r>
          </w:p>
        </w:tc>
        <w:tc>
          <w:tcPr>
            <w:tcW w:w="1492" w:type="dxa"/>
            <w:tcBorders>
              <w:top w:val="single" w:sz="6" w:space="0" w:color="auto"/>
            </w:tcBorders>
          </w:tcPr>
          <w:p w:rsidR="0016485A" w:rsidRPr="00332034" w:rsidRDefault="00D130AB" w:rsidP="00332034">
            <w:pPr>
              <w:jc w:val="center"/>
              <w:rPr>
                <w:sz w:val="20"/>
                <w:szCs w:val="20"/>
                <w:vertAlign w:val="superscript"/>
              </w:rPr>
            </w:pPr>
            <w:r w:rsidRPr="00332034">
              <w:rPr>
                <w:sz w:val="20"/>
                <w:szCs w:val="20"/>
              </w:rPr>
              <w:t>Micronucleus test</w:t>
            </w:r>
            <w:r w:rsidR="00987061" w:rsidRPr="00332034">
              <w:rPr>
                <w:sz w:val="20"/>
                <w:szCs w:val="20"/>
              </w:rPr>
              <w:t xml:space="preserve"> (</w:t>
            </w:r>
            <w:r w:rsidR="00E4199E" w:rsidRPr="00332034">
              <w:rPr>
                <w:sz w:val="20"/>
                <w:szCs w:val="20"/>
              </w:rPr>
              <w:t xml:space="preserve">bone marrow </w:t>
            </w:r>
            <w:r w:rsidR="00987061" w:rsidRPr="00332034">
              <w:rPr>
                <w:sz w:val="20"/>
                <w:szCs w:val="20"/>
              </w:rPr>
              <w:t>PCE)</w:t>
            </w:r>
          </w:p>
        </w:tc>
        <w:tc>
          <w:tcPr>
            <w:tcW w:w="2228" w:type="dxa"/>
            <w:tcBorders>
              <w:top w:val="single" w:sz="6" w:space="0" w:color="auto"/>
            </w:tcBorders>
          </w:tcPr>
          <w:p w:rsidR="0016485A" w:rsidRPr="00332034" w:rsidRDefault="00D130AB"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 xml:space="preserve">Mouse, </w:t>
            </w:r>
            <w:r w:rsidR="00EE6398" w:rsidRPr="00332034">
              <w:rPr>
                <w:rFonts w:ascii="Times New Roman" w:hAnsi="Times New Roman" w:cs="Times New Roman"/>
                <w:szCs w:val="20"/>
                <w:lang w:val="en-US"/>
              </w:rPr>
              <w:t>CD-1</w:t>
            </w:r>
          </w:p>
        </w:tc>
        <w:tc>
          <w:tcPr>
            <w:tcW w:w="1560" w:type="dxa"/>
            <w:tcBorders>
              <w:top w:val="single" w:sz="6" w:space="0" w:color="auto"/>
            </w:tcBorders>
          </w:tcPr>
          <w:p w:rsidR="0016485A" w:rsidRPr="00332034" w:rsidRDefault="00D130AB"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Up to 1 mL/kg/day</w:t>
            </w:r>
          </w:p>
        </w:tc>
        <w:tc>
          <w:tcPr>
            <w:tcW w:w="1320" w:type="dxa"/>
            <w:tcBorders>
              <w:top w:val="single" w:sz="6" w:space="0" w:color="auto"/>
            </w:tcBorders>
          </w:tcPr>
          <w:p w:rsidR="0016485A" w:rsidRPr="00332034" w:rsidRDefault="00D130AB" w:rsidP="00332034">
            <w:pPr>
              <w:jc w:val="center"/>
              <w:rPr>
                <w:sz w:val="20"/>
                <w:szCs w:val="20"/>
              </w:rPr>
            </w:pPr>
            <w:r w:rsidRPr="00332034">
              <w:rPr>
                <w:sz w:val="20"/>
                <w:szCs w:val="20"/>
              </w:rPr>
              <w:t>Negative</w:t>
            </w:r>
          </w:p>
        </w:tc>
        <w:tc>
          <w:tcPr>
            <w:tcW w:w="1680" w:type="dxa"/>
            <w:tcBorders>
              <w:top w:val="single" w:sz="6" w:space="0" w:color="auto"/>
            </w:tcBorders>
          </w:tcPr>
          <w:p w:rsidR="0016485A" w:rsidRPr="00332034" w:rsidRDefault="00D130AB"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Hite and Skeggs, 1979</w:t>
            </w:r>
          </w:p>
        </w:tc>
      </w:tr>
      <w:tr w:rsidR="0016485A" w:rsidRPr="00C22569" w:rsidTr="00332034">
        <w:tc>
          <w:tcPr>
            <w:tcW w:w="1560" w:type="dxa"/>
          </w:tcPr>
          <w:p w:rsidR="0016485A" w:rsidRPr="00332034" w:rsidRDefault="00FD325B" w:rsidP="00332034">
            <w:pPr>
              <w:jc w:val="center"/>
              <w:rPr>
                <w:b/>
                <w:i/>
                <w:sz w:val="20"/>
                <w:szCs w:val="20"/>
              </w:rPr>
            </w:pPr>
            <w:r w:rsidRPr="00332034">
              <w:rPr>
                <w:b/>
                <w:i/>
                <w:sz w:val="20"/>
                <w:szCs w:val="20"/>
              </w:rPr>
              <w:t>1-Nitropropane</w:t>
            </w:r>
          </w:p>
        </w:tc>
        <w:tc>
          <w:tcPr>
            <w:tcW w:w="1492" w:type="dxa"/>
          </w:tcPr>
          <w:p w:rsidR="0016485A" w:rsidRPr="00332034" w:rsidRDefault="00987061" w:rsidP="00332034">
            <w:pPr>
              <w:pStyle w:val="MSDS-TZeile"/>
              <w:tabs>
                <w:tab w:val="left" w:leader="dot" w:pos="9214"/>
                <w:tab w:val="right" w:pos="9639"/>
              </w:tabs>
              <w:spacing w:before="240"/>
              <w:ind w:left="0"/>
              <w:jc w:val="center"/>
              <w:rPr>
                <w:rFonts w:ascii="Times New Roman" w:hAnsi="Times New Roman" w:cs="Times New Roman"/>
                <w:szCs w:val="20"/>
                <w:vertAlign w:val="superscript"/>
                <w:lang w:val="en-US"/>
              </w:rPr>
            </w:pPr>
            <w:r w:rsidRPr="00332034">
              <w:rPr>
                <w:rFonts w:ascii="Times New Roman" w:hAnsi="Times New Roman" w:cs="Times New Roman"/>
                <w:szCs w:val="20"/>
                <w:lang w:val="en-US"/>
              </w:rPr>
              <w:t>Micronucleus test (</w:t>
            </w:r>
            <w:r w:rsidR="00E4199E" w:rsidRPr="00332034">
              <w:rPr>
                <w:rFonts w:ascii="Times New Roman" w:hAnsi="Times New Roman" w:cs="Times New Roman"/>
                <w:szCs w:val="20"/>
                <w:lang w:val="en-US"/>
              </w:rPr>
              <w:t xml:space="preserve">Bone marrow and liver </w:t>
            </w:r>
            <w:r w:rsidRPr="00332034">
              <w:rPr>
                <w:rFonts w:ascii="Times New Roman" w:hAnsi="Times New Roman" w:cs="Times New Roman"/>
                <w:szCs w:val="20"/>
                <w:lang w:val="en-US"/>
              </w:rPr>
              <w:t>PCE)</w:t>
            </w:r>
            <w:r w:rsidR="00DF165A" w:rsidRPr="00332034">
              <w:rPr>
                <w:rFonts w:ascii="Times New Roman" w:hAnsi="Times New Roman" w:cs="Times New Roman"/>
                <w:szCs w:val="20"/>
                <w:vertAlign w:val="superscript"/>
                <w:lang w:val="en-US"/>
              </w:rPr>
              <w:t>a</w:t>
            </w:r>
          </w:p>
        </w:tc>
        <w:tc>
          <w:tcPr>
            <w:tcW w:w="2228" w:type="dxa"/>
          </w:tcPr>
          <w:p w:rsidR="0016485A" w:rsidRPr="00332034" w:rsidRDefault="00E4199E"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Rat, Sprague-Dawley</w:t>
            </w:r>
          </w:p>
        </w:tc>
        <w:tc>
          <w:tcPr>
            <w:tcW w:w="1560" w:type="dxa"/>
          </w:tcPr>
          <w:p w:rsidR="0016485A" w:rsidRPr="00332034" w:rsidRDefault="00987061" w:rsidP="00332034">
            <w:pPr>
              <w:pStyle w:val="MSDS-TZeile"/>
              <w:ind w:left="0"/>
              <w:jc w:val="center"/>
              <w:rPr>
                <w:rFonts w:ascii="Times New Roman" w:hAnsi="Times New Roman" w:cs="Times New Roman"/>
                <w:szCs w:val="20"/>
                <w:highlight w:val="yellow"/>
                <w:lang w:val="en-US"/>
              </w:rPr>
            </w:pPr>
            <w:r w:rsidRPr="00332034">
              <w:rPr>
                <w:rFonts w:ascii="Times New Roman" w:hAnsi="Times New Roman" w:cs="Times New Roman"/>
                <w:szCs w:val="20"/>
                <w:lang w:val="en-US"/>
              </w:rPr>
              <w:t>Up to 400 mg/kg</w:t>
            </w:r>
          </w:p>
        </w:tc>
        <w:tc>
          <w:tcPr>
            <w:tcW w:w="1320" w:type="dxa"/>
          </w:tcPr>
          <w:p w:rsidR="0016485A" w:rsidRPr="00332034" w:rsidRDefault="00B320DF" w:rsidP="00332034">
            <w:pPr>
              <w:jc w:val="center"/>
              <w:rPr>
                <w:sz w:val="20"/>
                <w:szCs w:val="20"/>
              </w:rPr>
            </w:pPr>
            <w:r w:rsidRPr="00332034">
              <w:rPr>
                <w:sz w:val="20"/>
                <w:szCs w:val="20"/>
              </w:rPr>
              <w:t>Positive in liver cells;</w:t>
            </w:r>
            <w:r w:rsidR="00CB35DA" w:rsidRPr="00332034">
              <w:rPr>
                <w:sz w:val="20"/>
                <w:szCs w:val="20"/>
              </w:rPr>
              <w:t xml:space="preserve"> </w:t>
            </w:r>
            <w:r w:rsidR="00E4199E" w:rsidRPr="00332034">
              <w:rPr>
                <w:sz w:val="20"/>
                <w:szCs w:val="20"/>
              </w:rPr>
              <w:t>Negative</w:t>
            </w:r>
            <w:r w:rsidR="00CB35DA" w:rsidRPr="00332034">
              <w:rPr>
                <w:sz w:val="20"/>
                <w:szCs w:val="20"/>
              </w:rPr>
              <w:t xml:space="preserve"> in bone marrow</w:t>
            </w:r>
          </w:p>
        </w:tc>
        <w:tc>
          <w:tcPr>
            <w:tcW w:w="1680" w:type="dxa"/>
          </w:tcPr>
          <w:p w:rsidR="0016485A" w:rsidRPr="00332034" w:rsidRDefault="00987061"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 xml:space="preserve">George </w:t>
            </w:r>
            <w:r w:rsidRPr="00332034">
              <w:rPr>
                <w:rFonts w:ascii="Times New Roman" w:hAnsi="Times New Roman" w:cs="Times New Roman"/>
                <w:i/>
                <w:szCs w:val="20"/>
                <w:lang w:val="en-US"/>
              </w:rPr>
              <w:t>et al</w:t>
            </w:r>
            <w:r w:rsidRPr="00332034">
              <w:rPr>
                <w:rFonts w:ascii="Times New Roman" w:hAnsi="Times New Roman" w:cs="Times New Roman"/>
                <w:szCs w:val="20"/>
                <w:lang w:val="en-US"/>
              </w:rPr>
              <w:t>., 1989</w:t>
            </w:r>
          </w:p>
        </w:tc>
      </w:tr>
      <w:tr w:rsidR="006A4A8A" w:rsidRPr="00C22569" w:rsidTr="00D8614C">
        <w:tc>
          <w:tcPr>
            <w:tcW w:w="1560" w:type="dxa"/>
            <w:tcBorders>
              <w:bottom w:val="single" w:sz="6" w:space="0" w:color="auto"/>
            </w:tcBorders>
          </w:tcPr>
          <w:p w:rsidR="006A4A8A" w:rsidRPr="00332034" w:rsidRDefault="006A4A8A" w:rsidP="00332034">
            <w:pPr>
              <w:jc w:val="center"/>
              <w:rPr>
                <w:b/>
                <w:i/>
                <w:sz w:val="20"/>
                <w:szCs w:val="20"/>
              </w:rPr>
            </w:pPr>
          </w:p>
        </w:tc>
        <w:tc>
          <w:tcPr>
            <w:tcW w:w="1492" w:type="dxa"/>
            <w:tcBorders>
              <w:bottom w:val="single" w:sz="6" w:space="0" w:color="auto"/>
            </w:tcBorders>
          </w:tcPr>
          <w:p w:rsidR="006A4A8A" w:rsidRPr="00332034" w:rsidRDefault="006A4A8A" w:rsidP="00332034">
            <w:pPr>
              <w:pStyle w:val="MSDS-TZeile"/>
              <w:tabs>
                <w:tab w:val="left" w:leader="dot" w:pos="9214"/>
                <w:tab w:val="right" w:pos="9639"/>
              </w:tabs>
              <w:spacing w:before="240"/>
              <w:ind w:left="0"/>
              <w:jc w:val="center"/>
              <w:rPr>
                <w:rFonts w:ascii="Times New Roman" w:hAnsi="Times New Roman" w:cs="Times New Roman"/>
                <w:szCs w:val="20"/>
                <w:lang w:val="en-US"/>
              </w:rPr>
            </w:pPr>
            <w:r w:rsidRPr="00332034">
              <w:rPr>
                <w:rFonts w:ascii="Times New Roman" w:hAnsi="Times New Roman" w:cs="Times New Roman"/>
                <w:szCs w:val="20"/>
                <w:lang w:val="en-US"/>
              </w:rPr>
              <w:t>Micronucleus test (Bone marrow</w:t>
            </w:r>
            <w:r w:rsidR="00CB35DA" w:rsidRPr="00332034">
              <w:rPr>
                <w:rFonts w:ascii="Times New Roman" w:hAnsi="Times New Roman" w:cs="Times New Roman"/>
                <w:szCs w:val="20"/>
                <w:lang w:val="en-US"/>
              </w:rPr>
              <w:t>PCE)</w:t>
            </w:r>
          </w:p>
        </w:tc>
        <w:tc>
          <w:tcPr>
            <w:tcW w:w="2228" w:type="dxa"/>
            <w:tcBorders>
              <w:bottom w:val="single" w:sz="6" w:space="0" w:color="auto"/>
            </w:tcBorders>
          </w:tcPr>
          <w:p w:rsidR="006A4A8A" w:rsidRPr="00332034" w:rsidRDefault="006A4A8A"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Mouse</w:t>
            </w:r>
          </w:p>
        </w:tc>
        <w:tc>
          <w:tcPr>
            <w:tcW w:w="1560" w:type="dxa"/>
            <w:tcBorders>
              <w:bottom w:val="single" w:sz="6" w:space="0" w:color="auto"/>
            </w:tcBorders>
          </w:tcPr>
          <w:p w:rsidR="006A4A8A" w:rsidRPr="00332034" w:rsidRDefault="006A4A8A"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Up to 300 mg/kg</w:t>
            </w:r>
          </w:p>
        </w:tc>
        <w:tc>
          <w:tcPr>
            <w:tcW w:w="1320" w:type="dxa"/>
            <w:tcBorders>
              <w:bottom w:val="single" w:sz="6" w:space="0" w:color="auto"/>
            </w:tcBorders>
          </w:tcPr>
          <w:p w:rsidR="006A4A8A" w:rsidRPr="00332034" w:rsidRDefault="006A4A8A" w:rsidP="00332034">
            <w:pPr>
              <w:jc w:val="center"/>
              <w:rPr>
                <w:sz w:val="20"/>
                <w:szCs w:val="20"/>
              </w:rPr>
            </w:pPr>
            <w:r w:rsidRPr="00332034">
              <w:rPr>
                <w:sz w:val="20"/>
                <w:szCs w:val="20"/>
              </w:rPr>
              <w:t>Negative</w:t>
            </w:r>
          </w:p>
        </w:tc>
        <w:tc>
          <w:tcPr>
            <w:tcW w:w="1680" w:type="dxa"/>
            <w:tcBorders>
              <w:bottom w:val="single" w:sz="6" w:space="0" w:color="auto"/>
            </w:tcBorders>
          </w:tcPr>
          <w:p w:rsidR="006A4A8A" w:rsidRPr="00332034" w:rsidRDefault="006A4A8A"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 xml:space="preserve">Kliesch </w:t>
            </w:r>
            <w:r w:rsidR="0074682F" w:rsidRPr="00332034">
              <w:rPr>
                <w:rFonts w:ascii="Times New Roman" w:hAnsi="Times New Roman" w:cs="Times New Roman"/>
                <w:szCs w:val="20"/>
                <w:lang w:val="en-US"/>
              </w:rPr>
              <w:t>and Adler</w:t>
            </w:r>
            <w:r w:rsidRPr="00332034">
              <w:rPr>
                <w:rFonts w:ascii="Times New Roman" w:hAnsi="Times New Roman" w:cs="Times New Roman"/>
                <w:i/>
                <w:szCs w:val="20"/>
                <w:lang w:val="en-US"/>
              </w:rPr>
              <w:t xml:space="preserve">, </w:t>
            </w:r>
            <w:r w:rsidRPr="00332034">
              <w:rPr>
                <w:rFonts w:ascii="Times New Roman" w:hAnsi="Times New Roman" w:cs="Times New Roman"/>
                <w:szCs w:val="20"/>
                <w:lang w:val="en-US"/>
              </w:rPr>
              <w:t>1987</w:t>
            </w:r>
          </w:p>
        </w:tc>
      </w:tr>
      <w:tr w:rsidR="00C22569" w:rsidRPr="00C22569" w:rsidTr="00D8614C">
        <w:trPr>
          <w:trHeight w:val="354"/>
        </w:trPr>
        <w:tc>
          <w:tcPr>
            <w:tcW w:w="9840" w:type="dxa"/>
            <w:gridSpan w:val="6"/>
            <w:tcBorders>
              <w:top w:val="single" w:sz="6" w:space="0" w:color="auto"/>
              <w:bottom w:val="single" w:sz="6" w:space="0" w:color="auto"/>
            </w:tcBorders>
            <w:vAlign w:val="center"/>
          </w:tcPr>
          <w:p w:rsidR="00C22569" w:rsidRPr="00332034" w:rsidRDefault="00C22569"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b/>
                <w:szCs w:val="20"/>
                <w:lang w:val="en-US"/>
              </w:rPr>
              <w:t>In Vitro</w:t>
            </w:r>
          </w:p>
        </w:tc>
      </w:tr>
      <w:tr w:rsidR="00756071" w:rsidRPr="00C22569" w:rsidTr="00D8614C">
        <w:tc>
          <w:tcPr>
            <w:tcW w:w="1560" w:type="dxa"/>
            <w:vMerge w:val="restart"/>
            <w:tcBorders>
              <w:top w:val="single" w:sz="6" w:space="0" w:color="auto"/>
            </w:tcBorders>
          </w:tcPr>
          <w:p w:rsidR="00756071" w:rsidRPr="00332034" w:rsidRDefault="00756071" w:rsidP="00332034">
            <w:pPr>
              <w:pStyle w:val="MSDS-TZeile"/>
              <w:ind w:left="0"/>
              <w:jc w:val="center"/>
              <w:rPr>
                <w:rFonts w:ascii="Times New Roman" w:hAnsi="Times New Roman" w:cs="Times New Roman"/>
                <w:b/>
                <w:i/>
                <w:szCs w:val="20"/>
                <w:lang w:val="en-US"/>
              </w:rPr>
            </w:pPr>
            <w:r w:rsidRPr="00332034">
              <w:rPr>
                <w:rFonts w:ascii="Times New Roman" w:hAnsi="Times New Roman" w:cs="Times New Roman"/>
                <w:b/>
                <w:i/>
                <w:szCs w:val="20"/>
                <w:lang w:val="en-US"/>
              </w:rPr>
              <w:t>Nitromethane</w:t>
            </w:r>
          </w:p>
        </w:tc>
        <w:tc>
          <w:tcPr>
            <w:tcW w:w="1492" w:type="dxa"/>
            <w:tcBorders>
              <w:top w:val="single" w:sz="6" w:space="0" w:color="auto"/>
            </w:tcBorders>
          </w:tcPr>
          <w:p w:rsidR="00756071" w:rsidRPr="00332034" w:rsidRDefault="00756071" w:rsidP="00332034">
            <w:pPr>
              <w:pStyle w:val="MSDS-TZeile"/>
              <w:tabs>
                <w:tab w:val="left" w:leader="dot" w:pos="9214"/>
                <w:tab w:val="right" w:pos="9639"/>
              </w:tabs>
              <w:spacing w:before="240"/>
              <w:ind w:left="0"/>
              <w:jc w:val="center"/>
              <w:rPr>
                <w:rFonts w:ascii="Times New Roman" w:hAnsi="Times New Roman" w:cs="Times New Roman"/>
                <w:szCs w:val="20"/>
                <w:vertAlign w:val="superscript"/>
                <w:lang w:val="en-US"/>
              </w:rPr>
            </w:pPr>
            <w:r w:rsidRPr="00332034">
              <w:rPr>
                <w:rFonts w:ascii="Times New Roman" w:hAnsi="Times New Roman" w:cs="Times New Roman"/>
                <w:szCs w:val="20"/>
                <w:lang w:val="en-US"/>
              </w:rPr>
              <w:t>Gene mutation, bacterial cells</w:t>
            </w:r>
            <w:r w:rsidR="00DF165A" w:rsidRPr="00332034">
              <w:rPr>
                <w:rFonts w:ascii="Times New Roman" w:hAnsi="Times New Roman" w:cs="Times New Roman"/>
                <w:szCs w:val="20"/>
                <w:vertAlign w:val="superscript"/>
                <w:lang w:val="en-US"/>
              </w:rPr>
              <w:t>a</w:t>
            </w:r>
          </w:p>
        </w:tc>
        <w:tc>
          <w:tcPr>
            <w:tcW w:w="2228" w:type="dxa"/>
            <w:tcBorders>
              <w:top w:val="single" w:sz="6" w:space="0" w:color="auto"/>
            </w:tcBorders>
          </w:tcPr>
          <w:p w:rsidR="00756071" w:rsidRPr="00332034" w:rsidRDefault="003C5A18" w:rsidP="00332034">
            <w:pPr>
              <w:pStyle w:val="MSDS-TZeile"/>
              <w:ind w:left="0"/>
              <w:jc w:val="center"/>
              <w:rPr>
                <w:rFonts w:ascii="Times New Roman" w:hAnsi="Times New Roman" w:cs="Times New Roman"/>
                <w:szCs w:val="20"/>
                <w:lang w:val="sv-SE"/>
              </w:rPr>
            </w:pPr>
            <w:r w:rsidRPr="00332034">
              <w:rPr>
                <w:rFonts w:ascii="Times New Roman" w:hAnsi="Times New Roman" w:cs="Times New Roman"/>
                <w:i/>
                <w:szCs w:val="20"/>
                <w:lang w:val="sv-SE"/>
              </w:rPr>
              <w:t>S. typhimurium</w:t>
            </w:r>
            <w:r w:rsidRPr="00332034">
              <w:rPr>
                <w:rFonts w:ascii="Times New Roman" w:hAnsi="Times New Roman" w:cs="Times New Roman"/>
                <w:szCs w:val="20"/>
                <w:lang w:val="sv-SE"/>
              </w:rPr>
              <w:t xml:space="preserve"> TA98, TA100, TA1535, TA1537, TA1538</w:t>
            </w:r>
          </w:p>
        </w:tc>
        <w:tc>
          <w:tcPr>
            <w:tcW w:w="1560" w:type="dxa"/>
            <w:tcBorders>
              <w:top w:val="single" w:sz="6" w:space="0" w:color="auto"/>
            </w:tcBorders>
          </w:tcPr>
          <w:p w:rsidR="00D3472E" w:rsidRPr="00332034" w:rsidRDefault="00D3472E" w:rsidP="00332034">
            <w:pPr>
              <w:pStyle w:val="MSDS-TUZeile"/>
              <w:ind w:left="0"/>
              <w:jc w:val="center"/>
              <w:rPr>
                <w:rFonts w:ascii="Times New Roman" w:hAnsi="Times New Roman" w:cs="Times New Roman"/>
                <w:szCs w:val="20"/>
                <w:lang w:val="en-US"/>
              </w:rPr>
            </w:pPr>
            <w:r w:rsidRPr="00332034">
              <w:rPr>
                <w:rFonts w:ascii="Times New Roman" w:hAnsi="Times New Roman" w:cs="Times New Roman"/>
                <w:szCs w:val="20"/>
                <w:lang w:val="en-US"/>
              </w:rPr>
              <w:t>Up to 47,465 ppm</w:t>
            </w:r>
          </w:p>
        </w:tc>
        <w:tc>
          <w:tcPr>
            <w:tcW w:w="1320" w:type="dxa"/>
            <w:tcBorders>
              <w:top w:val="single" w:sz="6" w:space="0" w:color="auto"/>
            </w:tcBorders>
          </w:tcPr>
          <w:p w:rsidR="00D3472E" w:rsidRPr="00332034" w:rsidRDefault="00D3472E" w:rsidP="00332034">
            <w:pPr>
              <w:jc w:val="center"/>
              <w:rPr>
                <w:sz w:val="20"/>
                <w:szCs w:val="20"/>
              </w:rPr>
            </w:pPr>
            <w:r w:rsidRPr="00332034">
              <w:rPr>
                <w:sz w:val="20"/>
                <w:szCs w:val="20"/>
              </w:rPr>
              <w:t>Negative</w:t>
            </w:r>
          </w:p>
        </w:tc>
        <w:tc>
          <w:tcPr>
            <w:tcW w:w="1680" w:type="dxa"/>
            <w:tcBorders>
              <w:top w:val="single" w:sz="6" w:space="0" w:color="auto"/>
            </w:tcBorders>
          </w:tcPr>
          <w:p w:rsidR="00756071" w:rsidRPr="00332034" w:rsidRDefault="001B41D5" w:rsidP="00332034">
            <w:pPr>
              <w:pStyle w:val="MSDS-TZeile"/>
              <w:ind w:left="0"/>
              <w:jc w:val="center"/>
              <w:rPr>
                <w:rFonts w:ascii="Times New Roman" w:hAnsi="Times New Roman" w:cs="Times New Roman"/>
                <w:szCs w:val="20"/>
                <w:highlight w:val="yellow"/>
                <w:lang w:val="en-US"/>
              </w:rPr>
            </w:pPr>
            <w:r w:rsidRPr="00332034">
              <w:rPr>
                <w:rFonts w:ascii="Times New Roman" w:hAnsi="Times New Roman" w:cs="Times New Roman"/>
                <w:szCs w:val="20"/>
                <w:lang w:val="en-US"/>
              </w:rPr>
              <w:t>Domoradzki, 1980</w:t>
            </w:r>
          </w:p>
        </w:tc>
      </w:tr>
      <w:tr w:rsidR="00756071" w:rsidRPr="00C22569" w:rsidTr="00332034">
        <w:tc>
          <w:tcPr>
            <w:tcW w:w="1560" w:type="dxa"/>
            <w:vMerge/>
          </w:tcPr>
          <w:p w:rsidR="00756071" w:rsidRPr="00332034" w:rsidRDefault="00756071" w:rsidP="00332034">
            <w:pPr>
              <w:pStyle w:val="MSDS-TZeile"/>
              <w:ind w:left="0"/>
              <w:jc w:val="center"/>
              <w:rPr>
                <w:rFonts w:ascii="Times New Roman" w:hAnsi="Times New Roman" w:cs="Times New Roman"/>
                <w:b/>
                <w:i/>
                <w:szCs w:val="20"/>
                <w:lang w:val="en-US"/>
              </w:rPr>
            </w:pPr>
          </w:p>
        </w:tc>
        <w:tc>
          <w:tcPr>
            <w:tcW w:w="1492" w:type="dxa"/>
          </w:tcPr>
          <w:p w:rsidR="00756071" w:rsidRPr="00332034" w:rsidRDefault="00AE00E3" w:rsidP="00332034">
            <w:pPr>
              <w:pStyle w:val="MSDS-TZeile"/>
              <w:ind w:left="0"/>
              <w:jc w:val="center"/>
              <w:rPr>
                <w:rFonts w:ascii="Times New Roman" w:hAnsi="Times New Roman" w:cs="Times New Roman"/>
                <w:szCs w:val="20"/>
                <w:vertAlign w:val="superscript"/>
                <w:lang w:val="en-US"/>
              </w:rPr>
            </w:pPr>
            <w:r w:rsidRPr="00332034">
              <w:rPr>
                <w:rFonts w:ascii="Times New Roman" w:hAnsi="Times New Roman" w:cs="Times New Roman"/>
                <w:szCs w:val="20"/>
                <w:lang w:val="en-US"/>
              </w:rPr>
              <w:t>Chromosomal aberrations</w:t>
            </w:r>
            <w:r w:rsidR="00DF165A" w:rsidRPr="00332034">
              <w:rPr>
                <w:rFonts w:ascii="Times New Roman" w:hAnsi="Times New Roman" w:cs="Times New Roman"/>
                <w:szCs w:val="20"/>
                <w:vertAlign w:val="superscript"/>
                <w:lang w:val="en-US"/>
              </w:rPr>
              <w:t>a</w:t>
            </w:r>
          </w:p>
        </w:tc>
        <w:tc>
          <w:tcPr>
            <w:tcW w:w="2228" w:type="dxa"/>
          </w:tcPr>
          <w:p w:rsidR="00756071" w:rsidRPr="00332034" w:rsidRDefault="00AE00E3"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Chinese hamster ovary cells</w:t>
            </w:r>
          </w:p>
        </w:tc>
        <w:tc>
          <w:tcPr>
            <w:tcW w:w="1560" w:type="dxa"/>
          </w:tcPr>
          <w:p w:rsidR="00756071" w:rsidRPr="00332034" w:rsidRDefault="00AE00E3"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Up to 4980 ug/mL</w:t>
            </w:r>
          </w:p>
        </w:tc>
        <w:tc>
          <w:tcPr>
            <w:tcW w:w="1320" w:type="dxa"/>
          </w:tcPr>
          <w:p w:rsidR="00756071" w:rsidRPr="00332034" w:rsidRDefault="00AE00E3" w:rsidP="00332034">
            <w:pPr>
              <w:jc w:val="center"/>
              <w:rPr>
                <w:sz w:val="20"/>
                <w:szCs w:val="20"/>
              </w:rPr>
            </w:pPr>
            <w:r w:rsidRPr="00332034">
              <w:rPr>
                <w:sz w:val="20"/>
                <w:szCs w:val="20"/>
              </w:rPr>
              <w:t>Negative</w:t>
            </w:r>
          </w:p>
        </w:tc>
        <w:tc>
          <w:tcPr>
            <w:tcW w:w="1680" w:type="dxa"/>
          </w:tcPr>
          <w:p w:rsidR="00756071" w:rsidRPr="00332034" w:rsidRDefault="00AE00E3" w:rsidP="00332034">
            <w:pPr>
              <w:pStyle w:val="MSDS-TZeile"/>
              <w:ind w:left="0"/>
              <w:jc w:val="center"/>
              <w:rPr>
                <w:rFonts w:ascii="Times New Roman" w:hAnsi="Times New Roman" w:cs="Times New Roman"/>
                <w:szCs w:val="20"/>
                <w:highlight w:val="yellow"/>
                <w:lang w:val="en-US"/>
              </w:rPr>
            </w:pPr>
            <w:r w:rsidRPr="00332034">
              <w:rPr>
                <w:rFonts w:ascii="Times New Roman" w:hAnsi="Times New Roman" w:cs="Times New Roman"/>
                <w:szCs w:val="20"/>
                <w:lang w:val="en-US"/>
              </w:rPr>
              <w:t>NTP</w:t>
            </w:r>
            <w:r w:rsidR="00DF165A" w:rsidRPr="00332034">
              <w:rPr>
                <w:rFonts w:ascii="Times New Roman" w:hAnsi="Times New Roman" w:cs="Times New Roman"/>
                <w:szCs w:val="20"/>
                <w:lang w:val="en-US"/>
              </w:rPr>
              <w:t>USDHHS</w:t>
            </w:r>
            <w:r w:rsidRPr="00332034">
              <w:rPr>
                <w:rFonts w:ascii="Times New Roman" w:hAnsi="Times New Roman" w:cs="Times New Roman"/>
                <w:szCs w:val="20"/>
                <w:lang w:val="en-US"/>
              </w:rPr>
              <w:t>, 1997</w:t>
            </w:r>
          </w:p>
        </w:tc>
      </w:tr>
      <w:tr w:rsidR="00F97C4D" w:rsidRPr="00C22569" w:rsidTr="00332034">
        <w:trPr>
          <w:trHeight w:val="1020"/>
        </w:trPr>
        <w:tc>
          <w:tcPr>
            <w:tcW w:w="1560" w:type="dxa"/>
          </w:tcPr>
          <w:p w:rsidR="00F97C4D" w:rsidRPr="00332034" w:rsidRDefault="00F97C4D" w:rsidP="00332034">
            <w:pPr>
              <w:jc w:val="center"/>
              <w:rPr>
                <w:b/>
                <w:i/>
                <w:sz w:val="20"/>
                <w:szCs w:val="20"/>
              </w:rPr>
            </w:pPr>
          </w:p>
        </w:tc>
        <w:tc>
          <w:tcPr>
            <w:tcW w:w="1492" w:type="dxa"/>
          </w:tcPr>
          <w:p w:rsidR="00F97C4D" w:rsidRPr="00332034" w:rsidRDefault="00F97C4D"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Chromosomal aberration</w:t>
            </w:r>
          </w:p>
        </w:tc>
        <w:tc>
          <w:tcPr>
            <w:tcW w:w="2228" w:type="dxa"/>
          </w:tcPr>
          <w:p w:rsidR="00F97C4D" w:rsidRPr="00332034" w:rsidRDefault="00B320DF" w:rsidP="00332034">
            <w:pPr>
              <w:pStyle w:val="MSDS-TZeile"/>
              <w:tabs>
                <w:tab w:val="left" w:leader="dot" w:pos="9214"/>
                <w:tab w:val="right" w:pos="9639"/>
              </w:tabs>
              <w:spacing w:before="240"/>
              <w:ind w:left="0"/>
              <w:jc w:val="center"/>
              <w:rPr>
                <w:rFonts w:ascii="Times New Roman" w:hAnsi="Times New Roman" w:cs="Times New Roman"/>
                <w:szCs w:val="20"/>
                <w:lang w:val="sv-SE"/>
              </w:rPr>
            </w:pPr>
            <w:r w:rsidRPr="00332034">
              <w:rPr>
                <w:rFonts w:ascii="Times New Roman" w:hAnsi="Times New Roman" w:cs="Times New Roman"/>
                <w:szCs w:val="20"/>
                <w:lang w:val="sv-SE"/>
              </w:rPr>
              <w:t>Syrian hamster embryo</w:t>
            </w:r>
          </w:p>
        </w:tc>
        <w:tc>
          <w:tcPr>
            <w:tcW w:w="1560" w:type="dxa"/>
          </w:tcPr>
          <w:p w:rsidR="00F97C4D" w:rsidRPr="00332034" w:rsidRDefault="00F97C4D"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DMSO up to 6.0 ug/ml</w:t>
            </w:r>
          </w:p>
          <w:p w:rsidR="00CE20DB" w:rsidRPr="00332034" w:rsidRDefault="00B320DF" w:rsidP="00332034">
            <w:pPr>
              <w:pStyle w:val="MSDS-TUZeile"/>
              <w:jc w:val="center"/>
              <w:rPr>
                <w:szCs w:val="20"/>
                <w:lang w:val="en-US"/>
              </w:rPr>
            </w:pPr>
            <w:r w:rsidRPr="00332034">
              <w:rPr>
                <w:rFonts w:ascii="Times New Roman" w:hAnsi="Times New Roman" w:cs="Times New Roman"/>
                <w:szCs w:val="20"/>
                <w:lang w:val="en-US"/>
              </w:rPr>
              <w:t>Media up to 5000 ug/ml</w:t>
            </w:r>
          </w:p>
        </w:tc>
        <w:tc>
          <w:tcPr>
            <w:tcW w:w="1320" w:type="dxa"/>
          </w:tcPr>
          <w:p w:rsidR="00F97C4D" w:rsidRPr="00332034" w:rsidRDefault="00F97C4D" w:rsidP="00332034">
            <w:pPr>
              <w:jc w:val="center"/>
              <w:rPr>
                <w:sz w:val="20"/>
                <w:szCs w:val="20"/>
              </w:rPr>
            </w:pPr>
            <w:r w:rsidRPr="00332034">
              <w:rPr>
                <w:sz w:val="20"/>
                <w:szCs w:val="20"/>
              </w:rPr>
              <w:t>negative</w:t>
            </w:r>
          </w:p>
        </w:tc>
        <w:tc>
          <w:tcPr>
            <w:tcW w:w="1680" w:type="dxa"/>
          </w:tcPr>
          <w:p w:rsidR="00F97C4D" w:rsidRPr="00332034" w:rsidRDefault="00F97C4D" w:rsidP="00332034">
            <w:pPr>
              <w:pStyle w:val="MSDS-TUZeile"/>
              <w:ind w:left="0"/>
              <w:jc w:val="center"/>
              <w:rPr>
                <w:rFonts w:ascii="Times New Roman" w:hAnsi="Times New Roman" w:cs="Times New Roman"/>
                <w:szCs w:val="20"/>
                <w:lang w:val="en-US"/>
              </w:rPr>
            </w:pPr>
            <w:r w:rsidRPr="00332034">
              <w:rPr>
                <w:rFonts w:ascii="Times New Roman" w:hAnsi="Times New Roman" w:cs="Times New Roman"/>
                <w:szCs w:val="20"/>
                <w:lang w:val="en-US"/>
              </w:rPr>
              <w:t>Gibson et al 1997</w:t>
            </w:r>
          </w:p>
        </w:tc>
      </w:tr>
      <w:tr w:rsidR="00F97C4D" w:rsidRPr="00C22569" w:rsidTr="00332034">
        <w:trPr>
          <w:trHeight w:val="1020"/>
        </w:trPr>
        <w:tc>
          <w:tcPr>
            <w:tcW w:w="1560" w:type="dxa"/>
          </w:tcPr>
          <w:p w:rsidR="00F97C4D" w:rsidRPr="00332034" w:rsidRDefault="00F97C4D" w:rsidP="00332034">
            <w:pPr>
              <w:jc w:val="center"/>
              <w:rPr>
                <w:b/>
                <w:i/>
                <w:sz w:val="20"/>
                <w:szCs w:val="20"/>
              </w:rPr>
            </w:pPr>
          </w:p>
        </w:tc>
        <w:tc>
          <w:tcPr>
            <w:tcW w:w="1492" w:type="dxa"/>
          </w:tcPr>
          <w:p w:rsidR="00F97C4D" w:rsidRPr="00332034" w:rsidRDefault="00F97C4D"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color w:val="000000"/>
                <w:szCs w:val="20"/>
              </w:rPr>
              <w:t>mammalian cell transformation assay</w:t>
            </w:r>
          </w:p>
        </w:tc>
        <w:tc>
          <w:tcPr>
            <w:tcW w:w="2228" w:type="dxa"/>
          </w:tcPr>
          <w:p w:rsidR="00F97C4D" w:rsidRPr="00332034" w:rsidRDefault="00B320DF" w:rsidP="00332034">
            <w:pPr>
              <w:pStyle w:val="MSDS-TZeile"/>
              <w:tabs>
                <w:tab w:val="left" w:leader="dot" w:pos="9214"/>
                <w:tab w:val="right" w:pos="9639"/>
              </w:tabs>
              <w:spacing w:before="240"/>
              <w:ind w:left="0"/>
              <w:jc w:val="center"/>
              <w:rPr>
                <w:rFonts w:ascii="Times New Roman" w:hAnsi="Times New Roman" w:cs="Times New Roman"/>
                <w:szCs w:val="20"/>
                <w:lang w:val="sv-SE"/>
              </w:rPr>
            </w:pPr>
            <w:r w:rsidRPr="00332034">
              <w:rPr>
                <w:rFonts w:ascii="Times New Roman" w:hAnsi="Times New Roman" w:cs="Times New Roman"/>
                <w:szCs w:val="20"/>
                <w:lang w:val="sv-SE"/>
              </w:rPr>
              <w:t>Syrian hamster embryo</w:t>
            </w:r>
          </w:p>
        </w:tc>
        <w:tc>
          <w:tcPr>
            <w:tcW w:w="1560" w:type="dxa"/>
          </w:tcPr>
          <w:p w:rsidR="00F97C4D" w:rsidRPr="00332034" w:rsidRDefault="00F97C4D"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Up to 5000 ug/ml</w:t>
            </w:r>
          </w:p>
        </w:tc>
        <w:tc>
          <w:tcPr>
            <w:tcW w:w="1320" w:type="dxa"/>
          </w:tcPr>
          <w:p w:rsidR="00F97C4D" w:rsidRPr="00332034" w:rsidRDefault="00F97C4D" w:rsidP="00332034">
            <w:pPr>
              <w:jc w:val="center"/>
              <w:rPr>
                <w:sz w:val="20"/>
                <w:szCs w:val="20"/>
              </w:rPr>
            </w:pPr>
            <w:r w:rsidRPr="00332034">
              <w:rPr>
                <w:sz w:val="20"/>
                <w:szCs w:val="20"/>
              </w:rPr>
              <w:t>Positive</w:t>
            </w:r>
          </w:p>
        </w:tc>
        <w:tc>
          <w:tcPr>
            <w:tcW w:w="1680" w:type="dxa"/>
          </w:tcPr>
          <w:p w:rsidR="00F97C4D" w:rsidRPr="00332034" w:rsidRDefault="00F97C4D" w:rsidP="00332034">
            <w:pPr>
              <w:pStyle w:val="MSDS-TUZeile"/>
              <w:ind w:left="0"/>
              <w:jc w:val="center"/>
              <w:rPr>
                <w:rFonts w:ascii="Times New Roman" w:hAnsi="Times New Roman" w:cs="Times New Roman"/>
                <w:szCs w:val="20"/>
                <w:lang w:val="en-US"/>
              </w:rPr>
            </w:pPr>
            <w:r w:rsidRPr="00332034">
              <w:rPr>
                <w:rFonts w:ascii="Times New Roman" w:hAnsi="Times New Roman" w:cs="Times New Roman"/>
                <w:szCs w:val="20"/>
                <w:lang w:val="en-US"/>
              </w:rPr>
              <w:t>Kerckaert et al 1996</w:t>
            </w:r>
          </w:p>
        </w:tc>
      </w:tr>
      <w:tr w:rsidR="00F97C4D" w:rsidRPr="00C22569" w:rsidTr="00332034">
        <w:trPr>
          <w:trHeight w:val="1020"/>
        </w:trPr>
        <w:tc>
          <w:tcPr>
            <w:tcW w:w="1560" w:type="dxa"/>
          </w:tcPr>
          <w:p w:rsidR="00F97C4D" w:rsidRPr="00332034" w:rsidRDefault="00F97C4D" w:rsidP="00332034">
            <w:pPr>
              <w:jc w:val="center"/>
              <w:rPr>
                <w:b/>
                <w:i/>
                <w:sz w:val="20"/>
                <w:szCs w:val="20"/>
              </w:rPr>
            </w:pPr>
          </w:p>
        </w:tc>
        <w:tc>
          <w:tcPr>
            <w:tcW w:w="1492" w:type="dxa"/>
          </w:tcPr>
          <w:p w:rsidR="00F97C4D" w:rsidRPr="00332034" w:rsidRDefault="00F97C4D" w:rsidP="00332034">
            <w:pPr>
              <w:pStyle w:val="MSDS-TZeile"/>
              <w:ind w:left="0"/>
              <w:jc w:val="center"/>
              <w:rPr>
                <w:rFonts w:ascii="Times New Roman" w:hAnsi="Times New Roman" w:cs="Times New Roman"/>
                <w:szCs w:val="20"/>
                <w:lang w:val="en-US"/>
              </w:rPr>
            </w:pPr>
          </w:p>
        </w:tc>
        <w:tc>
          <w:tcPr>
            <w:tcW w:w="2228" w:type="dxa"/>
          </w:tcPr>
          <w:p w:rsidR="00F97C4D" w:rsidRPr="00332034" w:rsidRDefault="00F97C4D" w:rsidP="00332034">
            <w:pPr>
              <w:pStyle w:val="MSDS-TZeile"/>
              <w:tabs>
                <w:tab w:val="left" w:leader="dot" w:pos="9214"/>
                <w:tab w:val="right" w:pos="9639"/>
              </w:tabs>
              <w:spacing w:before="240"/>
              <w:ind w:left="0"/>
              <w:jc w:val="center"/>
              <w:rPr>
                <w:rFonts w:ascii="Times New Roman" w:hAnsi="Times New Roman" w:cs="Times New Roman"/>
                <w:szCs w:val="20"/>
                <w:lang w:val="sv-SE"/>
              </w:rPr>
            </w:pPr>
          </w:p>
        </w:tc>
        <w:tc>
          <w:tcPr>
            <w:tcW w:w="1560" w:type="dxa"/>
          </w:tcPr>
          <w:p w:rsidR="00F97C4D" w:rsidRPr="00332034" w:rsidRDefault="00F97C4D" w:rsidP="00332034">
            <w:pPr>
              <w:pStyle w:val="MSDS-TZeile"/>
              <w:ind w:left="0"/>
              <w:jc w:val="center"/>
              <w:rPr>
                <w:rFonts w:ascii="Times New Roman" w:hAnsi="Times New Roman" w:cs="Times New Roman"/>
                <w:szCs w:val="20"/>
                <w:lang w:val="en-US"/>
              </w:rPr>
            </w:pPr>
          </w:p>
        </w:tc>
        <w:tc>
          <w:tcPr>
            <w:tcW w:w="1320" w:type="dxa"/>
          </w:tcPr>
          <w:p w:rsidR="00F97C4D" w:rsidRPr="00332034" w:rsidRDefault="00F97C4D" w:rsidP="00332034">
            <w:pPr>
              <w:jc w:val="center"/>
              <w:rPr>
                <w:sz w:val="20"/>
                <w:szCs w:val="20"/>
              </w:rPr>
            </w:pPr>
          </w:p>
        </w:tc>
        <w:tc>
          <w:tcPr>
            <w:tcW w:w="1680" w:type="dxa"/>
          </w:tcPr>
          <w:p w:rsidR="00F97C4D" w:rsidRPr="00332034" w:rsidRDefault="00F97C4D" w:rsidP="00332034">
            <w:pPr>
              <w:pStyle w:val="MSDS-TUZeile"/>
              <w:ind w:left="0"/>
              <w:jc w:val="center"/>
              <w:rPr>
                <w:rFonts w:ascii="Times New Roman" w:hAnsi="Times New Roman" w:cs="Times New Roman"/>
                <w:szCs w:val="20"/>
                <w:lang w:val="en-US"/>
              </w:rPr>
            </w:pPr>
          </w:p>
        </w:tc>
      </w:tr>
      <w:tr w:rsidR="00AE00E3" w:rsidRPr="00C22569" w:rsidTr="00332034">
        <w:trPr>
          <w:trHeight w:val="1020"/>
        </w:trPr>
        <w:tc>
          <w:tcPr>
            <w:tcW w:w="1560" w:type="dxa"/>
          </w:tcPr>
          <w:p w:rsidR="00AE00E3" w:rsidRPr="00332034" w:rsidRDefault="00AE00E3" w:rsidP="00332034">
            <w:pPr>
              <w:jc w:val="center"/>
              <w:rPr>
                <w:b/>
                <w:i/>
                <w:sz w:val="20"/>
                <w:szCs w:val="20"/>
              </w:rPr>
            </w:pPr>
            <w:r w:rsidRPr="00332034">
              <w:rPr>
                <w:b/>
                <w:i/>
                <w:sz w:val="20"/>
                <w:szCs w:val="20"/>
              </w:rPr>
              <w:t>Nitroethane</w:t>
            </w:r>
          </w:p>
        </w:tc>
        <w:tc>
          <w:tcPr>
            <w:tcW w:w="1492" w:type="dxa"/>
          </w:tcPr>
          <w:p w:rsidR="00AE00E3" w:rsidRPr="00332034" w:rsidRDefault="00AE00E3" w:rsidP="00332034">
            <w:pPr>
              <w:pStyle w:val="MSDS-TZeile"/>
              <w:ind w:left="0"/>
              <w:jc w:val="center"/>
              <w:rPr>
                <w:rFonts w:ascii="Times New Roman" w:hAnsi="Times New Roman" w:cs="Times New Roman"/>
                <w:szCs w:val="20"/>
                <w:vertAlign w:val="superscript"/>
                <w:lang w:val="en-US"/>
              </w:rPr>
            </w:pPr>
            <w:r w:rsidRPr="00332034">
              <w:rPr>
                <w:rFonts w:ascii="Times New Roman" w:hAnsi="Times New Roman" w:cs="Times New Roman"/>
                <w:szCs w:val="20"/>
                <w:lang w:val="en-US"/>
              </w:rPr>
              <w:t>Gene mutation, bacterial cells</w:t>
            </w:r>
            <w:r w:rsidR="00DF165A" w:rsidRPr="00332034">
              <w:rPr>
                <w:rFonts w:ascii="Times New Roman" w:hAnsi="Times New Roman" w:cs="Times New Roman"/>
                <w:szCs w:val="20"/>
                <w:vertAlign w:val="superscript"/>
                <w:lang w:val="en-US"/>
              </w:rPr>
              <w:t>a</w:t>
            </w:r>
          </w:p>
        </w:tc>
        <w:tc>
          <w:tcPr>
            <w:tcW w:w="2228" w:type="dxa"/>
          </w:tcPr>
          <w:p w:rsidR="00AE00E3" w:rsidRPr="00332034" w:rsidRDefault="00AE00E3" w:rsidP="00332034">
            <w:pPr>
              <w:pStyle w:val="MSDS-TZeile"/>
              <w:ind w:left="0"/>
              <w:jc w:val="center"/>
              <w:rPr>
                <w:rFonts w:ascii="Times New Roman" w:hAnsi="Times New Roman" w:cs="Times New Roman"/>
                <w:szCs w:val="20"/>
                <w:lang w:val="sv-SE"/>
              </w:rPr>
            </w:pPr>
            <w:r w:rsidRPr="00332034">
              <w:rPr>
                <w:rFonts w:ascii="Times New Roman" w:hAnsi="Times New Roman" w:cs="Times New Roman"/>
                <w:i/>
                <w:szCs w:val="20"/>
                <w:lang w:val="sv-SE"/>
              </w:rPr>
              <w:t>S. typhimurium</w:t>
            </w:r>
            <w:r w:rsidRPr="00332034">
              <w:rPr>
                <w:rFonts w:ascii="Times New Roman" w:hAnsi="Times New Roman" w:cs="Times New Roman"/>
                <w:szCs w:val="20"/>
                <w:lang w:val="sv-SE"/>
              </w:rPr>
              <w:t xml:space="preserve"> TA98, TA100, TA1535, TA1537, TA1538</w:t>
            </w:r>
          </w:p>
        </w:tc>
        <w:tc>
          <w:tcPr>
            <w:tcW w:w="1560" w:type="dxa"/>
          </w:tcPr>
          <w:p w:rsidR="00AE00E3" w:rsidRPr="00332034" w:rsidRDefault="00AE00E3" w:rsidP="00332034">
            <w:pPr>
              <w:pStyle w:val="MSDS-TZeile"/>
              <w:ind w:left="0"/>
              <w:jc w:val="center"/>
              <w:rPr>
                <w:rFonts w:ascii="Times New Roman" w:hAnsi="Times New Roman" w:cs="Times New Roman"/>
                <w:szCs w:val="20"/>
                <w:lang w:val="fr-FR"/>
              </w:rPr>
            </w:pPr>
          </w:p>
          <w:p w:rsidR="00EE6398" w:rsidRPr="00332034" w:rsidRDefault="00EE6398" w:rsidP="00332034">
            <w:pPr>
              <w:pStyle w:val="MSDS-TUZeile"/>
              <w:jc w:val="center"/>
              <w:rPr>
                <w:szCs w:val="20"/>
                <w:lang w:val="fr-FR"/>
              </w:rPr>
            </w:pPr>
          </w:p>
          <w:p w:rsidR="00EE6398" w:rsidRPr="00332034" w:rsidRDefault="00EE6398" w:rsidP="00332034">
            <w:pPr>
              <w:pStyle w:val="MSDS-TUZeile"/>
              <w:ind w:left="0"/>
              <w:jc w:val="center"/>
              <w:rPr>
                <w:rFonts w:ascii="Times New Roman" w:hAnsi="Times New Roman" w:cs="Times New Roman"/>
                <w:szCs w:val="20"/>
                <w:lang w:val="en-US"/>
              </w:rPr>
            </w:pPr>
            <w:r w:rsidRPr="00332034">
              <w:rPr>
                <w:rFonts w:ascii="Times New Roman" w:hAnsi="Times New Roman" w:cs="Times New Roman"/>
                <w:szCs w:val="20"/>
                <w:lang w:val="en-US"/>
              </w:rPr>
              <w:t>Up to 55,450 ppm</w:t>
            </w:r>
          </w:p>
        </w:tc>
        <w:tc>
          <w:tcPr>
            <w:tcW w:w="1320" w:type="dxa"/>
          </w:tcPr>
          <w:p w:rsidR="00F0173C" w:rsidRPr="00332034" w:rsidRDefault="00F0173C" w:rsidP="00332034">
            <w:pPr>
              <w:jc w:val="center"/>
              <w:rPr>
                <w:sz w:val="20"/>
                <w:szCs w:val="20"/>
              </w:rPr>
            </w:pPr>
          </w:p>
          <w:p w:rsidR="00F0173C" w:rsidRPr="00332034" w:rsidRDefault="00F0173C" w:rsidP="00332034">
            <w:pPr>
              <w:jc w:val="center"/>
              <w:rPr>
                <w:sz w:val="20"/>
                <w:szCs w:val="20"/>
              </w:rPr>
            </w:pPr>
            <w:r w:rsidRPr="00332034">
              <w:rPr>
                <w:sz w:val="20"/>
                <w:szCs w:val="20"/>
              </w:rPr>
              <w:t>Negative</w:t>
            </w:r>
          </w:p>
        </w:tc>
        <w:tc>
          <w:tcPr>
            <w:tcW w:w="1680" w:type="dxa"/>
          </w:tcPr>
          <w:p w:rsidR="00EE6398" w:rsidRPr="00332034" w:rsidRDefault="00EE6398" w:rsidP="00332034">
            <w:pPr>
              <w:pStyle w:val="MSDS-TUZeile"/>
              <w:ind w:left="0"/>
              <w:jc w:val="center"/>
              <w:rPr>
                <w:rFonts w:ascii="Times New Roman" w:hAnsi="Times New Roman" w:cs="Times New Roman"/>
                <w:szCs w:val="20"/>
                <w:lang w:val="en-US"/>
              </w:rPr>
            </w:pPr>
          </w:p>
          <w:p w:rsidR="00EE6398" w:rsidRPr="00332034" w:rsidRDefault="00EE6398" w:rsidP="00332034">
            <w:pPr>
              <w:pStyle w:val="MSDS-TZeile"/>
              <w:ind w:left="0"/>
              <w:jc w:val="center"/>
              <w:rPr>
                <w:rFonts w:ascii="Times New Roman" w:hAnsi="Times New Roman" w:cs="Times New Roman"/>
                <w:szCs w:val="20"/>
                <w:highlight w:val="yellow"/>
                <w:lang w:val="en-US"/>
              </w:rPr>
            </w:pPr>
            <w:r w:rsidRPr="00332034">
              <w:rPr>
                <w:rFonts w:ascii="Times New Roman" w:hAnsi="Times New Roman" w:cs="Times New Roman"/>
                <w:szCs w:val="20"/>
              </w:rPr>
              <w:t>Domoradzki, 1980</w:t>
            </w:r>
          </w:p>
        </w:tc>
      </w:tr>
      <w:tr w:rsidR="00756071" w:rsidRPr="00C22569" w:rsidTr="00332034">
        <w:tc>
          <w:tcPr>
            <w:tcW w:w="1560" w:type="dxa"/>
            <w:vMerge w:val="restart"/>
          </w:tcPr>
          <w:p w:rsidR="00756071" w:rsidRPr="00332034" w:rsidRDefault="00756071" w:rsidP="00332034">
            <w:pPr>
              <w:jc w:val="center"/>
              <w:rPr>
                <w:b/>
                <w:i/>
                <w:sz w:val="20"/>
                <w:szCs w:val="20"/>
              </w:rPr>
            </w:pPr>
            <w:r w:rsidRPr="00332034">
              <w:rPr>
                <w:b/>
                <w:i/>
                <w:sz w:val="20"/>
                <w:szCs w:val="20"/>
              </w:rPr>
              <w:t>1-Nitropropane</w:t>
            </w:r>
          </w:p>
        </w:tc>
        <w:tc>
          <w:tcPr>
            <w:tcW w:w="1492" w:type="dxa"/>
          </w:tcPr>
          <w:p w:rsidR="00756071" w:rsidRPr="00332034" w:rsidRDefault="00756071" w:rsidP="00332034">
            <w:pPr>
              <w:pStyle w:val="MSDS-TZeile"/>
              <w:ind w:left="0"/>
              <w:jc w:val="center"/>
              <w:rPr>
                <w:rFonts w:ascii="Times New Roman" w:hAnsi="Times New Roman" w:cs="Times New Roman"/>
                <w:szCs w:val="20"/>
                <w:vertAlign w:val="superscript"/>
                <w:lang w:val="en-US"/>
              </w:rPr>
            </w:pPr>
            <w:r w:rsidRPr="00332034">
              <w:rPr>
                <w:rFonts w:ascii="Times New Roman" w:hAnsi="Times New Roman" w:cs="Times New Roman"/>
                <w:szCs w:val="20"/>
                <w:lang w:val="en-US"/>
              </w:rPr>
              <w:t>Gene mutation, bacterial cells</w:t>
            </w:r>
            <w:r w:rsidR="00DF165A" w:rsidRPr="00332034">
              <w:rPr>
                <w:rFonts w:ascii="Times New Roman" w:hAnsi="Times New Roman" w:cs="Times New Roman"/>
                <w:szCs w:val="20"/>
                <w:vertAlign w:val="superscript"/>
                <w:lang w:val="en-US"/>
              </w:rPr>
              <w:t>a</w:t>
            </w:r>
          </w:p>
        </w:tc>
        <w:tc>
          <w:tcPr>
            <w:tcW w:w="2228" w:type="dxa"/>
          </w:tcPr>
          <w:p w:rsidR="00756071" w:rsidRPr="00332034" w:rsidRDefault="00756071" w:rsidP="00332034">
            <w:pPr>
              <w:pStyle w:val="MSDS-TZeile"/>
              <w:ind w:left="0"/>
              <w:jc w:val="center"/>
              <w:rPr>
                <w:rFonts w:ascii="Times New Roman" w:hAnsi="Times New Roman" w:cs="Times New Roman"/>
                <w:b/>
                <w:szCs w:val="20"/>
                <w:lang w:val="sv-SE"/>
              </w:rPr>
            </w:pPr>
            <w:r w:rsidRPr="00332034">
              <w:rPr>
                <w:rFonts w:ascii="Times New Roman" w:hAnsi="Times New Roman" w:cs="Times New Roman"/>
                <w:i/>
                <w:szCs w:val="20"/>
                <w:lang w:val="sv-SE"/>
              </w:rPr>
              <w:t>S. typhimurium</w:t>
            </w:r>
            <w:r w:rsidRPr="00332034">
              <w:rPr>
                <w:rFonts w:ascii="Times New Roman" w:hAnsi="Times New Roman" w:cs="Times New Roman"/>
                <w:szCs w:val="20"/>
                <w:lang w:val="sv-SE"/>
              </w:rPr>
              <w:t xml:space="preserve"> </w:t>
            </w:r>
            <w:r w:rsidR="00B320DF" w:rsidRPr="00332034">
              <w:rPr>
                <w:rFonts w:ascii="Times New Roman" w:hAnsi="Times New Roman" w:cs="Times New Roman"/>
                <w:b/>
                <w:szCs w:val="20"/>
                <w:lang w:val="sv-SE"/>
              </w:rPr>
              <w:t>TA92,</w:t>
            </w:r>
            <w:r w:rsidRPr="00332034">
              <w:rPr>
                <w:rFonts w:ascii="Times New Roman" w:hAnsi="Times New Roman" w:cs="Times New Roman"/>
                <w:szCs w:val="20"/>
                <w:lang w:val="sv-SE"/>
              </w:rPr>
              <w:t xml:space="preserve"> TA98, TA100, TA1535, </w:t>
            </w:r>
            <w:proofErr w:type="gramStart"/>
            <w:r w:rsidRPr="00332034">
              <w:rPr>
                <w:rFonts w:ascii="Times New Roman" w:hAnsi="Times New Roman" w:cs="Times New Roman"/>
                <w:szCs w:val="20"/>
                <w:lang w:val="sv-SE"/>
              </w:rPr>
              <w:t xml:space="preserve">TA1537, </w:t>
            </w:r>
            <w:r w:rsidR="00943EC2" w:rsidRPr="00332034">
              <w:rPr>
                <w:rFonts w:ascii="Times New Roman" w:hAnsi="Times New Roman" w:cs="Times New Roman"/>
                <w:b/>
                <w:szCs w:val="20"/>
                <w:lang w:val="sv-SE"/>
              </w:rPr>
              <w:t xml:space="preserve"> and</w:t>
            </w:r>
            <w:proofErr w:type="gramEnd"/>
          </w:p>
          <w:p w:rsidR="00CE20DB" w:rsidRPr="00332034" w:rsidRDefault="00B320DF" w:rsidP="00332034">
            <w:pPr>
              <w:pStyle w:val="MSDS-TUZeile"/>
              <w:jc w:val="center"/>
              <w:rPr>
                <w:szCs w:val="20"/>
                <w:lang w:val="sv-SE"/>
              </w:rPr>
            </w:pPr>
            <w:r w:rsidRPr="00332034">
              <w:rPr>
                <w:rFonts w:ascii="Times New Roman" w:hAnsi="Times New Roman" w:cs="Times New Roman"/>
                <w:i/>
                <w:szCs w:val="20"/>
              </w:rPr>
              <w:t xml:space="preserve">E. coli </w:t>
            </w:r>
            <w:r w:rsidRPr="00332034">
              <w:rPr>
                <w:rFonts w:ascii="Times New Roman" w:hAnsi="Times New Roman" w:cs="Times New Roman"/>
                <w:szCs w:val="20"/>
              </w:rPr>
              <w:t>strain WP2 uvrA</w:t>
            </w:r>
          </w:p>
        </w:tc>
        <w:tc>
          <w:tcPr>
            <w:tcW w:w="1560" w:type="dxa"/>
          </w:tcPr>
          <w:p w:rsidR="00756071" w:rsidRPr="00332034" w:rsidRDefault="00E81F0C"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Up to 5000 ug/plate</w:t>
            </w:r>
          </w:p>
          <w:p w:rsidR="00E81F0C" w:rsidRPr="00332034" w:rsidRDefault="00E81F0C" w:rsidP="00332034">
            <w:pPr>
              <w:pStyle w:val="MSDS-TUZeile"/>
              <w:jc w:val="center"/>
              <w:rPr>
                <w:szCs w:val="20"/>
                <w:lang w:val="en-US"/>
              </w:rPr>
            </w:pPr>
          </w:p>
          <w:p w:rsidR="00E81F0C" w:rsidRPr="00332034" w:rsidRDefault="00E81F0C"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Up to 9770 ug/plate</w:t>
            </w:r>
          </w:p>
          <w:p w:rsidR="00E81F0C" w:rsidRPr="00332034" w:rsidRDefault="00E81F0C" w:rsidP="00332034">
            <w:pPr>
              <w:pStyle w:val="MSDS-TUZeile"/>
              <w:jc w:val="center"/>
              <w:rPr>
                <w:szCs w:val="20"/>
                <w:lang w:val="en-US"/>
              </w:rPr>
            </w:pPr>
          </w:p>
          <w:p w:rsidR="00E2596E" w:rsidRPr="00332034" w:rsidRDefault="00E2596E" w:rsidP="00332034">
            <w:pPr>
              <w:pStyle w:val="MSDS-TUZeile"/>
              <w:ind w:left="0"/>
              <w:jc w:val="center"/>
              <w:rPr>
                <w:rFonts w:ascii="Times New Roman" w:hAnsi="Times New Roman" w:cs="Times New Roman"/>
                <w:szCs w:val="20"/>
                <w:lang w:val="en-US"/>
              </w:rPr>
            </w:pPr>
          </w:p>
        </w:tc>
        <w:tc>
          <w:tcPr>
            <w:tcW w:w="1320" w:type="dxa"/>
          </w:tcPr>
          <w:p w:rsidR="00756071" w:rsidRPr="00332034" w:rsidRDefault="00756071" w:rsidP="00332034">
            <w:pPr>
              <w:jc w:val="center"/>
              <w:rPr>
                <w:sz w:val="20"/>
                <w:szCs w:val="20"/>
              </w:rPr>
            </w:pPr>
            <w:r w:rsidRPr="00332034">
              <w:rPr>
                <w:sz w:val="20"/>
                <w:szCs w:val="20"/>
              </w:rPr>
              <w:t>Negative</w:t>
            </w:r>
          </w:p>
          <w:p w:rsidR="00E81F0C" w:rsidRPr="00332034" w:rsidRDefault="00E81F0C" w:rsidP="00332034">
            <w:pPr>
              <w:jc w:val="center"/>
              <w:rPr>
                <w:sz w:val="20"/>
                <w:szCs w:val="20"/>
              </w:rPr>
            </w:pPr>
          </w:p>
          <w:p w:rsidR="00E81F0C" w:rsidRPr="00332034" w:rsidRDefault="00E81F0C" w:rsidP="00332034">
            <w:pPr>
              <w:jc w:val="center"/>
              <w:rPr>
                <w:sz w:val="20"/>
                <w:szCs w:val="20"/>
              </w:rPr>
            </w:pPr>
          </w:p>
          <w:p w:rsidR="00E81F0C" w:rsidRPr="00332034" w:rsidRDefault="00E81F0C" w:rsidP="00332034">
            <w:pPr>
              <w:jc w:val="center"/>
              <w:rPr>
                <w:sz w:val="20"/>
                <w:szCs w:val="20"/>
              </w:rPr>
            </w:pPr>
            <w:r w:rsidRPr="00332034">
              <w:rPr>
                <w:sz w:val="20"/>
                <w:szCs w:val="20"/>
              </w:rPr>
              <w:t>Negative</w:t>
            </w:r>
          </w:p>
          <w:p w:rsidR="00E2596E" w:rsidRPr="00332034" w:rsidRDefault="00E2596E" w:rsidP="00332034">
            <w:pPr>
              <w:jc w:val="center"/>
              <w:rPr>
                <w:sz w:val="20"/>
                <w:szCs w:val="20"/>
              </w:rPr>
            </w:pPr>
          </w:p>
          <w:p w:rsidR="00E2596E" w:rsidRPr="00332034" w:rsidRDefault="00E2596E" w:rsidP="00332034">
            <w:pPr>
              <w:jc w:val="center"/>
              <w:rPr>
                <w:sz w:val="20"/>
                <w:szCs w:val="20"/>
              </w:rPr>
            </w:pPr>
          </w:p>
          <w:p w:rsidR="00E2596E" w:rsidRPr="00332034" w:rsidRDefault="00E2596E" w:rsidP="00332034">
            <w:pPr>
              <w:jc w:val="center"/>
              <w:rPr>
                <w:sz w:val="20"/>
                <w:szCs w:val="20"/>
              </w:rPr>
            </w:pPr>
          </w:p>
        </w:tc>
        <w:tc>
          <w:tcPr>
            <w:tcW w:w="1680" w:type="dxa"/>
          </w:tcPr>
          <w:p w:rsidR="00E2596E" w:rsidRPr="00332034" w:rsidRDefault="00E2596E" w:rsidP="00332034">
            <w:pPr>
              <w:pStyle w:val="MSDS-TUZeile"/>
              <w:ind w:left="0"/>
              <w:jc w:val="center"/>
              <w:rPr>
                <w:rFonts w:ascii="Times New Roman" w:hAnsi="Times New Roman" w:cs="Times New Roman"/>
                <w:szCs w:val="20"/>
                <w:lang w:val="en-US"/>
              </w:rPr>
            </w:pPr>
            <w:r w:rsidRPr="00332034">
              <w:rPr>
                <w:rFonts w:ascii="Times New Roman" w:hAnsi="Times New Roman" w:cs="Times New Roman"/>
                <w:szCs w:val="20"/>
                <w:lang w:val="en-US"/>
              </w:rPr>
              <w:t>Thompson, 1996</w:t>
            </w:r>
          </w:p>
          <w:p w:rsidR="00E2596E" w:rsidRPr="00332034" w:rsidRDefault="00E2596E" w:rsidP="00332034">
            <w:pPr>
              <w:pStyle w:val="MSDS-TZeile"/>
              <w:ind w:left="0"/>
              <w:jc w:val="center"/>
              <w:rPr>
                <w:rFonts w:ascii="Times New Roman" w:hAnsi="Times New Roman" w:cs="Times New Roman"/>
                <w:szCs w:val="20"/>
                <w:lang w:val="en-US"/>
              </w:rPr>
            </w:pPr>
          </w:p>
          <w:p w:rsidR="00E2596E" w:rsidRPr="00332034" w:rsidRDefault="00E2596E" w:rsidP="00332034">
            <w:pPr>
              <w:pStyle w:val="MSDS-TZeile"/>
              <w:ind w:left="0"/>
              <w:jc w:val="center"/>
              <w:rPr>
                <w:rFonts w:ascii="Times New Roman" w:hAnsi="Times New Roman" w:cs="Times New Roman"/>
                <w:szCs w:val="20"/>
                <w:lang w:val="en-US"/>
              </w:rPr>
            </w:pPr>
          </w:p>
          <w:p w:rsidR="00756071" w:rsidRPr="00332034" w:rsidRDefault="00756071" w:rsidP="00332034">
            <w:pPr>
              <w:pStyle w:val="MSDS-TZeile"/>
              <w:ind w:left="0"/>
              <w:jc w:val="center"/>
              <w:rPr>
                <w:rFonts w:ascii="Times New Roman" w:hAnsi="Times New Roman" w:cs="Times New Roman"/>
                <w:szCs w:val="20"/>
                <w:lang w:val="en-US"/>
              </w:rPr>
            </w:pPr>
            <w:r w:rsidRPr="00332034">
              <w:rPr>
                <w:rFonts w:ascii="Times New Roman" w:hAnsi="Times New Roman" w:cs="Times New Roman"/>
                <w:szCs w:val="20"/>
                <w:lang w:val="en-US"/>
              </w:rPr>
              <w:t xml:space="preserve">Haworth </w:t>
            </w:r>
            <w:r w:rsidRPr="00332034">
              <w:rPr>
                <w:rFonts w:ascii="Times New Roman" w:hAnsi="Times New Roman" w:cs="Times New Roman"/>
                <w:i/>
                <w:szCs w:val="20"/>
                <w:lang w:val="en-US"/>
              </w:rPr>
              <w:t>et al</w:t>
            </w:r>
            <w:r w:rsidRPr="00332034">
              <w:rPr>
                <w:rFonts w:ascii="Times New Roman" w:hAnsi="Times New Roman" w:cs="Times New Roman"/>
                <w:szCs w:val="20"/>
                <w:lang w:val="en-US"/>
              </w:rPr>
              <w:t>., 1983</w:t>
            </w:r>
          </w:p>
          <w:p w:rsidR="00E81F0C" w:rsidRPr="00332034" w:rsidRDefault="00E81F0C" w:rsidP="00332034">
            <w:pPr>
              <w:pStyle w:val="MSDS-TUZeile"/>
              <w:ind w:left="0"/>
              <w:jc w:val="center"/>
              <w:rPr>
                <w:rFonts w:ascii="Times New Roman" w:hAnsi="Times New Roman" w:cs="Times New Roman"/>
                <w:szCs w:val="20"/>
                <w:lang w:val="en-US"/>
              </w:rPr>
            </w:pPr>
          </w:p>
          <w:p w:rsidR="00756071" w:rsidRPr="00332034" w:rsidRDefault="00756071" w:rsidP="00332034">
            <w:pPr>
              <w:pStyle w:val="MSDS-TUZeile"/>
              <w:ind w:left="0"/>
              <w:jc w:val="center"/>
              <w:rPr>
                <w:szCs w:val="20"/>
                <w:lang w:val="en-US"/>
              </w:rPr>
            </w:pPr>
          </w:p>
        </w:tc>
      </w:tr>
      <w:tr w:rsidR="00AE00E3" w:rsidRPr="00C22569" w:rsidTr="00332034">
        <w:tc>
          <w:tcPr>
            <w:tcW w:w="1560" w:type="dxa"/>
            <w:vMerge/>
            <w:tcBorders>
              <w:bottom w:val="single" w:sz="12" w:space="0" w:color="auto"/>
            </w:tcBorders>
          </w:tcPr>
          <w:p w:rsidR="00AE00E3" w:rsidRPr="00C22569" w:rsidRDefault="00AE00E3" w:rsidP="00F37C80">
            <w:pPr>
              <w:jc w:val="both"/>
              <w:rPr>
                <w:b/>
                <w:i/>
                <w:sz w:val="20"/>
              </w:rPr>
            </w:pPr>
          </w:p>
        </w:tc>
        <w:tc>
          <w:tcPr>
            <w:tcW w:w="1492" w:type="dxa"/>
            <w:tcBorders>
              <w:bottom w:val="single" w:sz="12" w:space="0" w:color="auto"/>
            </w:tcBorders>
          </w:tcPr>
          <w:p w:rsidR="00AE00E3" w:rsidRPr="00F37C80" w:rsidRDefault="00AE00E3" w:rsidP="00F37C80">
            <w:pPr>
              <w:pStyle w:val="MSDS-TZeile"/>
              <w:ind w:left="0"/>
              <w:jc w:val="both"/>
              <w:rPr>
                <w:rFonts w:ascii="Times New Roman" w:hAnsi="Times New Roman" w:cs="Times New Roman"/>
                <w:vertAlign w:val="superscript"/>
                <w:lang w:val="en-US"/>
              </w:rPr>
            </w:pPr>
          </w:p>
        </w:tc>
        <w:tc>
          <w:tcPr>
            <w:tcW w:w="2228" w:type="dxa"/>
            <w:tcBorders>
              <w:bottom w:val="single" w:sz="12" w:space="0" w:color="auto"/>
            </w:tcBorders>
          </w:tcPr>
          <w:p w:rsidR="00AE00E3" w:rsidRPr="00C22569" w:rsidRDefault="00AE00E3" w:rsidP="00F37C80">
            <w:pPr>
              <w:pStyle w:val="MSDS-TZeile"/>
              <w:ind w:left="0"/>
              <w:jc w:val="both"/>
              <w:rPr>
                <w:rFonts w:ascii="Times New Roman" w:hAnsi="Times New Roman" w:cs="Times New Roman"/>
                <w:lang w:val="en-US"/>
              </w:rPr>
            </w:pPr>
          </w:p>
        </w:tc>
        <w:tc>
          <w:tcPr>
            <w:tcW w:w="1560" w:type="dxa"/>
            <w:tcBorders>
              <w:bottom w:val="single" w:sz="12" w:space="0" w:color="auto"/>
            </w:tcBorders>
          </w:tcPr>
          <w:p w:rsidR="00AE00E3" w:rsidRPr="00C22569" w:rsidRDefault="00AE00E3" w:rsidP="00F37C80">
            <w:pPr>
              <w:pStyle w:val="MSDS-TZeile"/>
              <w:ind w:left="0"/>
              <w:jc w:val="both"/>
              <w:rPr>
                <w:rFonts w:ascii="Times New Roman" w:hAnsi="Times New Roman" w:cs="Times New Roman"/>
                <w:lang w:val="en-US"/>
              </w:rPr>
            </w:pPr>
          </w:p>
        </w:tc>
        <w:tc>
          <w:tcPr>
            <w:tcW w:w="1320" w:type="dxa"/>
            <w:tcBorders>
              <w:bottom w:val="single" w:sz="12" w:space="0" w:color="auto"/>
            </w:tcBorders>
          </w:tcPr>
          <w:p w:rsidR="00AE00E3" w:rsidRPr="00C22569" w:rsidRDefault="00AE00E3" w:rsidP="00F37C80">
            <w:pPr>
              <w:jc w:val="both"/>
              <w:rPr>
                <w:sz w:val="20"/>
              </w:rPr>
            </w:pPr>
          </w:p>
        </w:tc>
        <w:tc>
          <w:tcPr>
            <w:tcW w:w="1680" w:type="dxa"/>
            <w:tcBorders>
              <w:bottom w:val="single" w:sz="12" w:space="0" w:color="auto"/>
            </w:tcBorders>
          </w:tcPr>
          <w:p w:rsidR="00AE00E3" w:rsidRPr="00C22569" w:rsidRDefault="00AE00E3" w:rsidP="00F37C80">
            <w:pPr>
              <w:pStyle w:val="MSDS-TZeile"/>
              <w:ind w:left="0"/>
              <w:jc w:val="both"/>
              <w:rPr>
                <w:rFonts w:ascii="Times New Roman" w:hAnsi="Times New Roman" w:cs="Times New Roman"/>
                <w:lang w:val="en-US"/>
              </w:rPr>
            </w:pPr>
          </w:p>
        </w:tc>
      </w:tr>
    </w:tbl>
    <w:p w:rsidR="0016485A" w:rsidRDefault="00B320DF" w:rsidP="00F37C80">
      <w:pPr>
        <w:pStyle w:val="MSDS-TUZeile"/>
        <w:jc w:val="both"/>
        <w:rPr>
          <w:rFonts w:ascii="Times New Roman" w:hAnsi="Times New Roman" w:cs="Times New Roman"/>
          <w:szCs w:val="20"/>
          <w:lang w:val="en-US"/>
        </w:rPr>
      </w:pPr>
      <w:proofErr w:type="gramStart"/>
      <w:r w:rsidRPr="00D93802">
        <w:rPr>
          <w:rFonts w:ascii="Times New Roman" w:hAnsi="Times New Roman" w:cs="Times New Roman"/>
          <w:szCs w:val="20"/>
          <w:lang w:val="en-US"/>
        </w:rPr>
        <w:t>a</w:t>
      </w:r>
      <w:proofErr w:type="gramEnd"/>
      <w:r w:rsidRPr="00D93802">
        <w:rPr>
          <w:rFonts w:ascii="Times New Roman" w:hAnsi="Times New Roman" w:cs="Times New Roman"/>
          <w:szCs w:val="20"/>
          <w:lang w:val="en-US"/>
        </w:rPr>
        <w:t xml:space="preserve"> </w:t>
      </w:r>
      <w:r w:rsidRPr="00332034">
        <w:rPr>
          <w:rFonts w:ascii="Times New Roman" w:hAnsi="Times New Roman" w:cs="Times New Roman"/>
          <w:szCs w:val="20"/>
          <w:lang w:val="en-US"/>
        </w:rPr>
        <w:t>All assays were carried out with and without S9</w:t>
      </w:r>
    </w:p>
    <w:p w:rsidR="00204A39" w:rsidRPr="001B463B" w:rsidRDefault="00204A39" w:rsidP="00D93802">
      <w:pPr>
        <w:pStyle w:val="Heading8"/>
        <w:spacing w:before="240"/>
        <w:jc w:val="both"/>
      </w:pPr>
      <w:r w:rsidRPr="001B463B">
        <w:t>Conclusion</w:t>
      </w:r>
    </w:p>
    <w:p w:rsidR="00747AA4" w:rsidRPr="00F37C80" w:rsidRDefault="002E753B" w:rsidP="00F37C80">
      <w:pPr>
        <w:pStyle w:val="BodyText"/>
        <w:rPr>
          <w:i/>
          <w:lang w:val="en-US"/>
        </w:rPr>
      </w:pPr>
      <w:r w:rsidRPr="002D1503">
        <w:rPr>
          <w:i/>
          <w:lang w:val="en-US"/>
        </w:rPr>
        <w:t xml:space="preserve">In vitro </w:t>
      </w:r>
      <w:r w:rsidRPr="002D1503">
        <w:rPr>
          <w:lang w:val="en-US"/>
        </w:rPr>
        <w:t xml:space="preserve">bacterial mutagenicity studies are available for nitromethane, nitroethane, and 1-nitropropane.  </w:t>
      </w:r>
      <w:r w:rsidRPr="002D1503">
        <w:rPr>
          <w:i/>
          <w:lang w:val="en-US"/>
        </w:rPr>
        <w:t xml:space="preserve">In vivo </w:t>
      </w:r>
      <w:r w:rsidRPr="002D1503">
        <w:rPr>
          <w:lang w:val="en-US"/>
        </w:rPr>
        <w:t xml:space="preserve">genotoxicity was evaluated in all three category members.  High concentrations of nitromethane and nitroethane in air did not induce gene mutations in bacteria.  1-Nitropropane did not induce micronuclei in mouse or rat bone marrow </w:t>
      </w:r>
      <w:r w:rsidRPr="002D1503">
        <w:rPr>
          <w:i/>
          <w:lang w:val="en-US"/>
        </w:rPr>
        <w:t xml:space="preserve">in vivo </w:t>
      </w:r>
      <w:r w:rsidRPr="002D1503">
        <w:rPr>
          <w:lang w:val="en-US"/>
        </w:rPr>
        <w:t xml:space="preserve">but was positive for micronuclei in rat liver cells </w:t>
      </w:r>
      <w:r w:rsidRPr="002D1503">
        <w:rPr>
          <w:i/>
          <w:lang w:val="en-US"/>
        </w:rPr>
        <w:t>in vivo.</w:t>
      </w:r>
      <w:r w:rsidRPr="002D1503">
        <w:rPr>
          <w:lang w:val="en-US"/>
        </w:rPr>
        <w:t xml:space="preserve">  The members of the short chain nitropraraffins category did not result in genotoxicity </w:t>
      </w:r>
      <w:r w:rsidRPr="002D1503">
        <w:rPr>
          <w:i/>
          <w:lang w:val="en-US"/>
        </w:rPr>
        <w:t>in vitro</w:t>
      </w:r>
      <w:r w:rsidRPr="002D1503">
        <w:rPr>
          <w:lang w:val="en-US"/>
        </w:rPr>
        <w:t xml:space="preserve">, but may result in genotoxicity </w:t>
      </w:r>
      <w:r w:rsidRPr="002D1503">
        <w:rPr>
          <w:i/>
          <w:lang w:val="en-US"/>
        </w:rPr>
        <w:t>in vivo.</w:t>
      </w:r>
    </w:p>
    <w:p w:rsidR="00CE20DB" w:rsidRDefault="00D8614C" w:rsidP="00D8614C">
      <w:pPr>
        <w:pStyle w:val="Heading3"/>
        <w:numPr>
          <w:ilvl w:val="0"/>
          <w:numId w:val="0"/>
        </w:numPr>
        <w:ind w:left="839" w:hanging="839"/>
      </w:pPr>
      <w:bookmarkStart w:id="100" w:name="_Toc32726035"/>
      <w:bookmarkStart w:id="101" w:name="_Toc32727218"/>
      <w:bookmarkStart w:id="102" w:name="_Toc147824548"/>
      <w:r>
        <w:t>3.1.7</w:t>
      </w:r>
      <w:r>
        <w:tab/>
      </w:r>
      <w:r w:rsidR="00B320DF" w:rsidRPr="00F37C80">
        <w:t>Carcinogenicity</w:t>
      </w:r>
      <w:bookmarkEnd w:id="100"/>
      <w:bookmarkEnd w:id="101"/>
      <w:bookmarkEnd w:id="102"/>
      <w:r w:rsidR="00B320DF" w:rsidRPr="00F37C80">
        <w:t xml:space="preserve"> </w:t>
      </w:r>
    </w:p>
    <w:p w:rsidR="00A365C8" w:rsidRPr="006D681E" w:rsidRDefault="00204A39" w:rsidP="00F37C80">
      <w:pPr>
        <w:pStyle w:val="BodyText"/>
      </w:pPr>
      <w:r w:rsidRPr="004C1D92">
        <w:t xml:space="preserve">Chronic toxicity/carcinogenicity data </w:t>
      </w:r>
      <w:r w:rsidR="00937054" w:rsidRPr="004C1D92">
        <w:t>are available for</w:t>
      </w:r>
      <w:r w:rsidRPr="004C1D92">
        <w:t xml:space="preserve"> </w:t>
      </w:r>
      <w:r w:rsidR="00952CD9" w:rsidRPr="004C1D92">
        <w:t>nitromethane (two rat studies, one mouse study) and nitroethane (rat study)</w:t>
      </w:r>
      <w:r w:rsidR="00DA2AD6" w:rsidRPr="004C1D92">
        <w:t xml:space="preserve"> via the inhalation route</w:t>
      </w:r>
      <w:r w:rsidRPr="004C1D92">
        <w:t xml:space="preserve">. </w:t>
      </w:r>
      <w:r w:rsidR="00A365C8">
        <w:t xml:space="preserve"> A chronic study was conducted in rats with 1-nitropropane.</w:t>
      </w:r>
    </w:p>
    <w:p w:rsidR="00204A39" w:rsidRPr="006D681E" w:rsidRDefault="006D681E" w:rsidP="00F37C80">
      <w:pPr>
        <w:pStyle w:val="Heading9"/>
        <w:jc w:val="both"/>
      </w:pPr>
      <w:r w:rsidRPr="006D681E">
        <w:t>Inhalation</w:t>
      </w:r>
    </w:p>
    <w:p w:rsidR="00C6318D" w:rsidRDefault="00B51C50" w:rsidP="00F37C80">
      <w:pPr>
        <w:jc w:val="both"/>
        <w:rPr>
          <w:snapToGrid w:val="0"/>
        </w:rPr>
      </w:pPr>
      <w:proofErr w:type="gramStart"/>
      <w:r w:rsidRPr="00B51C50">
        <w:rPr>
          <w:i/>
          <w:u w:val="single"/>
        </w:rPr>
        <w:t>Nitromethane</w:t>
      </w:r>
      <w:r>
        <w:t xml:space="preserve">  </w:t>
      </w:r>
      <w:r w:rsidR="007D70C2">
        <w:t>The</w:t>
      </w:r>
      <w:proofErr w:type="gramEnd"/>
      <w:r w:rsidR="007D70C2">
        <w:t xml:space="preserve"> effect of long-term (103 weeks), repeated inhalation exposure</w:t>
      </w:r>
      <w:r w:rsidR="00A365C8">
        <w:t xml:space="preserve"> (6 hours/day, 5 days/week)</w:t>
      </w:r>
      <w:r w:rsidR="007D70C2">
        <w:t xml:space="preserve"> to 94, 188 or 375 ppm nitromethane</w:t>
      </w:r>
      <w:r w:rsidR="00095008">
        <w:t xml:space="preserve"> (approximately 0.23, 0.47, and 0.94 mg/L)</w:t>
      </w:r>
      <w:r w:rsidR="007D70C2">
        <w:t xml:space="preserve"> on </w:t>
      </w:r>
      <w:r w:rsidR="00C6318D">
        <w:t xml:space="preserve">Fischer 344 </w:t>
      </w:r>
      <w:r w:rsidR="007D70C2">
        <w:t xml:space="preserve">rats </w:t>
      </w:r>
      <w:r w:rsidR="00C6318D">
        <w:t xml:space="preserve">(50/sex/group) </w:t>
      </w:r>
      <w:r w:rsidR="007D70C2">
        <w:t xml:space="preserve">and 188, 375 or 750 </w:t>
      </w:r>
      <w:r w:rsidR="00095008">
        <w:t xml:space="preserve">ppm (approximately 0.47, 0.94, and 1.9 mg/L) </w:t>
      </w:r>
      <w:r w:rsidR="007D70C2">
        <w:t xml:space="preserve">in </w:t>
      </w:r>
      <w:r w:rsidR="00C6318D">
        <w:t xml:space="preserve">B6C3F1 </w:t>
      </w:r>
      <w:r w:rsidR="007D70C2">
        <w:t xml:space="preserve">mice </w:t>
      </w:r>
      <w:r w:rsidR="00C6318D">
        <w:t xml:space="preserve">(50/sex/group) </w:t>
      </w:r>
      <w:r w:rsidR="00761353">
        <w:t>h</w:t>
      </w:r>
      <w:r w:rsidR="00604C6D">
        <w:t>ave</w:t>
      </w:r>
      <w:r w:rsidR="00761353">
        <w:t xml:space="preserve"> been evaluated</w:t>
      </w:r>
      <w:r w:rsidR="007D70C2">
        <w:t xml:space="preserve"> (</w:t>
      </w:r>
      <w:r w:rsidR="007D70C2">
        <w:rPr>
          <w:snapToGrid w:val="0"/>
        </w:rPr>
        <w:t xml:space="preserve">USDHHS, 1997).  In the rat study, there was no evidence of carcinogenic activity in males and no effect of exposure to 94 ppm on tumor incidences. </w:t>
      </w:r>
      <w:r w:rsidR="00C6318D">
        <w:rPr>
          <w:snapToGrid w:val="0"/>
        </w:rPr>
        <w:t xml:space="preserve"> </w:t>
      </w:r>
      <w:r w:rsidR="007D70C2">
        <w:rPr>
          <w:snapToGrid w:val="0"/>
        </w:rPr>
        <w:t>The incidences of mammary gland fibroadenoma</w:t>
      </w:r>
      <w:r w:rsidR="00FF2AAA">
        <w:rPr>
          <w:snapToGrid w:val="0"/>
        </w:rPr>
        <w:t xml:space="preserve"> (66%)</w:t>
      </w:r>
      <w:r w:rsidR="007D70C2">
        <w:rPr>
          <w:snapToGrid w:val="0"/>
        </w:rPr>
        <w:t>, fibroadenoma or adenoma (combined)</w:t>
      </w:r>
      <w:r w:rsidR="00FF2AAA">
        <w:rPr>
          <w:snapToGrid w:val="0"/>
        </w:rPr>
        <w:t xml:space="preserve"> (66%)</w:t>
      </w:r>
      <w:r w:rsidR="007D70C2">
        <w:rPr>
          <w:snapToGrid w:val="0"/>
        </w:rPr>
        <w:t xml:space="preserve">, and fibroadenoma, adenoma, or carcinoma (combined) </w:t>
      </w:r>
      <w:r w:rsidR="00FF2AAA">
        <w:rPr>
          <w:snapToGrid w:val="0"/>
        </w:rPr>
        <w:t xml:space="preserve">(68%) </w:t>
      </w:r>
      <w:r w:rsidR="007D70C2">
        <w:rPr>
          <w:snapToGrid w:val="0"/>
        </w:rPr>
        <w:t>were increased in female rats exposed to 188 ppm</w:t>
      </w:r>
      <w:r w:rsidR="00FF2AAA">
        <w:rPr>
          <w:snapToGrid w:val="0"/>
        </w:rPr>
        <w:t xml:space="preserve"> versus controls (38%, 40% and 42%, respectively)</w:t>
      </w:r>
      <w:r w:rsidR="00C6318D">
        <w:rPr>
          <w:snapToGrid w:val="0"/>
        </w:rPr>
        <w:t xml:space="preserve">.  At 375 ppm, the incidence of </w:t>
      </w:r>
      <w:r w:rsidR="00FF2AAA">
        <w:rPr>
          <w:snapToGrid w:val="0"/>
        </w:rPr>
        <w:t xml:space="preserve">mammary gland </w:t>
      </w:r>
      <w:r w:rsidR="00C6318D">
        <w:rPr>
          <w:snapToGrid w:val="0"/>
        </w:rPr>
        <w:t>fibroadenoma</w:t>
      </w:r>
      <w:r w:rsidR="00FF2AAA">
        <w:rPr>
          <w:snapToGrid w:val="0"/>
        </w:rPr>
        <w:t>s</w:t>
      </w:r>
      <w:r w:rsidR="00C6318D">
        <w:rPr>
          <w:snapToGrid w:val="0"/>
        </w:rPr>
        <w:t xml:space="preserve"> was 72%</w:t>
      </w:r>
      <w:proofErr w:type="gramStart"/>
      <w:r w:rsidR="003D43DF">
        <w:rPr>
          <w:snapToGrid w:val="0"/>
        </w:rPr>
        <w:t>;</w:t>
      </w:r>
      <w:r w:rsidR="00FF2AAA">
        <w:rPr>
          <w:snapToGrid w:val="0"/>
        </w:rPr>
        <w:t>,</w:t>
      </w:r>
      <w:proofErr w:type="gramEnd"/>
      <w:r w:rsidR="00FF2AAA">
        <w:rPr>
          <w:snapToGrid w:val="0"/>
        </w:rPr>
        <w:t xml:space="preserve"> i</w:t>
      </w:r>
      <w:r w:rsidR="007D70C2">
        <w:rPr>
          <w:snapToGrid w:val="0"/>
        </w:rPr>
        <w:t xml:space="preserve">ncidences of </w:t>
      </w:r>
      <w:r w:rsidR="00D8212B">
        <w:rPr>
          <w:snapToGrid w:val="0"/>
        </w:rPr>
        <w:t>fibroadenoma plus adenoma in mammary glands was 72%</w:t>
      </w:r>
      <w:r w:rsidR="00FF2AAA">
        <w:rPr>
          <w:snapToGrid w:val="0"/>
        </w:rPr>
        <w:t>, and the combination of fibroadenoma, adenoma or carcinoma in the mammary gland was 82%</w:t>
      </w:r>
      <w:r w:rsidR="00D8212B">
        <w:rPr>
          <w:snapToGrid w:val="0"/>
        </w:rPr>
        <w:t xml:space="preserve">.  At this concentration, carcinoma of the mammary gland was 22% and adenoma or carcinoma of the mammary gland was 26% versus 4% and 8% in controls, respectively.  </w:t>
      </w:r>
      <w:r w:rsidR="007D70C2">
        <w:rPr>
          <w:snapToGrid w:val="0"/>
        </w:rPr>
        <w:t xml:space="preserve">Clinical findings in rats were consistent with incidences of mammary gland neoplasms and hindlimb paralysis was not observed.  </w:t>
      </w:r>
    </w:p>
    <w:p w:rsidR="007D70C2" w:rsidRDefault="00C6318D" w:rsidP="00F37C80">
      <w:pPr>
        <w:jc w:val="both"/>
      </w:pPr>
      <w:r>
        <w:rPr>
          <w:snapToGrid w:val="0"/>
        </w:rPr>
        <w:t>In mice</w:t>
      </w:r>
      <w:r w:rsidR="007D70C2">
        <w:rPr>
          <w:snapToGrid w:val="0"/>
        </w:rPr>
        <w:t xml:space="preserve">, the target organs were the Harderian gland, lung, liver and nose.  </w:t>
      </w:r>
      <w:r w:rsidR="00460F65">
        <w:rPr>
          <w:snapToGrid w:val="0"/>
        </w:rPr>
        <w:t>At 375 ppm, i</w:t>
      </w:r>
      <w:r w:rsidR="007D70C2">
        <w:rPr>
          <w:snapToGrid w:val="0"/>
        </w:rPr>
        <w:t>ncidences of Harderian gland adenoma</w:t>
      </w:r>
      <w:r w:rsidR="00460F65">
        <w:rPr>
          <w:snapToGrid w:val="0"/>
        </w:rPr>
        <w:t xml:space="preserve"> (38% and 32% in males and females, respectively) were higher than controls (18% and 10% in males and females).  </w:t>
      </w:r>
      <w:r w:rsidR="007D70C2">
        <w:rPr>
          <w:snapToGrid w:val="0"/>
        </w:rPr>
        <w:t xml:space="preserve"> </w:t>
      </w:r>
      <w:r w:rsidR="00460F65">
        <w:rPr>
          <w:snapToGrid w:val="0"/>
        </w:rPr>
        <w:t xml:space="preserve">The combination of </w:t>
      </w:r>
      <w:r w:rsidR="007D70C2">
        <w:rPr>
          <w:snapToGrid w:val="0"/>
        </w:rPr>
        <w:t xml:space="preserve">adenoma </w:t>
      </w:r>
      <w:r w:rsidR="00460F65">
        <w:rPr>
          <w:snapToGrid w:val="0"/>
        </w:rPr>
        <w:t xml:space="preserve">or </w:t>
      </w:r>
      <w:r w:rsidR="007D70C2">
        <w:rPr>
          <w:snapToGrid w:val="0"/>
        </w:rPr>
        <w:t xml:space="preserve">carcinoma </w:t>
      </w:r>
      <w:r w:rsidR="00460F65">
        <w:rPr>
          <w:snapToGrid w:val="0"/>
        </w:rPr>
        <w:t xml:space="preserve">of the Harderian gland was also increased (50% and 40% in males and females, respectively) at </w:t>
      </w:r>
      <w:r w:rsidR="007D70C2">
        <w:rPr>
          <w:snapToGrid w:val="0"/>
        </w:rPr>
        <w:t>375 ppm</w:t>
      </w:r>
      <w:r w:rsidR="00460F65">
        <w:rPr>
          <w:snapToGrid w:val="0"/>
        </w:rPr>
        <w:t xml:space="preserve"> compared with controls (20% and 12% in males and females, respectively)</w:t>
      </w:r>
      <w:r w:rsidR="007D70C2">
        <w:rPr>
          <w:snapToGrid w:val="0"/>
        </w:rPr>
        <w:t xml:space="preserve">.  </w:t>
      </w:r>
      <w:r w:rsidR="00460F65">
        <w:rPr>
          <w:snapToGrid w:val="0"/>
        </w:rPr>
        <w:t xml:space="preserve">At 750 ppm, Harderian gland adenomas were 64% and 38% in males and females, respectively.  The combination of adenomas and carcinomas of </w:t>
      </w:r>
      <w:r w:rsidR="007F1283">
        <w:rPr>
          <w:snapToGrid w:val="0"/>
        </w:rPr>
        <w:t>the Harderian</w:t>
      </w:r>
      <w:r w:rsidR="00460F65">
        <w:rPr>
          <w:snapToGrid w:val="0"/>
        </w:rPr>
        <w:t xml:space="preserve"> gland </w:t>
      </w:r>
      <w:r w:rsidR="007F1283">
        <w:rPr>
          <w:snapToGrid w:val="0"/>
        </w:rPr>
        <w:t xml:space="preserve">at this concentration </w:t>
      </w:r>
      <w:r w:rsidR="00460F65">
        <w:rPr>
          <w:snapToGrid w:val="0"/>
        </w:rPr>
        <w:t xml:space="preserve">were 74% and 42% in males and females, respectively.  </w:t>
      </w:r>
      <w:r w:rsidR="007D70C2">
        <w:t xml:space="preserve">Clinical findings (swelling around the eyes and exophthalmos) coincided with the presence of Harderian gland neoplasms. </w:t>
      </w:r>
      <w:r>
        <w:t xml:space="preserve"> </w:t>
      </w:r>
      <w:r w:rsidR="007D70C2">
        <w:t xml:space="preserve">The incidences of alveolar/bronchiolar carcinomas in males exposed to 750 ppm </w:t>
      </w:r>
      <w:r w:rsidR="007F1283">
        <w:t xml:space="preserve">(22%) </w:t>
      </w:r>
      <w:r w:rsidR="007D70C2">
        <w:t xml:space="preserve">and females exposed to 375 ppm </w:t>
      </w:r>
      <w:r w:rsidR="007F1283">
        <w:t xml:space="preserve">(10%) </w:t>
      </w:r>
      <w:r w:rsidR="007D70C2">
        <w:t>also were increased relative to controls</w:t>
      </w:r>
      <w:r w:rsidR="007F1283">
        <w:t xml:space="preserve"> (4% in males; 0% in females)</w:t>
      </w:r>
      <w:r w:rsidR="007D70C2">
        <w:t xml:space="preserve">.  Females in the 750 ppm group also had significant increases in the incidences of alveolar/bronchiolar adenoma or carcinoma (combined) </w:t>
      </w:r>
      <w:r w:rsidR="008C33B7">
        <w:t xml:space="preserve">(80%) </w:t>
      </w:r>
      <w:r w:rsidR="007D70C2">
        <w:t xml:space="preserve">and a slightly greater incidence of alveolar/bronchiolar adenoma </w:t>
      </w:r>
      <w:r w:rsidR="008C33B7">
        <w:t xml:space="preserve">(70%) </w:t>
      </w:r>
      <w:r w:rsidR="007D70C2">
        <w:t>than controls</w:t>
      </w:r>
      <w:r w:rsidR="008C33B7">
        <w:t xml:space="preserve"> (38% and 28%, respectively)</w:t>
      </w:r>
      <w:r w:rsidR="007D70C2">
        <w:t xml:space="preserve">.  The incidences of several nonneoplastic nasal lesions were generally greater in exposed rats than controls.  The lesions included degeneration and metaplasia of the olfactory epithelium and hyaline degeneration of the respiratory epithelium.  Female mice in the 188 and 750 ppm groups also had significant increases in the incidences of hepatocellular adenoma and adenoma or carcinoma (combined).  </w:t>
      </w:r>
    </w:p>
    <w:p w:rsidR="007D70C2" w:rsidRDefault="007D70C2" w:rsidP="00F37C80">
      <w:pPr>
        <w:jc w:val="both"/>
      </w:pPr>
      <w:r>
        <w:t xml:space="preserve">Based on the results of the aforementioned study, the NTP concluded there was no evidence of carcinogenesis in male F344 rats and clear evidence in female F344 rats (based on increased incidences of mammary gland neoplasms at concentrations ≥ 188 ppm).  There was clear evidence of carcinogenic activity in male B6C3F1 mice (based on increased incidences of Harderian gland tumors at concentrations ≥ 375 ppm).  There also was clear evidence of carcinogenic activity in female B6C3F1 mice (based on increased incidences of liver neoplasms at concentrations ≥ 188 ppm and Harderian gland tumors at concentrations </w:t>
      </w:r>
      <w:r w:rsidRPr="007D70C2">
        <w:rPr>
          <w:u w:val="single"/>
        </w:rPr>
        <w:t>&gt;</w:t>
      </w:r>
      <w:r>
        <w:t>375 ppm).  Increased incidences of alveolar/bronchiolar tumors in male and female mice also were considered by the NTP to be related to administration of nitromethane.</w:t>
      </w:r>
    </w:p>
    <w:p w:rsidR="007D70C2" w:rsidRDefault="007D70C2" w:rsidP="00F37C80">
      <w:pPr>
        <w:jc w:val="both"/>
      </w:pPr>
      <w:r>
        <w:t xml:space="preserve">In an earlier study, repeated inhalation of up to 200 ppm nitromethane for a period of 2 years </w:t>
      </w:r>
      <w:r w:rsidR="00E624DE">
        <w:t xml:space="preserve">(6hours/day, 5 days/week) </w:t>
      </w:r>
      <w:r>
        <w:t>had no effect on tumor incidences in Long-Evans rats</w:t>
      </w:r>
      <w:r w:rsidR="00C650D0">
        <w:t xml:space="preserve"> (40/sex/group)</w:t>
      </w:r>
      <w:r>
        <w:t xml:space="preserve"> (Griffin, 1990). </w:t>
      </w:r>
      <w:r w:rsidR="00C650D0">
        <w:t xml:space="preserve"> </w:t>
      </w:r>
      <w:r>
        <w:t xml:space="preserve">Additionally, there was no effect of exposure on the distribution of nonneoplastic lesions, organ weights, serum chemistry or hematology.  The only effect that could be attributed to administration of test material was reduced female body weight, which was observed at both concentrations tested (100 and 200 ppm).  </w:t>
      </w:r>
    </w:p>
    <w:p w:rsidR="00B51C50" w:rsidRDefault="00B51C50" w:rsidP="00F37C80">
      <w:pPr>
        <w:jc w:val="both"/>
        <w:rPr>
          <w:i/>
          <w:u w:val="single"/>
        </w:rPr>
      </w:pPr>
    </w:p>
    <w:p w:rsidR="00B51C50" w:rsidRDefault="00B51C50" w:rsidP="00F37C80">
      <w:pPr>
        <w:jc w:val="both"/>
      </w:pPr>
      <w:proofErr w:type="gramStart"/>
      <w:r w:rsidRPr="00B51C50">
        <w:rPr>
          <w:i/>
          <w:u w:val="single"/>
        </w:rPr>
        <w:t>Nitroethane</w:t>
      </w:r>
      <w:r w:rsidR="000A14C8">
        <w:rPr>
          <w:i/>
          <w:u w:val="single"/>
        </w:rPr>
        <w:t>.</w:t>
      </w:r>
      <w:proofErr w:type="gramEnd"/>
      <w:r>
        <w:t xml:space="preserve">  The effect of long-term (two year), repeated inhalation exposure to 100 or 200 ppm nitroethane </w:t>
      </w:r>
      <w:r w:rsidR="00E624DE">
        <w:t xml:space="preserve">(7 hours/day, 5 days/week) </w:t>
      </w:r>
      <w:r>
        <w:t xml:space="preserve">has been studied in Long-Evans rats </w:t>
      </w:r>
      <w:r w:rsidR="000A14C8">
        <w:t xml:space="preserve">(40/sex/group) </w:t>
      </w:r>
      <w:r>
        <w:t xml:space="preserve">(Griffin </w:t>
      </w:r>
      <w:r w:rsidRPr="00B51C50">
        <w:rPr>
          <w:i/>
        </w:rPr>
        <w:t>et al</w:t>
      </w:r>
      <w:r>
        <w:t xml:space="preserve">., 1986, 1988).  </w:t>
      </w:r>
      <w:r w:rsidR="00261517">
        <w:t>The concentrations used in the study were chosen based on information related to concentrations at which local effects were observed (i.e., 200 ppm in females and above 200ppm in males).  T</w:t>
      </w:r>
      <w:r>
        <w:t xml:space="preserve">he </w:t>
      </w:r>
      <w:r w:rsidR="00E624DE">
        <w:t>n</w:t>
      </w:r>
      <w:r w:rsidR="00CE105A">
        <w:t>umber</w:t>
      </w:r>
      <w:r w:rsidR="00E624DE">
        <w:t xml:space="preserve"> </w:t>
      </w:r>
      <w:r>
        <w:t>of tumors in control</w:t>
      </w:r>
      <w:r w:rsidR="00261517">
        <w:t>s</w:t>
      </w:r>
      <w:r>
        <w:t>, 100 and 200 ppm were 46, 44 and 33</w:t>
      </w:r>
      <w:r w:rsidR="00261517">
        <w:t xml:space="preserve"> (males) and 46, 56 and 45 (females)</w:t>
      </w:r>
      <w:r>
        <w:t xml:space="preserve">.  </w:t>
      </w:r>
      <w:r w:rsidR="00261517">
        <w:t>Thus, f</w:t>
      </w:r>
      <w:r>
        <w:t xml:space="preserve">emales exposed to 100 ppm (but not 200 ppm) had slight increases in the numbers of tumors. </w:t>
      </w:r>
      <w:r w:rsidR="000A14C8">
        <w:t xml:space="preserve"> </w:t>
      </w:r>
      <w:r>
        <w:t xml:space="preserve">The increase in tumors in females appeared to be related to the increased frequency of metastases (primarily epithelial) in the kidneys (3 in treated vs. 0 in control), lung (4 in treated vs. 1 in control), pancreas (3 in treated vs. 0 in control) and liver (4 in treated vs. 0 in control).  Since the effects observed at 100 ppm in females were not observed in females exposed to 200 </w:t>
      </w:r>
      <w:r w:rsidR="00E624DE">
        <w:t>p</w:t>
      </w:r>
      <w:r>
        <w:t>pm, they did not appear to be related to treatment.</w:t>
      </w:r>
      <w:r w:rsidR="009E284A">
        <w:t xml:space="preserve"> </w:t>
      </w:r>
      <w:r>
        <w:t xml:space="preserve"> Therefore, the conclusion made from this study is that nitroethane is not carcinogenic to Long-Evans rats at the concentrations tested.</w:t>
      </w:r>
      <w:r w:rsidR="00964F9E">
        <w:t xml:space="preserve">  </w:t>
      </w:r>
    </w:p>
    <w:p w:rsidR="00B51C50" w:rsidRDefault="00B51C50" w:rsidP="00F37C80">
      <w:pPr>
        <w:jc w:val="both"/>
      </w:pPr>
    </w:p>
    <w:p w:rsidR="00CE105A" w:rsidRDefault="00B51C50" w:rsidP="00F37C80">
      <w:pPr>
        <w:jc w:val="both"/>
      </w:pPr>
      <w:r w:rsidRPr="00B51C50">
        <w:rPr>
          <w:i/>
          <w:u w:val="single"/>
        </w:rPr>
        <w:t>1-Nitropropane</w:t>
      </w:r>
      <w:r>
        <w:t xml:space="preserve">    In a chronic toxicity study, inhalation of 100 ppm of the related material 1-nitropropane </w:t>
      </w:r>
      <w:proofErr w:type="gramStart"/>
      <w:r>
        <w:t xml:space="preserve">for </w:t>
      </w:r>
      <w:r w:rsidR="005F5D87">
        <w:t>7 hrs/day for 5 days/week</w:t>
      </w:r>
      <w:proofErr w:type="gramEnd"/>
      <w:r w:rsidR="005F5D87">
        <w:t xml:space="preserve"> for </w:t>
      </w:r>
      <w:r>
        <w:t xml:space="preserve">a period of up to 21.5 months had no effect on tumor incidences in male and female Long-Evans rats (Griffin </w:t>
      </w:r>
      <w:r w:rsidRPr="00B51C50">
        <w:rPr>
          <w:i/>
        </w:rPr>
        <w:t>et al</w:t>
      </w:r>
      <w:r>
        <w:t>., 1982).</w:t>
      </w:r>
      <w:r w:rsidR="00964F9E">
        <w:t xml:space="preserve">  The low concentrations utilized were </w:t>
      </w:r>
      <w:r w:rsidR="005F5D87">
        <w:t xml:space="preserve">chosen </w:t>
      </w:r>
      <w:r w:rsidR="00964F9E">
        <w:t>because local effects observed at greater than 100 ppm</w:t>
      </w:r>
      <w:r w:rsidR="005F5D87">
        <w:t xml:space="preserve"> in other studies</w:t>
      </w:r>
      <w:r w:rsidR="00964F9E">
        <w:t>.</w:t>
      </w:r>
    </w:p>
    <w:p w:rsidR="00CE105A" w:rsidRDefault="00CE105A" w:rsidP="00D93802">
      <w:pPr>
        <w:pStyle w:val="Heading9"/>
        <w:spacing w:before="240"/>
      </w:pPr>
      <w:r>
        <w:t>Oral</w:t>
      </w:r>
    </w:p>
    <w:p w:rsidR="00B51C50" w:rsidRPr="00F37C80" w:rsidRDefault="00CE105A" w:rsidP="00F37C80">
      <w:pPr>
        <w:jc w:val="both"/>
        <w:rPr>
          <w:i/>
        </w:rPr>
      </w:pPr>
      <w:r w:rsidRPr="00B51C50">
        <w:rPr>
          <w:i/>
          <w:u w:val="single"/>
        </w:rPr>
        <w:t>1-Nitropropane</w:t>
      </w:r>
      <w:r>
        <w:t xml:space="preserve">    </w:t>
      </w:r>
      <w:r w:rsidR="00B51C50">
        <w:t xml:space="preserve">Oral administration of 89.1 mg/kg bw/day 1-nitropropane to </w:t>
      </w:r>
      <w:r>
        <w:t xml:space="preserve">26 </w:t>
      </w:r>
      <w:r w:rsidR="00B51C50">
        <w:t xml:space="preserve">Sprague-Dawley rats for 26 weeks </w:t>
      </w:r>
      <w:r>
        <w:t xml:space="preserve">(3 times/week for 16 weeks and once/week for 10 weeks) with 51 weeks of postexposure </w:t>
      </w:r>
      <w:proofErr w:type="gramStart"/>
      <w:r>
        <w:t>observations,</w:t>
      </w:r>
      <w:proofErr w:type="gramEnd"/>
      <w:r>
        <w:t xml:space="preserve"> </w:t>
      </w:r>
      <w:r w:rsidR="00B51C50">
        <w:t xml:space="preserve">also was not associated with an increased incidence of tumors (Fiala </w:t>
      </w:r>
      <w:r w:rsidR="00B51C50" w:rsidRPr="00B51C50">
        <w:rPr>
          <w:i/>
        </w:rPr>
        <w:t>et al.</w:t>
      </w:r>
      <w:r w:rsidR="00B51C50">
        <w:t>, 1987).</w:t>
      </w:r>
    </w:p>
    <w:p w:rsidR="00095008" w:rsidRDefault="00204A39" w:rsidP="00D8614C">
      <w:pPr>
        <w:pStyle w:val="Heading8"/>
      </w:pPr>
      <w:r w:rsidRPr="00B51C50">
        <w:t>Conclusion</w:t>
      </w:r>
    </w:p>
    <w:p w:rsidR="005F5D87" w:rsidRDefault="005F5D87" w:rsidP="00332034">
      <w:pPr>
        <w:keepNext/>
        <w:keepLines/>
        <w:jc w:val="both"/>
      </w:pPr>
      <w:r>
        <w:t>N</w:t>
      </w:r>
      <w:r w:rsidR="00DA2AD6" w:rsidRPr="00DA2AD6">
        <w:t xml:space="preserve">itromethane </w:t>
      </w:r>
      <w:r w:rsidR="00A42416">
        <w:t>was</w:t>
      </w:r>
      <w:r w:rsidR="00DA2AD6" w:rsidRPr="00DA2AD6">
        <w:t xml:space="preserve"> </w:t>
      </w:r>
      <w:r>
        <w:t xml:space="preserve">determined to be </w:t>
      </w:r>
      <w:r w:rsidR="00DA2AD6" w:rsidRPr="00DA2AD6">
        <w:t xml:space="preserve">carcinogenic in mice and female rats via the inhalation route.  However, </w:t>
      </w:r>
      <w:r>
        <w:t xml:space="preserve">both nitroethane and 1-nitropropane showed no increase in tumors in rats via the inhalation route of exposure.  </w:t>
      </w:r>
    </w:p>
    <w:p w:rsidR="00095008" w:rsidRPr="00095008" w:rsidRDefault="005F5D87" w:rsidP="00F37C80">
      <w:pPr>
        <w:jc w:val="both"/>
        <w:rPr>
          <w:lang w:val="en-GB"/>
        </w:rPr>
      </w:pPr>
      <w:r>
        <w:t xml:space="preserve">Although there appear to be differences in results of these tests, </w:t>
      </w:r>
      <w:r w:rsidR="00680099">
        <w:t xml:space="preserve">there is insufficient evidence that </w:t>
      </w:r>
      <w:r w:rsidR="00DA2AD6" w:rsidRPr="00DA2AD6">
        <w:t xml:space="preserve">nitroethane and 1-nitropropane </w:t>
      </w:r>
      <w:r w:rsidR="00680099">
        <w:t xml:space="preserve">are </w:t>
      </w:r>
      <w:r w:rsidR="00DA2AD6" w:rsidRPr="00DA2AD6">
        <w:t xml:space="preserve">carcinogenic </w:t>
      </w:r>
      <w:r w:rsidR="00680099">
        <w:t>since only one species has been studied</w:t>
      </w:r>
      <w:r w:rsidR="00DA2AD6" w:rsidRPr="00DA2AD6">
        <w:t>.</w:t>
      </w:r>
      <w:r w:rsidR="00964F9E">
        <w:t xml:space="preserve">  </w:t>
      </w:r>
      <w:bookmarkStart w:id="103" w:name="_Toc32726036"/>
      <w:bookmarkStart w:id="104" w:name="_Toc32727219"/>
      <w:bookmarkStart w:id="105" w:name="_Toc147824549"/>
      <w:r>
        <w:t>Also, t</w:t>
      </w:r>
      <w:r w:rsidR="004853BA">
        <w:t>he studies for nitr</w:t>
      </w:r>
      <w:r>
        <w:t>o</w:t>
      </w:r>
      <w:r w:rsidR="004853BA">
        <w:t xml:space="preserve">ethane and 1-nitroporane were carried out at </w:t>
      </w:r>
      <w:r w:rsidR="00372F89">
        <w:t xml:space="preserve">concentrations </w:t>
      </w:r>
      <w:r w:rsidR="004853BA">
        <w:t xml:space="preserve">lower than those </w:t>
      </w:r>
      <w:r w:rsidR="00372F89">
        <w:t xml:space="preserve">showing positive evidence of carcinogenicity for </w:t>
      </w:r>
      <w:r w:rsidR="004853BA">
        <w:t>nitromethane</w:t>
      </w:r>
      <w:r w:rsidR="00372F89">
        <w:t xml:space="preserve">.  Thus, it is </w:t>
      </w:r>
      <w:r>
        <w:t xml:space="preserve">also </w:t>
      </w:r>
      <w:r w:rsidR="00372F89">
        <w:t>possible that differences in carcinogenicity are related to differences in exposure concentrations.</w:t>
      </w:r>
    </w:p>
    <w:p w:rsidR="00204A39" w:rsidRPr="00061D25" w:rsidRDefault="00D8614C" w:rsidP="00D8614C">
      <w:pPr>
        <w:pStyle w:val="Heading3"/>
        <w:numPr>
          <w:ilvl w:val="0"/>
          <w:numId w:val="0"/>
        </w:numPr>
        <w:ind w:left="839" w:hanging="839"/>
        <w:jc w:val="both"/>
      </w:pPr>
      <w:r>
        <w:t>3.1.8</w:t>
      </w:r>
      <w:r>
        <w:tab/>
      </w:r>
      <w:r w:rsidR="00095008">
        <w:t xml:space="preserve">Reproductive </w:t>
      </w:r>
      <w:r w:rsidR="00204A39" w:rsidRPr="00061D25">
        <w:t>Toxicity</w:t>
      </w:r>
      <w:bookmarkEnd w:id="103"/>
      <w:bookmarkEnd w:id="104"/>
      <w:bookmarkEnd w:id="105"/>
    </w:p>
    <w:p w:rsidR="00204A39" w:rsidRPr="00E5458D" w:rsidRDefault="007641E2" w:rsidP="00F37C80">
      <w:pPr>
        <w:pStyle w:val="BodyText"/>
        <w:rPr>
          <w:lang w:val="en-US"/>
        </w:rPr>
      </w:pPr>
      <w:r>
        <w:t>The reproductive organs of all category members were evaluated in repeated-dose toxicity studies.  Data for reproductive/developmental toxicity are available for 1-nitropropane</w:t>
      </w:r>
      <w:r w:rsidR="00C62F6B">
        <w:t xml:space="preserve"> and a developmental toxicity study is available for nitroethane</w:t>
      </w:r>
      <w:r>
        <w:t xml:space="preserve">. </w:t>
      </w:r>
    </w:p>
    <w:p w:rsidR="00204A39" w:rsidRPr="007641E2" w:rsidRDefault="00204A39" w:rsidP="00D8614C">
      <w:pPr>
        <w:pStyle w:val="Heading9"/>
      </w:pPr>
      <w:r w:rsidRPr="007641E2">
        <w:t xml:space="preserve">Effects on </w:t>
      </w:r>
      <w:r w:rsidR="007641E2" w:rsidRPr="007641E2">
        <w:t>f</w:t>
      </w:r>
      <w:r w:rsidRPr="007641E2">
        <w:t>ertility</w:t>
      </w:r>
      <w:r w:rsidR="00372F89">
        <w:t>/reproductive organs</w:t>
      </w:r>
    </w:p>
    <w:p w:rsidR="005D3143" w:rsidRDefault="005D3143" w:rsidP="00F37C80">
      <w:pPr>
        <w:jc w:val="both"/>
      </w:pPr>
      <w:r w:rsidRPr="005D3143">
        <w:rPr>
          <w:i/>
          <w:u w:val="single"/>
        </w:rPr>
        <w:t>Nitromethane</w:t>
      </w:r>
      <w:r w:rsidRPr="005D3143">
        <w:t xml:space="preserve">     </w:t>
      </w:r>
      <w:r w:rsidR="007641E2">
        <w:t>In the 13-week inhalation repeated exposures in rats, described in Section 3.1.5, there was</w:t>
      </w:r>
      <w:r>
        <w:t xml:space="preserve"> no effect </w:t>
      </w:r>
      <w:r w:rsidR="007641E2">
        <w:t xml:space="preserve">on the </w:t>
      </w:r>
      <w:r>
        <w:t xml:space="preserve">histopathology of male (prostate, testes, epididymides or seminal vesicle) or female (uterus or ovaries) </w:t>
      </w:r>
      <w:r w:rsidRPr="003D43DF">
        <w:t>reproductive organs</w:t>
      </w:r>
      <w:r w:rsidR="00A508E9" w:rsidRPr="003D43DF">
        <w:t xml:space="preserve"> (USDHHS, 1997)</w:t>
      </w:r>
      <w:r w:rsidRPr="003D43DF">
        <w:t xml:space="preserve">.  </w:t>
      </w:r>
      <w:r w:rsidR="007641E2" w:rsidRPr="003D43DF">
        <w:t xml:space="preserve">However, </w:t>
      </w:r>
      <w:r w:rsidR="00B320DF" w:rsidRPr="00F37C80">
        <w:t>a significant decrease in sperm mobility was noted in male rats exposed to 750 and 1500 ppm. Male rats exposed to 1500 ppm also had decreased cauda epididymis and testes weights.</w:t>
      </w:r>
      <w:r w:rsidR="00BE0C5C" w:rsidRPr="003D43DF">
        <w:t xml:space="preserve">  </w:t>
      </w:r>
      <w:r w:rsidR="00F56EFD" w:rsidRPr="003D43DF">
        <w:t>However, the</w:t>
      </w:r>
      <w:r w:rsidR="00F56EFD">
        <w:t xml:space="preserve"> effect on fertility was not determined since the animals were not mated.</w:t>
      </w:r>
      <w:r w:rsidR="00C002F3">
        <w:t xml:space="preserve"> </w:t>
      </w:r>
      <w:r w:rsidR="00BE0C5C">
        <w:t xml:space="preserve">In the two-year study, repeated inhalation exposure of </w:t>
      </w:r>
      <w:r>
        <w:t xml:space="preserve">rats </w:t>
      </w:r>
      <w:r w:rsidR="00BE0C5C">
        <w:t xml:space="preserve">to up to 200 ppm nitromethane </w:t>
      </w:r>
      <w:r>
        <w:t xml:space="preserve">showed no effect on male or female reproductive organs.  </w:t>
      </w:r>
    </w:p>
    <w:p w:rsidR="0045111F" w:rsidRDefault="0045111F" w:rsidP="00F37C80">
      <w:pPr>
        <w:jc w:val="both"/>
      </w:pPr>
      <w:r>
        <w:t xml:space="preserve">In the corresponding 13-week inhalation study in </w:t>
      </w:r>
      <w:r w:rsidR="00372F89">
        <w:t>mice</w:t>
      </w:r>
      <w:r>
        <w:t>, also found in Section 3.1.5, there was no effect on the histopathology of male (prostate, testes, epididymides or seminal vesicle) or female (uterus or ovaries) reproductive organs (USDHHS, 1997).  However, there was a significant decrease in sperm motility in male mice exposed to 375, 750, or 1500 ppm.</w:t>
      </w:r>
      <w:r w:rsidR="00F56EFD">
        <w:t xml:space="preserve">  </w:t>
      </w:r>
      <w:r w:rsidR="00372F89">
        <w:t>Again, t</w:t>
      </w:r>
      <w:r w:rsidR="00F56EFD">
        <w:t>he effect on fertility was not determined since the animals were not mated.</w:t>
      </w:r>
      <w:r>
        <w:t xml:space="preserve">  Female mice had a dose-dependent increase in </w:t>
      </w:r>
      <w:r w:rsidR="00372F89">
        <w:t>o</w:t>
      </w:r>
      <w:r>
        <w:t>estrous cycle length</w:t>
      </w:r>
      <w:r w:rsidR="00E3256D">
        <w:t xml:space="preserve"> at 375 ppm and above</w:t>
      </w:r>
      <w:r>
        <w:t xml:space="preserve">.  </w:t>
      </w:r>
    </w:p>
    <w:p w:rsidR="00CE20DB" w:rsidRDefault="005D3143" w:rsidP="00F37C80">
      <w:pPr>
        <w:spacing w:before="240"/>
        <w:jc w:val="both"/>
      </w:pPr>
      <w:r w:rsidRPr="005D3143">
        <w:rPr>
          <w:i/>
          <w:u w:val="single"/>
        </w:rPr>
        <w:t>Nitroethane</w:t>
      </w:r>
      <w:r w:rsidRPr="005D3143">
        <w:t xml:space="preserve">    </w:t>
      </w:r>
    </w:p>
    <w:p w:rsidR="00A12475" w:rsidRDefault="00A5397B" w:rsidP="00F37C80">
      <w:pPr>
        <w:jc w:val="both"/>
      </w:pPr>
      <w:r>
        <w:t>In the 13-week inhalation repeated exposures in rats, described in Section 3.1.5</w:t>
      </w:r>
      <w:r w:rsidR="00B67830">
        <w:t xml:space="preserve"> </w:t>
      </w:r>
      <w:r w:rsidR="00A508E9">
        <w:t xml:space="preserve">(Gushow </w:t>
      </w:r>
      <w:r w:rsidR="00A508E9" w:rsidRPr="00A508E9">
        <w:rPr>
          <w:i/>
        </w:rPr>
        <w:t>et al</w:t>
      </w:r>
      <w:r w:rsidR="00A508E9">
        <w:t>., 1982)</w:t>
      </w:r>
      <w:r>
        <w:t>,</w:t>
      </w:r>
      <w:r w:rsidR="00A508E9">
        <w:t xml:space="preserve"> </w:t>
      </w:r>
      <w:r w:rsidR="005D3143">
        <w:t xml:space="preserve">repeated inhalation of up to 1000 ppm </w:t>
      </w:r>
      <w:r>
        <w:t xml:space="preserve">nitroethane </w:t>
      </w:r>
      <w:r w:rsidR="005D3143">
        <w:t xml:space="preserve">had no effect </w:t>
      </w:r>
      <w:r>
        <w:t xml:space="preserve">on the </w:t>
      </w:r>
      <w:r w:rsidR="005D3143">
        <w:t xml:space="preserve">histopathology of male rat accessory sex glands, epididymides or testes or the uterus, cervix, oviducts or ovaries in female rats or mice.  </w:t>
      </w:r>
    </w:p>
    <w:p w:rsidR="005D3143" w:rsidRDefault="00A12475" w:rsidP="00F37C80">
      <w:pPr>
        <w:jc w:val="both"/>
      </w:pPr>
      <w:r>
        <w:t xml:space="preserve">In the corresponding study in mice (Gushow </w:t>
      </w:r>
      <w:r>
        <w:rPr>
          <w:i/>
        </w:rPr>
        <w:t>et al</w:t>
      </w:r>
      <w:proofErr w:type="gramStart"/>
      <w:r>
        <w:rPr>
          <w:i/>
        </w:rPr>
        <w:t xml:space="preserve">, </w:t>
      </w:r>
      <w:r>
        <w:t xml:space="preserve"> 1982</w:t>
      </w:r>
      <w:proofErr w:type="gramEnd"/>
      <w:r>
        <w:t xml:space="preserve">), </w:t>
      </w:r>
      <w:r w:rsidR="005D3143">
        <w:t>male mice</w:t>
      </w:r>
      <w:r>
        <w:t xml:space="preserve"> with</w:t>
      </w:r>
      <w:r w:rsidR="00C002F3">
        <w:t xml:space="preserve"> </w:t>
      </w:r>
      <w:r w:rsidR="005D3143">
        <w:t xml:space="preserve">repeated inhalation of 350 or 1000 ppm </w:t>
      </w:r>
      <w:r>
        <w:t>developed</w:t>
      </w:r>
      <w:r w:rsidR="005D3143">
        <w:t xml:space="preserve"> an increase in relative testicular weights.  Very slight to slight histopathological changes (bilateral, multifocal, and multinucleated spermatids) were noted in the testes of males exposed to 1000 ppm.  There was no effect of treatment with 100 ppm on testicular weights of male mice.   </w:t>
      </w:r>
    </w:p>
    <w:p w:rsidR="005D3143" w:rsidRPr="00D8614C" w:rsidRDefault="005D3143" w:rsidP="00F37C80">
      <w:pPr>
        <w:jc w:val="both"/>
        <w:rPr>
          <w:highlight w:val="cyan"/>
          <w:u w:val="single"/>
        </w:rPr>
      </w:pPr>
    </w:p>
    <w:p w:rsidR="00B67830" w:rsidRPr="00B67830" w:rsidRDefault="00B320DF" w:rsidP="00F37C80">
      <w:pPr>
        <w:jc w:val="both"/>
      </w:pPr>
      <w:proofErr w:type="gramStart"/>
      <w:r w:rsidRPr="00D8614C">
        <w:rPr>
          <w:i/>
          <w:u w:val="single"/>
        </w:rPr>
        <w:t>1-Nitropropane</w:t>
      </w:r>
      <w:r w:rsidR="003D43DF" w:rsidRPr="00D8614C">
        <w:rPr>
          <w:u w:val="single"/>
        </w:rPr>
        <w:t>.</w:t>
      </w:r>
      <w:proofErr w:type="gramEnd"/>
      <w:r w:rsidR="005D3143" w:rsidRPr="005D3143">
        <w:t xml:space="preserve">  </w:t>
      </w:r>
      <w:r w:rsidR="00FF0F9C">
        <w:t>In the combined repeated-dose/reproductive/developmental toxicity screening test described in Section 3.1.5</w:t>
      </w:r>
      <w:r w:rsidR="00E2465C" w:rsidRPr="00A508E9">
        <w:t>(</w:t>
      </w:r>
      <w:r w:rsidR="00A508E9" w:rsidRPr="00A508E9">
        <w:t xml:space="preserve">Carney </w:t>
      </w:r>
      <w:r w:rsidR="00A508E9" w:rsidRPr="00A508E9">
        <w:rPr>
          <w:i/>
        </w:rPr>
        <w:t>et al</w:t>
      </w:r>
      <w:r w:rsidR="00A508E9" w:rsidRPr="00A508E9">
        <w:t>., 2003</w:t>
      </w:r>
      <w:r w:rsidR="00E2465C" w:rsidRPr="00A508E9">
        <w:t>)</w:t>
      </w:r>
      <w:r w:rsidR="00FF0F9C">
        <w:t xml:space="preserve">, </w:t>
      </w:r>
      <w:r w:rsidR="005D3143">
        <w:t>rat</w:t>
      </w:r>
      <w:r w:rsidR="00FF0F9C">
        <w:t xml:space="preserve">s </w:t>
      </w:r>
      <w:r w:rsidR="00372F89">
        <w:t xml:space="preserve">(12/sex) </w:t>
      </w:r>
      <w:r w:rsidR="005D3143">
        <w:t>were exposed to 24, 48 or 96 ppm 1-nitropropane by inhalation</w:t>
      </w:r>
      <w:r w:rsidR="0004529C">
        <w:t xml:space="preserve"> (</w:t>
      </w:r>
      <w:r w:rsidR="0004529C" w:rsidRPr="0004529C">
        <w:t>six hours/day, seven days per week</w:t>
      </w:r>
      <w:r w:rsidR="0004529C">
        <w:t>)</w:t>
      </w:r>
      <w:r w:rsidR="005D3143">
        <w:t xml:space="preserve"> </w:t>
      </w:r>
      <w:r w:rsidR="00372F89">
        <w:t>for 14 days before breeding</w:t>
      </w:r>
      <w:r w:rsidR="00E3256D">
        <w:t xml:space="preserve"> </w:t>
      </w:r>
      <w:r w:rsidR="00372F89">
        <w:t xml:space="preserve">(both sexes) </w:t>
      </w:r>
      <w:r w:rsidR="005D3143">
        <w:t>and during breeding</w:t>
      </w:r>
      <w:r w:rsidR="00372F89">
        <w:t xml:space="preserve"> and </w:t>
      </w:r>
      <w:r w:rsidR="005D3143">
        <w:t>gestation</w:t>
      </w:r>
      <w:r w:rsidR="00266D7B">
        <w:t xml:space="preserve"> to gestation day 19</w:t>
      </w:r>
      <w:r w:rsidR="00E3256D">
        <w:t xml:space="preserve"> (females only)</w:t>
      </w:r>
      <w:r w:rsidR="005D3143">
        <w:t>.</w:t>
      </w:r>
      <w:r w:rsidR="00372F89">
        <w:t xml:space="preserve">  </w:t>
      </w:r>
      <w:r w:rsidR="00FF0F9C">
        <w:t xml:space="preserve">At </w:t>
      </w:r>
      <w:r w:rsidR="005D3143">
        <w:t>96 ppm</w:t>
      </w:r>
      <w:r w:rsidR="00FF0F9C">
        <w:t xml:space="preserve">, there were differences in litter size between treated and unexposed animals.  </w:t>
      </w:r>
      <w:r w:rsidR="005D3143">
        <w:t>The mean numbers of pups born live (11.9/litter) and the mean numbers of pups on day 1 and 4 postpartum (both 11.8/litter) from rats exposed to 96 ppm were slightly (but not significantly) l</w:t>
      </w:r>
      <w:r w:rsidR="00372F89">
        <w:t>ower</w:t>
      </w:r>
      <w:r w:rsidR="005D3143">
        <w:t xml:space="preserve"> than study controls (14.0/litter and 13.8/litter, respectively), but were outside the range of the historical control data (13.3 - 15.6 fetuses born live/litter, 12.8 - 15.5 alive on day 1/litter and 12.5 - 15.5 alive on day 4/litter).  </w:t>
      </w:r>
      <w:r w:rsidR="00372F89">
        <w:t>T</w:t>
      </w:r>
      <w:r w:rsidR="005D3143">
        <w:t xml:space="preserve">hree out of 10 dams </w:t>
      </w:r>
      <w:r w:rsidR="00372F89">
        <w:t xml:space="preserve">at 96 ppm </w:t>
      </w:r>
      <w:r w:rsidR="005D3143">
        <w:t xml:space="preserve">had litter sizes of fewer than 12 pups, </w:t>
      </w:r>
      <w:r w:rsidR="00372F89">
        <w:t xml:space="preserve">whereas </w:t>
      </w:r>
      <w:r w:rsidR="005D3143">
        <w:t xml:space="preserve">one or fewer dams in the other groups had litter sizes less than 12 pups.  There were no treatment-related effects at any exposure level on reproductive indices, time to mating, gestation length, post-implantation loss, pup survival or pup sex ratio.  There was no effect of exposure on histopathology of sperm or any reproductive organ examined (although relative testes weights were increased in males exposed to 96 ppm).  </w:t>
      </w:r>
      <w:r w:rsidR="00FF0F9C">
        <w:t xml:space="preserve">The NOEC for reproductive toxicity was 48 </w:t>
      </w:r>
      <w:r w:rsidR="00FF0F9C" w:rsidRPr="00B67830">
        <w:t>ppm</w:t>
      </w:r>
      <w:r w:rsidR="00FF0F9C" w:rsidRPr="00B67830" w:rsidDel="00FF0F9C">
        <w:t xml:space="preserve"> </w:t>
      </w:r>
      <w:r w:rsidR="00FF0F9C" w:rsidRPr="00B67830">
        <w:t>(</w:t>
      </w:r>
      <w:r w:rsidR="00B67830" w:rsidRPr="00B67830">
        <w:t>0.17</w:t>
      </w:r>
      <w:r w:rsidR="00FF0F9C" w:rsidRPr="00B67830">
        <w:t xml:space="preserve"> mg/L).</w:t>
      </w:r>
    </w:p>
    <w:p w:rsidR="00E2465C" w:rsidRPr="00332034" w:rsidRDefault="00204A39" w:rsidP="00D93802">
      <w:pPr>
        <w:pStyle w:val="Heading9"/>
        <w:spacing w:before="240"/>
      </w:pPr>
      <w:r w:rsidRPr="00C62F6B">
        <w:t>Developmental Toxicity</w:t>
      </w:r>
    </w:p>
    <w:p w:rsidR="00E2465C" w:rsidRDefault="00B17199" w:rsidP="00F37C80">
      <w:pPr>
        <w:jc w:val="both"/>
      </w:pPr>
      <w:proofErr w:type="gramStart"/>
      <w:r w:rsidRPr="00B17199">
        <w:rPr>
          <w:i/>
          <w:u w:val="single"/>
        </w:rPr>
        <w:t>1-Nitropropane</w:t>
      </w:r>
      <w:r w:rsidR="00372F89">
        <w:rPr>
          <w:i/>
          <w:u w:val="single"/>
        </w:rPr>
        <w:t>.</w:t>
      </w:r>
      <w:proofErr w:type="gramEnd"/>
      <w:r w:rsidR="00E2465C">
        <w:rPr>
          <w:i/>
        </w:rPr>
        <w:t xml:space="preserve">  </w:t>
      </w:r>
      <w:r w:rsidR="00A25D2A">
        <w:t xml:space="preserve">In the combined repeated-dose/reproductive/developmental toxicity screening test described in Section 3.1.5 and the fertility section above </w:t>
      </w:r>
      <w:r w:rsidR="00E2465C" w:rsidRPr="00F32346">
        <w:t>(</w:t>
      </w:r>
      <w:r w:rsidR="00F32346" w:rsidRPr="00F32346">
        <w:t xml:space="preserve">Carney </w:t>
      </w:r>
      <w:r w:rsidR="00F32346" w:rsidRPr="00F32346">
        <w:rPr>
          <w:i/>
        </w:rPr>
        <w:t>et al</w:t>
      </w:r>
      <w:r w:rsidR="00F32346" w:rsidRPr="00F32346">
        <w:t>., 2003</w:t>
      </w:r>
      <w:r w:rsidR="00E2465C" w:rsidRPr="00F32346">
        <w:t>)</w:t>
      </w:r>
      <w:r w:rsidR="00A25D2A">
        <w:t>, t</w:t>
      </w:r>
      <w:r w:rsidR="00E2465C">
        <w:t xml:space="preserve">here was no mention of any effect of exposure on external </w:t>
      </w:r>
      <w:r w:rsidR="00A25D2A">
        <w:t xml:space="preserve">examinations </w:t>
      </w:r>
      <w:r w:rsidR="00E2465C">
        <w:t xml:space="preserve">of pups.  </w:t>
      </w:r>
      <w:r w:rsidR="00A25D2A">
        <w:t xml:space="preserve">The NOAEC for maternal toxicity was 48 ppm </w:t>
      </w:r>
      <w:r w:rsidR="00A25D2A" w:rsidRPr="00B67830">
        <w:t>(</w:t>
      </w:r>
      <w:r w:rsidR="00B67830" w:rsidRPr="00B67830">
        <w:t>0.17</w:t>
      </w:r>
      <w:r w:rsidR="00A25D2A" w:rsidRPr="00B67830">
        <w:t xml:space="preserve"> mg/L).</w:t>
      </w:r>
      <w:r w:rsidR="00A25D2A">
        <w:t xml:space="preserve">  </w:t>
      </w:r>
      <w:r w:rsidR="00926AC1">
        <w:t>Based on the decrease in litter sizes and numbers of pups born live, the developmental NOAEC is 48 ppm (0.17 mg/L).</w:t>
      </w:r>
    </w:p>
    <w:p w:rsidR="00204A39" w:rsidRPr="00E2465C" w:rsidRDefault="00D93802" w:rsidP="00332034">
      <w:pPr>
        <w:pStyle w:val="Caption"/>
        <w:keepLines/>
        <w:ind w:hanging="839"/>
        <w:jc w:val="both"/>
        <w:rPr>
          <w:rFonts w:ascii="Times New Roman" w:hAnsi="Times New Roman"/>
          <w:bCs w:val="0"/>
        </w:rPr>
      </w:pPr>
      <w:bookmarkStart w:id="106" w:name="_Toc264544923"/>
      <w:bookmarkStart w:id="107" w:name="_Toc266716157"/>
      <w:r>
        <w:t xml:space="preserve"> </w:t>
      </w:r>
      <w:r w:rsidR="00B320DF" w:rsidRPr="00F37C80">
        <w:t xml:space="preserve">Table </w:t>
      </w:r>
      <w:fldSimple w:instr=" SEQ Table \* ARABIC ">
        <w:r w:rsidR="006263B7">
          <w:rPr>
            <w:noProof/>
          </w:rPr>
          <w:t>14</w:t>
        </w:r>
      </w:fldSimple>
      <w:r w:rsidR="00B320DF" w:rsidRPr="00F37C80">
        <w:t xml:space="preserve">  Summary of reproductive toxicity data</w:t>
      </w:r>
      <w:bookmarkEnd w:id="106"/>
      <w:bookmarkEnd w:id="107"/>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405"/>
        <w:gridCol w:w="1216"/>
        <w:gridCol w:w="1794"/>
        <w:gridCol w:w="1273"/>
        <w:gridCol w:w="2552"/>
        <w:gridCol w:w="1319"/>
      </w:tblGrid>
      <w:tr w:rsidR="00CB1FF7" w:rsidRPr="00E2465C" w:rsidTr="00332034">
        <w:tc>
          <w:tcPr>
            <w:tcW w:w="1361" w:type="dxa"/>
            <w:tcBorders>
              <w:top w:val="single" w:sz="12" w:space="0" w:color="auto"/>
              <w:bottom w:val="single" w:sz="12" w:space="0" w:color="auto"/>
            </w:tcBorders>
          </w:tcPr>
          <w:p w:rsidR="00CB1FF7" w:rsidRPr="00332034" w:rsidRDefault="00CB1FF7" w:rsidP="00332034">
            <w:pPr>
              <w:pStyle w:val="MSDS-TZeile"/>
              <w:keepNext/>
              <w:keepLines/>
              <w:ind w:left="0"/>
              <w:jc w:val="center"/>
              <w:rPr>
                <w:rFonts w:ascii="Times New Roman" w:hAnsi="Times New Roman" w:cs="Times New Roman"/>
                <w:b/>
                <w:szCs w:val="20"/>
                <w:lang w:val="en-US"/>
              </w:rPr>
            </w:pPr>
            <w:r w:rsidRPr="00332034">
              <w:rPr>
                <w:rFonts w:ascii="Times New Roman" w:hAnsi="Times New Roman" w:cs="Times New Roman"/>
                <w:b/>
                <w:szCs w:val="20"/>
                <w:lang w:val="en-US"/>
              </w:rPr>
              <w:t>Test Substance</w:t>
            </w:r>
          </w:p>
        </w:tc>
        <w:tc>
          <w:tcPr>
            <w:tcW w:w="1267" w:type="dxa"/>
            <w:tcBorders>
              <w:top w:val="single" w:sz="12" w:space="0" w:color="auto"/>
              <w:bottom w:val="single" w:sz="12" w:space="0" w:color="auto"/>
            </w:tcBorders>
          </w:tcPr>
          <w:p w:rsidR="00CB1FF7" w:rsidRPr="00332034" w:rsidRDefault="00CB1FF7" w:rsidP="00332034">
            <w:pPr>
              <w:pStyle w:val="MSDS-TZeile"/>
              <w:keepNext/>
              <w:keepLines/>
              <w:ind w:left="0"/>
              <w:jc w:val="center"/>
              <w:rPr>
                <w:rFonts w:ascii="Times New Roman" w:hAnsi="Times New Roman" w:cs="Times New Roman"/>
                <w:b/>
                <w:szCs w:val="20"/>
                <w:lang w:val="en-US"/>
              </w:rPr>
            </w:pPr>
            <w:r w:rsidRPr="00332034">
              <w:rPr>
                <w:rFonts w:ascii="Times New Roman" w:hAnsi="Times New Roman" w:cs="Times New Roman"/>
                <w:b/>
                <w:szCs w:val="20"/>
                <w:lang w:val="en-US"/>
              </w:rPr>
              <w:t>Species</w:t>
            </w:r>
          </w:p>
        </w:tc>
        <w:tc>
          <w:tcPr>
            <w:tcW w:w="1866" w:type="dxa"/>
            <w:tcBorders>
              <w:top w:val="single" w:sz="12" w:space="0" w:color="auto"/>
              <w:bottom w:val="single" w:sz="12" w:space="0" w:color="auto"/>
            </w:tcBorders>
          </w:tcPr>
          <w:p w:rsidR="00CB1FF7" w:rsidRPr="00332034" w:rsidRDefault="00CB1FF7" w:rsidP="00332034">
            <w:pPr>
              <w:pStyle w:val="MSDS-TZeile"/>
              <w:keepNext/>
              <w:keepLines/>
              <w:ind w:left="0"/>
              <w:jc w:val="center"/>
              <w:rPr>
                <w:rFonts w:ascii="Times New Roman" w:hAnsi="Times New Roman" w:cs="Times New Roman"/>
                <w:b/>
                <w:szCs w:val="20"/>
                <w:lang w:val="en-US"/>
              </w:rPr>
            </w:pPr>
            <w:r w:rsidRPr="00332034">
              <w:rPr>
                <w:rFonts w:ascii="Times New Roman" w:hAnsi="Times New Roman" w:cs="Times New Roman"/>
                <w:b/>
                <w:szCs w:val="20"/>
                <w:lang w:val="en-US"/>
              </w:rPr>
              <w:t>Exposure period/Route</w:t>
            </w:r>
          </w:p>
        </w:tc>
        <w:tc>
          <w:tcPr>
            <w:tcW w:w="1317" w:type="dxa"/>
            <w:tcBorders>
              <w:top w:val="single" w:sz="12" w:space="0" w:color="auto"/>
              <w:bottom w:val="single" w:sz="12" w:space="0" w:color="auto"/>
            </w:tcBorders>
          </w:tcPr>
          <w:p w:rsidR="00CB1FF7" w:rsidRPr="00332034" w:rsidRDefault="00CB1FF7" w:rsidP="00332034">
            <w:pPr>
              <w:pStyle w:val="MSDS-TZeile"/>
              <w:keepNext/>
              <w:keepLines/>
              <w:ind w:left="0"/>
              <w:jc w:val="center"/>
              <w:rPr>
                <w:rFonts w:ascii="Times New Roman" w:hAnsi="Times New Roman" w:cs="Times New Roman"/>
                <w:b/>
                <w:szCs w:val="20"/>
                <w:lang w:val="en-US"/>
              </w:rPr>
            </w:pPr>
            <w:r w:rsidRPr="00332034">
              <w:rPr>
                <w:rFonts w:ascii="Times New Roman" w:hAnsi="Times New Roman" w:cs="Times New Roman"/>
                <w:b/>
                <w:szCs w:val="20"/>
                <w:lang w:val="en-US"/>
              </w:rPr>
              <w:t>Doses</w:t>
            </w:r>
          </w:p>
        </w:tc>
        <w:tc>
          <w:tcPr>
            <w:tcW w:w="2686" w:type="dxa"/>
            <w:tcBorders>
              <w:top w:val="single" w:sz="12" w:space="0" w:color="auto"/>
              <w:bottom w:val="single" w:sz="12" w:space="0" w:color="auto"/>
            </w:tcBorders>
          </w:tcPr>
          <w:p w:rsidR="00CB1FF7" w:rsidRPr="00332034" w:rsidRDefault="00CB1FF7" w:rsidP="00332034">
            <w:pPr>
              <w:pStyle w:val="MSDS-TZeile"/>
              <w:keepNext/>
              <w:keepLines/>
              <w:ind w:left="0"/>
              <w:jc w:val="center"/>
              <w:rPr>
                <w:rFonts w:ascii="Times New Roman" w:hAnsi="Times New Roman" w:cs="Times New Roman"/>
                <w:b/>
                <w:szCs w:val="20"/>
                <w:lang w:val="en-US"/>
              </w:rPr>
            </w:pPr>
            <w:r w:rsidRPr="00332034">
              <w:rPr>
                <w:rFonts w:ascii="Times New Roman" w:hAnsi="Times New Roman" w:cs="Times New Roman"/>
                <w:b/>
                <w:szCs w:val="20"/>
                <w:lang w:val="en-US"/>
              </w:rPr>
              <w:t>Results</w:t>
            </w:r>
          </w:p>
        </w:tc>
        <w:tc>
          <w:tcPr>
            <w:tcW w:w="1358" w:type="dxa"/>
            <w:tcBorders>
              <w:top w:val="single" w:sz="12" w:space="0" w:color="auto"/>
              <w:bottom w:val="single" w:sz="12" w:space="0" w:color="auto"/>
            </w:tcBorders>
          </w:tcPr>
          <w:p w:rsidR="00CB1FF7" w:rsidRPr="00332034" w:rsidRDefault="00CB1FF7" w:rsidP="00332034">
            <w:pPr>
              <w:pStyle w:val="MSDS-TZeile"/>
              <w:keepNext/>
              <w:keepLines/>
              <w:ind w:left="0"/>
              <w:jc w:val="center"/>
              <w:rPr>
                <w:rFonts w:ascii="Times New Roman" w:hAnsi="Times New Roman" w:cs="Times New Roman"/>
                <w:b/>
                <w:szCs w:val="20"/>
                <w:lang w:val="en-US"/>
              </w:rPr>
            </w:pPr>
            <w:r w:rsidRPr="00332034">
              <w:rPr>
                <w:rFonts w:ascii="Times New Roman" w:hAnsi="Times New Roman" w:cs="Times New Roman"/>
                <w:b/>
                <w:szCs w:val="20"/>
                <w:lang w:val="en-US"/>
              </w:rPr>
              <w:t>Reference</w:t>
            </w:r>
          </w:p>
        </w:tc>
      </w:tr>
      <w:tr w:rsidR="00F32346" w:rsidRPr="00F32346" w:rsidTr="00332034">
        <w:tc>
          <w:tcPr>
            <w:tcW w:w="1361" w:type="dxa"/>
            <w:vMerge w:val="restart"/>
            <w:tcBorders>
              <w:top w:val="single" w:sz="12" w:space="0" w:color="auto"/>
            </w:tcBorders>
          </w:tcPr>
          <w:p w:rsidR="00F32346" w:rsidRPr="00332034" w:rsidRDefault="00F32346" w:rsidP="00332034">
            <w:pPr>
              <w:pStyle w:val="MSDS-TZeile"/>
              <w:keepNext/>
              <w:keepLines/>
              <w:ind w:left="0"/>
              <w:jc w:val="center"/>
              <w:rPr>
                <w:rFonts w:ascii="Times New Roman" w:hAnsi="Times New Roman" w:cs="Times New Roman"/>
                <w:b/>
                <w:szCs w:val="20"/>
              </w:rPr>
            </w:pPr>
            <w:r w:rsidRPr="00332034">
              <w:rPr>
                <w:rFonts w:ascii="Times New Roman" w:hAnsi="Times New Roman" w:cs="Times New Roman"/>
                <w:b/>
                <w:szCs w:val="20"/>
                <w:lang w:val="en-US"/>
              </w:rPr>
              <w:t>Nitr</w:t>
            </w:r>
            <w:r w:rsidRPr="00332034">
              <w:rPr>
                <w:rFonts w:ascii="Times New Roman" w:hAnsi="Times New Roman" w:cs="Times New Roman"/>
                <w:b/>
                <w:szCs w:val="20"/>
              </w:rPr>
              <w:t>omethane</w:t>
            </w:r>
          </w:p>
        </w:tc>
        <w:tc>
          <w:tcPr>
            <w:tcW w:w="1267" w:type="dxa"/>
            <w:tcBorders>
              <w:top w:val="single" w:sz="12" w:space="0" w:color="auto"/>
            </w:tcBorders>
          </w:tcPr>
          <w:p w:rsidR="00F32346" w:rsidRPr="00332034" w:rsidRDefault="00F32346" w:rsidP="00332034">
            <w:pPr>
              <w:pStyle w:val="MSDS-TZeile"/>
              <w:keepNext/>
              <w:keepLines/>
              <w:ind w:left="0"/>
              <w:jc w:val="center"/>
              <w:rPr>
                <w:rFonts w:ascii="Times New Roman" w:hAnsi="Times New Roman" w:cs="Times New Roman"/>
                <w:szCs w:val="20"/>
              </w:rPr>
            </w:pPr>
            <w:r w:rsidRPr="00332034">
              <w:rPr>
                <w:rFonts w:ascii="Times New Roman" w:hAnsi="Times New Roman" w:cs="Times New Roman"/>
                <w:szCs w:val="20"/>
              </w:rPr>
              <w:t>Rats, F344N</w:t>
            </w:r>
          </w:p>
        </w:tc>
        <w:tc>
          <w:tcPr>
            <w:tcW w:w="1866" w:type="dxa"/>
            <w:tcBorders>
              <w:top w:val="single" w:sz="12" w:space="0" w:color="auto"/>
            </w:tcBorders>
          </w:tcPr>
          <w:p w:rsidR="00F32346" w:rsidRPr="00332034" w:rsidRDefault="00F32346" w:rsidP="00332034">
            <w:pPr>
              <w:pStyle w:val="MSDS-TZeile"/>
              <w:keepNext/>
              <w:keepLines/>
              <w:ind w:left="0"/>
              <w:jc w:val="center"/>
              <w:rPr>
                <w:rFonts w:ascii="Times New Roman" w:hAnsi="Times New Roman" w:cs="Times New Roman"/>
                <w:szCs w:val="20"/>
              </w:rPr>
            </w:pPr>
            <w:r w:rsidRPr="00332034">
              <w:rPr>
                <w:rFonts w:ascii="Times New Roman" w:hAnsi="Times New Roman" w:cs="Times New Roman"/>
                <w:szCs w:val="20"/>
              </w:rPr>
              <w:t>13 weeks</w:t>
            </w:r>
          </w:p>
          <w:p w:rsidR="00CE20DB" w:rsidRPr="00332034" w:rsidRDefault="00B320DF" w:rsidP="00332034">
            <w:pPr>
              <w:pStyle w:val="MSDS-TUZeile"/>
              <w:keepNext/>
              <w:keepLines/>
              <w:jc w:val="center"/>
              <w:rPr>
                <w:rFonts w:ascii="Times New Roman" w:hAnsi="Times New Roman" w:cs="Times New Roman"/>
                <w:szCs w:val="20"/>
              </w:rPr>
            </w:pPr>
            <w:r w:rsidRPr="00332034">
              <w:rPr>
                <w:rFonts w:ascii="Times New Roman" w:hAnsi="Times New Roman" w:cs="Times New Roman"/>
                <w:szCs w:val="20"/>
              </w:rPr>
              <w:t>6  hours/day</w:t>
            </w:r>
          </w:p>
          <w:p w:rsidR="00CE20DB" w:rsidRPr="00332034" w:rsidRDefault="00B320DF" w:rsidP="00332034">
            <w:pPr>
              <w:pStyle w:val="MSDS-TUZeile"/>
              <w:keepNext/>
              <w:keepLines/>
              <w:jc w:val="center"/>
              <w:rPr>
                <w:szCs w:val="20"/>
              </w:rPr>
            </w:pPr>
            <w:r w:rsidRPr="00332034">
              <w:rPr>
                <w:rFonts w:ascii="Times New Roman" w:hAnsi="Times New Roman" w:cs="Times New Roman"/>
                <w:szCs w:val="20"/>
              </w:rPr>
              <w:t>5 days/week</w:t>
            </w:r>
          </w:p>
        </w:tc>
        <w:tc>
          <w:tcPr>
            <w:tcW w:w="1317" w:type="dxa"/>
            <w:tcBorders>
              <w:top w:val="single" w:sz="12" w:space="0" w:color="auto"/>
            </w:tcBorders>
          </w:tcPr>
          <w:p w:rsidR="00F32346" w:rsidRPr="00332034" w:rsidRDefault="00F32346"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 xml:space="preserve">Up to </w:t>
            </w:r>
            <w:r w:rsidR="007426F9" w:rsidRPr="00332034">
              <w:rPr>
                <w:rFonts w:ascii="Times New Roman" w:hAnsi="Times New Roman" w:cs="Times New Roman"/>
                <w:szCs w:val="20"/>
                <w:lang w:val="en-US"/>
              </w:rPr>
              <w:t xml:space="preserve">1500 </w:t>
            </w:r>
            <w:r w:rsidRPr="00332034">
              <w:rPr>
                <w:rFonts w:ascii="Times New Roman" w:hAnsi="Times New Roman" w:cs="Times New Roman"/>
                <w:szCs w:val="20"/>
                <w:lang w:val="en-US"/>
              </w:rPr>
              <w:t>ppm</w:t>
            </w:r>
          </w:p>
        </w:tc>
        <w:tc>
          <w:tcPr>
            <w:tcW w:w="2686" w:type="dxa"/>
            <w:tcBorders>
              <w:top w:val="single" w:sz="12" w:space="0" w:color="auto"/>
            </w:tcBorders>
          </w:tcPr>
          <w:p w:rsidR="00F32346" w:rsidRPr="00332034" w:rsidRDefault="00F32346"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 xml:space="preserve">Decreased sperm mobility </w:t>
            </w:r>
            <w:r w:rsidRPr="00332034">
              <w:rPr>
                <w:rFonts w:ascii="Times New Roman" w:hAnsi="Times New Roman" w:cs="Times New Roman"/>
                <w:szCs w:val="20"/>
                <w:u w:val="single"/>
                <w:lang w:val="en-US"/>
              </w:rPr>
              <w:t>&gt;</w:t>
            </w:r>
            <w:r w:rsidRPr="00332034">
              <w:rPr>
                <w:rFonts w:ascii="Times New Roman" w:hAnsi="Times New Roman" w:cs="Times New Roman"/>
                <w:szCs w:val="20"/>
                <w:lang w:val="en-US"/>
              </w:rPr>
              <w:t xml:space="preserve"> 750 ppm</w:t>
            </w:r>
          </w:p>
          <w:p w:rsidR="00F32346" w:rsidRPr="00332034" w:rsidRDefault="00F32346" w:rsidP="00332034">
            <w:pPr>
              <w:pStyle w:val="MSDS-TU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Decreased cauda epididymis, and testes weights at 1500 ppm</w:t>
            </w:r>
          </w:p>
          <w:p w:rsidR="00F32346" w:rsidRPr="00332034" w:rsidRDefault="00F32346" w:rsidP="00332034">
            <w:pPr>
              <w:pStyle w:val="MSDS-TUZeile"/>
              <w:keepNext/>
              <w:keepLines/>
              <w:ind w:left="0"/>
              <w:jc w:val="center"/>
              <w:rPr>
                <w:rFonts w:ascii="Times New Roman" w:hAnsi="Times New Roman" w:cs="Times New Roman"/>
                <w:szCs w:val="20"/>
                <w:lang w:val="en-US"/>
              </w:rPr>
            </w:pPr>
          </w:p>
          <w:p w:rsidR="00F32346" w:rsidRPr="00332034" w:rsidRDefault="00F32346" w:rsidP="00332034">
            <w:pPr>
              <w:pStyle w:val="MSDS-TUZeile"/>
              <w:keepNext/>
              <w:keepLines/>
              <w:ind w:left="0"/>
              <w:jc w:val="center"/>
              <w:rPr>
                <w:rFonts w:ascii="Times New Roman" w:hAnsi="Times New Roman" w:cs="Times New Roman"/>
                <w:szCs w:val="20"/>
                <w:lang w:val="en-US"/>
              </w:rPr>
            </w:pPr>
          </w:p>
        </w:tc>
        <w:tc>
          <w:tcPr>
            <w:tcW w:w="1358" w:type="dxa"/>
            <w:tcBorders>
              <w:top w:val="single" w:sz="12" w:space="0" w:color="auto"/>
            </w:tcBorders>
          </w:tcPr>
          <w:p w:rsidR="00F32346" w:rsidRPr="00332034" w:rsidRDefault="00A508E9"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USDHHS</w:t>
            </w:r>
            <w:r w:rsidR="00F32346" w:rsidRPr="00332034">
              <w:rPr>
                <w:rFonts w:ascii="Times New Roman" w:hAnsi="Times New Roman" w:cs="Times New Roman"/>
                <w:szCs w:val="20"/>
                <w:lang w:val="en-US"/>
              </w:rPr>
              <w:t>, 1997</w:t>
            </w:r>
          </w:p>
          <w:p w:rsidR="00F32346" w:rsidRPr="00332034" w:rsidRDefault="00F32346" w:rsidP="00332034">
            <w:pPr>
              <w:pStyle w:val="MSDS-TUZeile"/>
              <w:keepNext/>
              <w:keepLines/>
              <w:ind w:left="0"/>
              <w:jc w:val="center"/>
              <w:rPr>
                <w:rFonts w:ascii="Times New Roman" w:hAnsi="Times New Roman" w:cs="Times New Roman"/>
                <w:szCs w:val="20"/>
                <w:lang w:val="en-US"/>
              </w:rPr>
            </w:pPr>
          </w:p>
        </w:tc>
      </w:tr>
      <w:tr w:rsidR="00F32346" w:rsidRPr="00123FB2" w:rsidTr="00332034">
        <w:tc>
          <w:tcPr>
            <w:tcW w:w="1361" w:type="dxa"/>
            <w:vMerge/>
          </w:tcPr>
          <w:p w:rsidR="00F32346" w:rsidRPr="00332034" w:rsidRDefault="00F32346" w:rsidP="00332034">
            <w:pPr>
              <w:pStyle w:val="MSDS-TZeile"/>
              <w:keepNext/>
              <w:keepLines/>
              <w:ind w:left="0"/>
              <w:jc w:val="center"/>
              <w:rPr>
                <w:rFonts w:ascii="Times New Roman" w:hAnsi="Times New Roman" w:cs="Times New Roman"/>
                <w:szCs w:val="20"/>
              </w:rPr>
            </w:pPr>
          </w:p>
        </w:tc>
        <w:tc>
          <w:tcPr>
            <w:tcW w:w="1267" w:type="dxa"/>
          </w:tcPr>
          <w:p w:rsidR="00F32346" w:rsidRPr="00332034" w:rsidRDefault="00F32346" w:rsidP="00332034">
            <w:pPr>
              <w:keepNext/>
              <w:keepLines/>
              <w:jc w:val="center"/>
              <w:rPr>
                <w:sz w:val="20"/>
                <w:szCs w:val="20"/>
              </w:rPr>
            </w:pPr>
            <w:r w:rsidRPr="00332034">
              <w:rPr>
                <w:sz w:val="20"/>
                <w:szCs w:val="20"/>
              </w:rPr>
              <w:t>Mice, B6C3F1</w:t>
            </w:r>
          </w:p>
        </w:tc>
        <w:tc>
          <w:tcPr>
            <w:tcW w:w="1866" w:type="dxa"/>
          </w:tcPr>
          <w:p w:rsidR="00F32346" w:rsidRPr="00332034" w:rsidRDefault="00F32346" w:rsidP="00332034">
            <w:pPr>
              <w:pStyle w:val="MSDS-TZeile"/>
              <w:keepNext/>
              <w:keepLines/>
              <w:ind w:left="0"/>
              <w:jc w:val="center"/>
              <w:rPr>
                <w:rFonts w:ascii="Times New Roman" w:hAnsi="Times New Roman" w:cs="Times New Roman"/>
                <w:szCs w:val="20"/>
              </w:rPr>
            </w:pPr>
            <w:r w:rsidRPr="00332034">
              <w:rPr>
                <w:rFonts w:ascii="Times New Roman" w:hAnsi="Times New Roman" w:cs="Times New Roman"/>
                <w:szCs w:val="20"/>
              </w:rPr>
              <w:t>13 weeks</w:t>
            </w:r>
          </w:p>
          <w:p w:rsidR="00E3256D" w:rsidRPr="00332034" w:rsidRDefault="00E3256D" w:rsidP="00332034">
            <w:pPr>
              <w:pStyle w:val="MSDS-TUZeile"/>
              <w:keepNext/>
              <w:keepLines/>
              <w:jc w:val="center"/>
              <w:rPr>
                <w:rFonts w:ascii="Times New Roman" w:hAnsi="Times New Roman" w:cs="Times New Roman"/>
                <w:szCs w:val="20"/>
              </w:rPr>
            </w:pPr>
            <w:r w:rsidRPr="00332034">
              <w:rPr>
                <w:rFonts w:ascii="Times New Roman" w:hAnsi="Times New Roman" w:cs="Times New Roman"/>
                <w:szCs w:val="20"/>
              </w:rPr>
              <w:t>6  hours/day</w:t>
            </w:r>
          </w:p>
          <w:p w:rsidR="00CE20DB" w:rsidRPr="00332034" w:rsidRDefault="00E3256D" w:rsidP="00332034">
            <w:pPr>
              <w:pStyle w:val="MSDS-TUZeile"/>
              <w:keepNext/>
              <w:keepLines/>
              <w:jc w:val="center"/>
              <w:rPr>
                <w:szCs w:val="20"/>
              </w:rPr>
            </w:pPr>
            <w:r w:rsidRPr="00332034">
              <w:rPr>
                <w:rFonts w:ascii="Times New Roman" w:hAnsi="Times New Roman" w:cs="Times New Roman"/>
                <w:szCs w:val="20"/>
              </w:rPr>
              <w:t>5 days/week</w:t>
            </w:r>
          </w:p>
        </w:tc>
        <w:tc>
          <w:tcPr>
            <w:tcW w:w="1317" w:type="dxa"/>
          </w:tcPr>
          <w:p w:rsidR="00F32346" w:rsidRPr="00332034" w:rsidRDefault="00F32346"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Up to 1500 ppm</w:t>
            </w:r>
          </w:p>
          <w:p w:rsidR="00CE20DB" w:rsidRPr="00332034" w:rsidRDefault="00CE20DB" w:rsidP="00332034">
            <w:pPr>
              <w:pStyle w:val="MSDS-TUZeile"/>
              <w:keepNext/>
              <w:keepLines/>
              <w:jc w:val="center"/>
              <w:rPr>
                <w:szCs w:val="20"/>
                <w:lang w:val="en-US"/>
              </w:rPr>
            </w:pPr>
          </w:p>
          <w:p w:rsidR="00CE20DB" w:rsidRPr="00332034" w:rsidRDefault="001938C7" w:rsidP="00332034">
            <w:pPr>
              <w:pStyle w:val="MSDS-TUZeile"/>
              <w:keepNext/>
              <w:keepLines/>
              <w:jc w:val="center"/>
              <w:rPr>
                <w:szCs w:val="20"/>
                <w:lang w:val="en-US"/>
              </w:rPr>
            </w:pPr>
            <w:r w:rsidRPr="00332034">
              <w:rPr>
                <w:szCs w:val="20"/>
                <w:lang w:val="en-US"/>
              </w:rPr>
              <w:t>375ppm</w:t>
            </w:r>
          </w:p>
        </w:tc>
        <w:tc>
          <w:tcPr>
            <w:tcW w:w="2686" w:type="dxa"/>
          </w:tcPr>
          <w:p w:rsidR="001938C7" w:rsidRPr="00332034" w:rsidRDefault="001938C7" w:rsidP="00332034">
            <w:pPr>
              <w:pStyle w:val="MSDS-TZeile"/>
              <w:keepNext/>
              <w:keepLines/>
              <w:ind w:left="0"/>
              <w:jc w:val="center"/>
              <w:rPr>
                <w:rFonts w:ascii="Times New Roman" w:hAnsi="Times New Roman" w:cs="Times New Roman"/>
                <w:szCs w:val="20"/>
                <w:lang w:val="en-US"/>
              </w:rPr>
            </w:pPr>
          </w:p>
          <w:p w:rsidR="001938C7" w:rsidRPr="00332034" w:rsidRDefault="001938C7" w:rsidP="00332034">
            <w:pPr>
              <w:pStyle w:val="MSDS-TZeile"/>
              <w:keepNext/>
              <w:keepLines/>
              <w:ind w:left="0"/>
              <w:jc w:val="center"/>
              <w:rPr>
                <w:rFonts w:ascii="Times New Roman" w:hAnsi="Times New Roman" w:cs="Times New Roman"/>
                <w:szCs w:val="20"/>
                <w:lang w:val="en-US"/>
              </w:rPr>
            </w:pPr>
          </w:p>
          <w:p w:rsidR="001938C7" w:rsidRPr="00332034" w:rsidRDefault="001938C7" w:rsidP="00332034">
            <w:pPr>
              <w:pStyle w:val="MSDS-TZeile"/>
              <w:keepNext/>
              <w:keepLines/>
              <w:ind w:left="0"/>
              <w:jc w:val="center"/>
              <w:rPr>
                <w:rFonts w:ascii="Times New Roman" w:hAnsi="Times New Roman" w:cs="Times New Roman"/>
                <w:szCs w:val="20"/>
                <w:lang w:val="en-US"/>
              </w:rPr>
            </w:pPr>
          </w:p>
          <w:p w:rsidR="00F32346" w:rsidRPr="00332034" w:rsidRDefault="00F32346"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Dose-dependent increase in estrous length</w:t>
            </w:r>
          </w:p>
          <w:p w:rsidR="00F32346" w:rsidRPr="00332034" w:rsidRDefault="001938C7" w:rsidP="00332034">
            <w:pPr>
              <w:pStyle w:val="MSDS-TU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Decreased sperm motility</w:t>
            </w:r>
          </w:p>
          <w:p w:rsidR="00F32346" w:rsidRPr="00332034" w:rsidRDefault="00F32346" w:rsidP="00332034">
            <w:pPr>
              <w:pStyle w:val="MSDS-TUZeile"/>
              <w:keepNext/>
              <w:keepLines/>
              <w:ind w:left="0"/>
              <w:jc w:val="center"/>
              <w:rPr>
                <w:rFonts w:ascii="Times New Roman" w:hAnsi="Times New Roman" w:cs="Times New Roman"/>
                <w:szCs w:val="20"/>
                <w:lang w:val="en-US"/>
              </w:rPr>
            </w:pPr>
          </w:p>
        </w:tc>
        <w:tc>
          <w:tcPr>
            <w:tcW w:w="1358" w:type="dxa"/>
          </w:tcPr>
          <w:p w:rsidR="00F32346" w:rsidRPr="00332034" w:rsidRDefault="00A508E9"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USDHHS</w:t>
            </w:r>
            <w:r w:rsidR="00F32346" w:rsidRPr="00332034">
              <w:rPr>
                <w:rFonts w:ascii="Times New Roman" w:hAnsi="Times New Roman" w:cs="Times New Roman"/>
                <w:szCs w:val="20"/>
                <w:lang w:val="en-US"/>
              </w:rPr>
              <w:t>, 1997</w:t>
            </w:r>
          </w:p>
        </w:tc>
      </w:tr>
      <w:tr w:rsidR="00F32346" w:rsidRPr="00F32346" w:rsidTr="00332034">
        <w:tc>
          <w:tcPr>
            <w:tcW w:w="1361" w:type="dxa"/>
            <w:vMerge/>
          </w:tcPr>
          <w:p w:rsidR="00F32346" w:rsidRPr="00332034" w:rsidRDefault="00F32346" w:rsidP="00332034">
            <w:pPr>
              <w:pStyle w:val="MSDS-TZeile"/>
              <w:keepNext/>
              <w:keepLines/>
              <w:ind w:left="0"/>
              <w:jc w:val="center"/>
              <w:rPr>
                <w:rFonts w:ascii="Times New Roman" w:hAnsi="Times New Roman" w:cs="Times New Roman"/>
                <w:b/>
                <w:szCs w:val="20"/>
              </w:rPr>
            </w:pPr>
          </w:p>
        </w:tc>
        <w:tc>
          <w:tcPr>
            <w:tcW w:w="1267" w:type="dxa"/>
          </w:tcPr>
          <w:p w:rsidR="00F32346" w:rsidRPr="00332034" w:rsidRDefault="007426F9" w:rsidP="00332034">
            <w:pPr>
              <w:keepNext/>
              <w:keepLines/>
              <w:jc w:val="center"/>
              <w:rPr>
                <w:sz w:val="20"/>
                <w:szCs w:val="20"/>
              </w:rPr>
            </w:pPr>
            <w:r w:rsidRPr="00332034">
              <w:rPr>
                <w:sz w:val="20"/>
                <w:szCs w:val="20"/>
              </w:rPr>
              <w:t>Rats</w:t>
            </w:r>
          </w:p>
        </w:tc>
        <w:tc>
          <w:tcPr>
            <w:tcW w:w="1866" w:type="dxa"/>
          </w:tcPr>
          <w:p w:rsidR="00F32346" w:rsidRPr="00332034" w:rsidRDefault="007426F9"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103 weeks</w:t>
            </w:r>
          </w:p>
          <w:p w:rsidR="003C05C4" w:rsidRPr="00332034" w:rsidRDefault="003C05C4" w:rsidP="00332034">
            <w:pPr>
              <w:keepNext/>
              <w:keepLines/>
              <w:jc w:val="center"/>
              <w:rPr>
                <w:sz w:val="20"/>
                <w:szCs w:val="20"/>
              </w:rPr>
            </w:pPr>
            <w:r w:rsidRPr="00332034">
              <w:rPr>
                <w:sz w:val="20"/>
                <w:szCs w:val="20"/>
              </w:rPr>
              <w:t>7 hours/day</w:t>
            </w:r>
          </w:p>
          <w:p w:rsidR="00CE20DB" w:rsidRPr="00332034" w:rsidRDefault="00B320DF" w:rsidP="00332034">
            <w:pPr>
              <w:pStyle w:val="MSDS-TUZeile"/>
              <w:keepNext/>
              <w:keepLines/>
              <w:jc w:val="center"/>
              <w:rPr>
                <w:szCs w:val="20"/>
                <w:lang w:val="en-US"/>
              </w:rPr>
            </w:pPr>
            <w:r w:rsidRPr="00332034">
              <w:rPr>
                <w:rFonts w:ascii="Times New Roman" w:hAnsi="Times New Roman" w:cs="Times New Roman"/>
                <w:szCs w:val="20"/>
              </w:rPr>
              <w:t>5 days/week</w:t>
            </w:r>
          </w:p>
        </w:tc>
        <w:tc>
          <w:tcPr>
            <w:tcW w:w="1317" w:type="dxa"/>
          </w:tcPr>
          <w:p w:rsidR="00F32346" w:rsidRPr="00332034" w:rsidRDefault="007426F9" w:rsidP="00332034">
            <w:pPr>
              <w:pStyle w:val="MSDS-TZeile"/>
              <w:keepNext/>
              <w:keepLines/>
              <w:ind w:left="0"/>
              <w:jc w:val="center"/>
              <w:rPr>
                <w:rFonts w:ascii="Times New Roman" w:hAnsi="Times New Roman" w:cs="Times New Roman"/>
                <w:szCs w:val="20"/>
              </w:rPr>
            </w:pPr>
            <w:r w:rsidRPr="00332034">
              <w:rPr>
                <w:rFonts w:ascii="Times New Roman" w:hAnsi="Times New Roman" w:cs="Times New Roman"/>
                <w:szCs w:val="20"/>
              </w:rPr>
              <w:t>Up to 200 ppm</w:t>
            </w:r>
          </w:p>
        </w:tc>
        <w:tc>
          <w:tcPr>
            <w:tcW w:w="2686" w:type="dxa"/>
          </w:tcPr>
          <w:p w:rsidR="00F32346" w:rsidRPr="00332034" w:rsidRDefault="007426F9"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No repro effects</w:t>
            </w:r>
          </w:p>
        </w:tc>
        <w:tc>
          <w:tcPr>
            <w:tcW w:w="1358" w:type="dxa"/>
          </w:tcPr>
          <w:p w:rsidR="00F32346" w:rsidRPr="00332034" w:rsidRDefault="007426F9"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USDHHS, 1997</w:t>
            </w:r>
          </w:p>
        </w:tc>
      </w:tr>
      <w:tr w:rsidR="00CB1FF7" w:rsidRPr="00123FB2" w:rsidTr="00332034">
        <w:tc>
          <w:tcPr>
            <w:tcW w:w="1361" w:type="dxa"/>
          </w:tcPr>
          <w:p w:rsidR="00CB1FF7" w:rsidRPr="00332034" w:rsidRDefault="00CB1FF7" w:rsidP="00332034">
            <w:pPr>
              <w:pStyle w:val="MSDS-TZeile"/>
              <w:keepNext/>
              <w:keepLines/>
              <w:ind w:left="0"/>
              <w:jc w:val="center"/>
              <w:rPr>
                <w:rFonts w:ascii="Times New Roman" w:hAnsi="Times New Roman" w:cs="Times New Roman"/>
                <w:b/>
                <w:szCs w:val="20"/>
              </w:rPr>
            </w:pPr>
            <w:r w:rsidRPr="00332034">
              <w:rPr>
                <w:rFonts w:ascii="Times New Roman" w:hAnsi="Times New Roman" w:cs="Times New Roman"/>
                <w:b/>
                <w:szCs w:val="20"/>
              </w:rPr>
              <w:t>Nitroethane</w:t>
            </w:r>
          </w:p>
        </w:tc>
        <w:tc>
          <w:tcPr>
            <w:tcW w:w="1267" w:type="dxa"/>
          </w:tcPr>
          <w:p w:rsidR="00CB1FF7" w:rsidRPr="00332034" w:rsidRDefault="00A12475" w:rsidP="00332034">
            <w:pPr>
              <w:keepNext/>
              <w:keepLines/>
              <w:jc w:val="center"/>
              <w:rPr>
                <w:sz w:val="20"/>
                <w:szCs w:val="20"/>
              </w:rPr>
            </w:pPr>
            <w:r w:rsidRPr="00332034">
              <w:rPr>
                <w:sz w:val="20"/>
                <w:szCs w:val="20"/>
              </w:rPr>
              <w:t>B6C3F1 mice</w:t>
            </w:r>
          </w:p>
        </w:tc>
        <w:tc>
          <w:tcPr>
            <w:tcW w:w="1866" w:type="dxa"/>
          </w:tcPr>
          <w:p w:rsidR="00CB1FF7" w:rsidRPr="00332034" w:rsidRDefault="00CB1FF7" w:rsidP="00332034">
            <w:pPr>
              <w:pStyle w:val="MSDS-TZeile"/>
              <w:keepNext/>
              <w:keepLines/>
              <w:ind w:left="0"/>
              <w:jc w:val="center"/>
              <w:rPr>
                <w:rFonts w:ascii="Times New Roman" w:hAnsi="Times New Roman" w:cs="Times New Roman"/>
                <w:szCs w:val="20"/>
                <w:lang w:val="en-US"/>
              </w:rPr>
            </w:pPr>
          </w:p>
          <w:p w:rsidR="00CE20DB" w:rsidRPr="00332034" w:rsidRDefault="00B320DF" w:rsidP="00332034">
            <w:pPr>
              <w:pStyle w:val="MSDS-TUZeile"/>
              <w:keepNext/>
              <w:keepLines/>
              <w:jc w:val="center"/>
              <w:rPr>
                <w:rFonts w:ascii="Times New Roman" w:hAnsi="Times New Roman" w:cs="Times New Roman"/>
                <w:szCs w:val="20"/>
                <w:lang w:val="en-US"/>
              </w:rPr>
            </w:pPr>
            <w:r w:rsidRPr="00332034">
              <w:rPr>
                <w:rFonts w:ascii="Times New Roman" w:hAnsi="Times New Roman" w:cs="Times New Roman"/>
                <w:szCs w:val="20"/>
                <w:lang w:val="en-US"/>
              </w:rPr>
              <w:t>13 week inhalation</w:t>
            </w:r>
          </w:p>
          <w:p w:rsidR="00E3256D" w:rsidRPr="00332034" w:rsidRDefault="00E3256D" w:rsidP="00332034">
            <w:pPr>
              <w:pStyle w:val="MSDS-TUZeile"/>
              <w:keepNext/>
              <w:keepLines/>
              <w:jc w:val="center"/>
              <w:rPr>
                <w:rFonts w:ascii="Times New Roman" w:hAnsi="Times New Roman" w:cs="Times New Roman"/>
                <w:szCs w:val="20"/>
              </w:rPr>
            </w:pPr>
            <w:r w:rsidRPr="00332034">
              <w:rPr>
                <w:rFonts w:ascii="Times New Roman" w:hAnsi="Times New Roman" w:cs="Times New Roman"/>
                <w:szCs w:val="20"/>
              </w:rPr>
              <w:t>6  hours/day</w:t>
            </w:r>
          </w:p>
          <w:p w:rsidR="00CE20DB" w:rsidRPr="00332034" w:rsidRDefault="00E3256D" w:rsidP="00332034">
            <w:pPr>
              <w:pStyle w:val="MSDS-TUZeile"/>
              <w:keepNext/>
              <w:keepLines/>
              <w:jc w:val="center"/>
              <w:rPr>
                <w:rFonts w:ascii="Times New Roman" w:hAnsi="Times New Roman" w:cs="Times New Roman"/>
                <w:szCs w:val="20"/>
                <w:lang w:val="en-US"/>
              </w:rPr>
            </w:pPr>
            <w:r w:rsidRPr="00332034">
              <w:rPr>
                <w:rFonts w:ascii="Times New Roman" w:hAnsi="Times New Roman" w:cs="Times New Roman"/>
                <w:szCs w:val="20"/>
              </w:rPr>
              <w:t>5 days/week</w:t>
            </w:r>
          </w:p>
        </w:tc>
        <w:tc>
          <w:tcPr>
            <w:tcW w:w="1317" w:type="dxa"/>
          </w:tcPr>
          <w:p w:rsidR="00663515" w:rsidRPr="00332034" w:rsidRDefault="00663515" w:rsidP="00332034">
            <w:pPr>
              <w:pStyle w:val="MSDS-TUZeile"/>
              <w:keepNext/>
              <w:keepLines/>
              <w:ind w:left="0"/>
              <w:jc w:val="center"/>
              <w:rPr>
                <w:rFonts w:ascii="Times New Roman" w:hAnsi="Times New Roman" w:cs="Times New Roman"/>
                <w:szCs w:val="20"/>
              </w:rPr>
            </w:pPr>
          </w:p>
          <w:p w:rsidR="001938C7" w:rsidRPr="00332034" w:rsidRDefault="001938C7" w:rsidP="00332034">
            <w:pPr>
              <w:pStyle w:val="MSDS-TUZeile"/>
              <w:keepNext/>
              <w:keepLines/>
              <w:ind w:left="0"/>
              <w:jc w:val="center"/>
              <w:rPr>
                <w:rFonts w:ascii="Times New Roman" w:hAnsi="Times New Roman" w:cs="Times New Roman"/>
                <w:szCs w:val="20"/>
              </w:rPr>
            </w:pPr>
            <w:r w:rsidRPr="00332034">
              <w:rPr>
                <w:rFonts w:ascii="Times New Roman" w:hAnsi="Times New Roman" w:cs="Times New Roman"/>
                <w:szCs w:val="20"/>
              </w:rPr>
              <w:t>48 ppm</w:t>
            </w:r>
          </w:p>
          <w:p w:rsidR="001938C7" w:rsidRPr="00332034" w:rsidRDefault="001938C7" w:rsidP="00332034">
            <w:pPr>
              <w:pStyle w:val="MSDS-TUZeile"/>
              <w:keepNext/>
              <w:keepLines/>
              <w:ind w:left="0"/>
              <w:jc w:val="center"/>
              <w:rPr>
                <w:rFonts w:ascii="Times New Roman" w:hAnsi="Times New Roman" w:cs="Times New Roman"/>
                <w:szCs w:val="20"/>
              </w:rPr>
            </w:pPr>
          </w:p>
          <w:p w:rsidR="00663515" w:rsidRPr="00332034" w:rsidRDefault="00663515" w:rsidP="00332034">
            <w:pPr>
              <w:pStyle w:val="MSDS-TUZeile"/>
              <w:keepNext/>
              <w:keepLines/>
              <w:ind w:left="0"/>
              <w:jc w:val="center"/>
              <w:rPr>
                <w:rFonts w:ascii="Times New Roman" w:hAnsi="Times New Roman" w:cs="Times New Roman"/>
                <w:szCs w:val="20"/>
              </w:rPr>
            </w:pPr>
            <w:r w:rsidRPr="00332034">
              <w:rPr>
                <w:rFonts w:ascii="Times New Roman" w:hAnsi="Times New Roman" w:cs="Times New Roman"/>
                <w:szCs w:val="20"/>
              </w:rPr>
              <w:t>100 ppm</w:t>
            </w:r>
          </w:p>
          <w:p w:rsidR="00A12475" w:rsidRPr="00332034" w:rsidRDefault="00A12475" w:rsidP="00332034">
            <w:pPr>
              <w:pStyle w:val="MSDS-TUZeile"/>
              <w:keepNext/>
              <w:keepLines/>
              <w:ind w:left="0"/>
              <w:jc w:val="center"/>
              <w:rPr>
                <w:rFonts w:ascii="Times New Roman" w:hAnsi="Times New Roman" w:cs="Times New Roman"/>
                <w:szCs w:val="20"/>
              </w:rPr>
            </w:pPr>
          </w:p>
          <w:p w:rsidR="00663515" w:rsidRPr="00332034" w:rsidRDefault="00663515" w:rsidP="00332034">
            <w:pPr>
              <w:pStyle w:val="MSDS-TUZeile"/>
              <w:keepNext/>
              <w:keepLines/>
              <w:ind w:left="0"/>
              <w:jc w:val="center"/>
              <w:rPr>
                <w:rFonts w:ascii="Times New Roman" w:hAnsi="Times New Roman" w:cs="Times New Roman"/>
                <w:szCs w:val="20"/>
              </w:rPr>
            </w:pPr>
            <w:r w:rsidRPr="00332034">
              <w:rPr>
                <w:rFonts w:ascii="Times New Roman" w:hAnsi="Times New Roman" w:cs="Times New Roman"/>
                <w:szCs w:val="20"/>
              </w:rPr>
              <w:t>350ppm</w:t>
            </w:r>
          </w:p>
          <w:p w:rsidR="00663515" w:rsidRPr="00332034" w:rsidRDefault="00663515" w:rsidP="00332034">
            <w:pPr>
              <w:pStyle w:val="MSDS-TUZeile"/>
              <w:keepNext/>
              <w:keepLines/>
              <w:ind w:left="0"/>
              <w:jc w:val="center"/>
              <w:rPr>
                <w:rFonts w:ascii="Times New Roman" w:hAnsi="Times New Roman" w:cs="Times New Roman"/>
                <w:szCs w:val="20"/>
              </w:rPr>
            </w:pPr>
          </w:p>
          <w:p w:rsidR="00663515" w:rsidRPr="00332034" w:rsidRDefault="00663515" w:rsidP="00332034">
            <w:pPr>
              <w:pStyle w:val="MSDS-TUZeile"/>
              <w:keepNext/>
              <w:keepLines/>
              <w:ind w:left="0"/>
              <w:jc w:val="center"/>
              <w:rPr>
                <w:rFonts w:ascii="Times New Roman" w:hAnsi="Times New Roman" w:cs="Times New Roman"/>
                <w:szCs w:val="20"/>
              </w:rPr>
            </w:pPr>
          </w:p>
          <w:p w:rsidR="00CB1FF7" w:rsidRPr="00332034" w:rsidRDefault="00663515" w:rsidP="00332034">
            <w:pPr>
              <w:pStyle w:val="MSDS-TUZeile"/>
              <w:keepNext/>
              <w:keepLines/>
              <w:ind w:left="0"/>
              <w:jc w:val="center"/>
              <w:rPr>
                <w:szCs w:val="20"/>
              </w:rPr>
            </w:pPr>
            <w:r w:rsidRPr="00332034">
              <w:rPr>
                <w:rFonts w:ascii="Times New Roman" w:hAnsi="Times New Roman" w:cs="Times New Roman"/>
                <w:szCs w:val="20"/>
              </w:rPr>
              <w:t>1000 ppm</w:t>
            </w:r>
          </w:p>
        </w:tc>
        <w:tc>
          <w:tcPr>
            <w:tcW w:w="2686" w:type="dxa"/>
          </w:tcPr>
          <w:p w:rsidR="00CB1FF7" w:rsidRPr="00332034" w:rsidRDefault="00CB1FF7" w:rsidP="00332034">
            <w:pPr>
              <w:pStyle w:val="MSDS-TZeile"/>
              <w:keepNext/>
              <w:keepLines/>
              <w:ind w:left="0"/>
              <w:jc w:val="center"/>
              <w:rPr>
                <w:rFonts w:ascii="Times New Roman" w:hAnsi="Times New Roman" w:cs="Times New Roman"/>
                <w:szCs w:val="20"/>
                <w:lang w:val="en-US"/>
              </w:rPr>
            </w:pPr>
          </w:p>
          <w:p w:rsidR="00CE20DB" w:rsidRPr="00332034" w:rsidRDefault="00CE20DB" w:rsidP="00332034">
            <w:pPr>
              <w:pStyle w:val="MSDS-TUZeile"/>
              <w:keepNext/>
              <w:keepLines/>
              <w:jc w:val="center"/>
              <w:rPr>
                <w:szCs w:val="20"/>
                <w:lang w:val="en-US"/>
              </w:rPr>
            </w:pPr>
          </w:p>
          <w:p w:rsidR="00CE20DB" w:rsidRPr="00332034" w:rsidRDefault="001938C7" w:rsidP="00332034">
            <w:pPr>
              <w:pStyle w:val="MSDS-TUZeile"/>
              <w:keepNext/>
              <w:keepLines/>
              <w:jc w:val="center"/>
              <w:rPr>
                <w:rFonts w:ascii="Times New Roman" w:hAnsi="Times New Roman" w:cs="Times New Roman"/>
                <w:szCs w:val="20"/>
                <w:lang w:val="en-US"/>
              </w:rPr>
            </w:pPr>
            <w:r w:rsidRPr="00332034">
              <w:rPr>
                <w:rFonts w:ascii="Times New Roman" w:hAnsi="Times New Roman" w:cs="Times New Roman"/>
                <w:szCs w:val="20"/>
                <w:lang w:val="en-US"/>
              </w:rPr>
              <w:t>NOAEC (fertility)</w:t>
            </w:r>
            <w:r w:rsidRPr="00332034">
              <w:rPr>
                <w:rFonts w:ascii="Times New Roman" w:hAnsi="Times New Roman" w:cs="Times New Roman"/>
                <w:szCs w:val="20"/>
                <w:lang w:val="en-US"/>
              </w:rPr>
              <w:br/>
            </w:r>
          </w:p>
          <w:p w:rsidR="00CE20DB" w:rsidRPr="00332034" w:rsidRDefault="00B320DF" w:rsidP="00332034">
            <w:pPr>
              <w:pStyle w:val="MSDS-TUZeile"/>
              <w:keepNext/>
              <w:keepLines/>
              <w:jc w:val="center"/>
              <w:rPr>
                <w:rFonts w:ascii="Times New Roman" w:hAnsi="Times New Roman" w:cs="Times New Roman"/>
                <w:szCs w:val="20"/>
                <w:lang w:val="en-US"/>
              </w:rPr>
            </w:pPr>
            <w:r w:rsidRPr="00332034">
              <w:rPr>
                <w:rFonts w:ascii="Times New Roman" w:hAnsi="Times New Roman" w:cs="Times New Roman"/>
                <w:szCs w:val="20"/>
                <w:lang w:val="en-US"/>
              </w:rPr>
              <w:t>No repro effects</w:t>
            </w:r>
          </w:p>
          <w:p w:rsidR="00CE20DB" w:rsidRPr="00332034" w:rsidRDefault="00CE20DB" w:rsidP="00332034">
            <w:pPr>
              <w:pStyle w:val="MSDS-TUZeile"/>
              <w:keepNext/>
              <w:keepLines/>
              <w:jc w:val="center"/>
              <w:rPr>
                <w:rFonts w:ascii="Times New Roman" w:hAnsi="Times New Roman" w:cs="Times New Roman"/>
                <w:szCs w:val="20"/>
                <w:lang w:val="en-US"/>
              </w:rPr>
            </w:pPr>
          </w:p>
          <w:p w:rsidR="00CE20DB" w:rsidRPr="00332034" w:rsidRDefault="00B320DF" w:rsidP="00332034">
            <w:pPr>
              <w:pStyle w:val="MSDS-TUZeile"/>
              <w:keepNext/>
              <w:keepLines/>
              <w:jc w:val="center"/>
              <w:rPr>
                <w:rFonts w:ascii="Times New Roman" w:hAnsi="Times New Roman" w:cs="Times New Roman"/>
                <w:szCs w:val="20"/>
                <w:lang w:val="en-US"/>
              </w:rPr>
            </w:pPr>
            <w:r w:rsidRPr="00332034">
              <w:rPr>
                <w:rFonts w:ascii="Times New Roman" w:hAnsi="Times New Roman" w:cs="Times New Roman"/>
                <w:szCs w:val="20"/>
                <w:lang w:val="en-US"/>
              </w:rPr>
              <w:t>Increase in relative testicular weights</w:t>
            </w:r>
          </w:p>
          <w:p w:rsidR="00CE20DB" w:rsidRPr="00332034" w:rsidRDefault="00CE20DB" w:rsidP="00332034">
            <w:pPr>
              <w:pStyle w:val="MSDS-TUZeile"/>
              <w:keepNext/>
              <w:keepLines/>
              <w:jc w:val="center"/>
              <w:rPr>
                <w:rFonts w:ascii="Times New Roman" w:hAnsi="Times New Roman" w:cs="Times New Roman"/>
                <w:szCs w:val="20"/>
                <w:lang w:val="en-US"/>
              </w:rPr>
            </w:pPr>
          </w:p>
          <w:p w:rsidR="00CE20DB" w:rsidRPr="00332034" w:rsidRDefault="00B320DF" w:rsidP="00332034">
            <w:pPr>
              <w:pStyle w:val="MSDS-TUZeile"/>
              <w:keepNext/>
              <w:keepLines/>
              <w:jc w:val="center"/>
              <w:rPr>
                <w:szCs w:val="20"/>
                <w:lang w:val="en-US"/>
              </w:rPr>
            </w:pPr>
            <w:r w:rsidRPr="00332034">
              <w:rPr>
                <w:rFonts w:ascii="Times New Roman" w:hAnsi="Times New Roman" w:cs="Times New Roman"/>
                <w:szCs w:val="20"/>
                <w:lang w:val="en-US"/>
              </w:rPr>
              <w:t>Increase in relative testicular weights and slight histiopathological changes (bilateral, mutifocal, and multinucleated spermatids)</w:t>
            </w:r>
          </w:p>
        </w:tc>
        <w:tc>
          <w:tcPr>
            <w:tcW w:w="1358" w:type="dxa"/>
          </w:tcPr>
          <w:p w:rsidR="00CB1FF7" w:rsidRPr="00332034" w:rsidRDefault="00663515"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 xml:space="preserve">Gushow </w:t>
            </w:r>
            <w:r w:rsidR="00B320DF" w:rsidRPr="00332034">
              <w:rPr>
                <w:rFonts w:ascii="Times New Roman" w:hAnsi="Times New Roman" w:cs="Times New Roman"/>
                <w:i/>
                <w:szCs w:val="20"/>
                <w:lang w:val="en-US"/>
              </w:rPr>
              <w:t>et al</w:t>
            </w:r>
            <w:r w:rsidRPr="00332034">
              <w:rPr>
                <w:rFonts w:ascii="Times New Roman" w:hAnsi="Times New Roman" w:cs="Times New Roman"/>
                <w:i/>
                <w:szCs w:val="20"/>
                <w:lang w:val="en-US"/>
              </w:rPr>
              <w:t xml:space="preserve">, </w:t>
            </w:r>
            <w:r w:rsidRPr="00332034">
              <w:rPr>
                <w:rFonts w:ascii="Times New Roman" w:hAnsi="Times New Roman" w:cs="Times New Roman"/>
                <w:szCs w:val="20"/>
                <w:lang w:val="en-US"/>
              </w:rPr>
              <w:t>1982</w:t>
            </w:r>
          </w:p>
        </w:tc>
      </w:tr>
      <w:tr w:rsidR="00663515" w:rsidRPr="00123FB2" w:rsidTr="00332034">
        <w:tc>
          <w:tcPr>
            <w:tcW w:w="1361" w:type="dxa"/>
          </w:tcPr>
          <w:p w:rsidR="00663515" w:rsidRPr="00332034" w:rsidRDefault="00663515" w:rsidP="00332034">
            <w:pPr>
              <w:pStyle w:val="MSDS-TZeile"/>
              <w:keepNext/>
              <w:keepLines/>
              <w:ind w:left="0"/>
              <w:jc w:val="center"/>
              <w:rPr>
                <w:rFonts w:ascii="Times New Roman" w:hAnsi="Times New Roman" w:cs="Times New Roman"/>
                <w:b/>
                <w:i/>
                <w:szCs w:val="20"/>
              </w:rPr>
            </w:pPr>
          </w:p>
        </w:tc>
        <w:tc>
          <w:tcPr>
            <w:tcW w:w="1267" w:type="dxa"/>
          </w:tcPr>
          <w:p w:rsidR="00663515" w:rsidRPr="00332034" w:rsidRDefault="00A12475" w:rsidP="00332034">
            <w:pPr>
              <w:keepNext/>
              <w:keepLines/>
              <w:jc w:val="center"/>
              <w:rPr>
                <w:sz w:val="20"/>
                <w:szCs w:val="20"/>
              </w:rPr>
            </w:pPr>
            <w:r w:rsidRPr="00332034">
              <w:rPr>
                <w:sz w:val="20"/>
                <w:szCs w:val="20"/>
              </w:rPr>
              <w:t>Fischer 344 Rats</w:t>
            </w:r>
          </w:p>
        </w:tc>
        <w:tc>
          <w:tcPr>
            <w:tcW w:w="1866" w:type="dxa"/>
          </w:tcPr>
          <w:p w:rsidR="00663515" w:rsidRPr="00332034" w:rsidRDefault="00A12475"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13-week inhalation</w:t>
            </w:r>
          </w:p>
          <w:p w:rsidR="00E3256D" w:rsidRPr="00332034" w:rsidRDefault="00E3256D" w:rsidP="00332034">
            <w:pPr>
              <w:pStyle w:val="MSDS-TUZeile"/>
              <w:keepNext/>
              <w:keepLines/>
              <w:jc w:val="center"/>
              <w:rPr>
                <w:rFonts w:ascii="Times New Roman" w:hAnsi="Times New Roman" w:cs="Times New Roman"/>
                <w:szCs w:val="20"/>
              </w:rPr>
            </w:pPr>
            <w:r w:rsidRPr="00332034">
              <w:rPr>
                <w:rFonts w:ascii="Times New Roman" w:hAnsi="Times New Roman" w:cs="Times New Roman"/>
                <w:szCs w:val="20"/>
              </w:rPr>
              <w:t>6  hours/day</w:t>
            </w:r>
          </w:p>
          <w:p w:rsidR="00CE20DB" w:rsidRPr="00332034" w:rsidRDefault="00E3256D" w:rsidP="00332034">
            <w:pPr>
              <w:pStyle w:val="MSDS-TUZeile"/>
              <w:keepNext/>
              <w:keepLines/>
              <w:jc w:val="center"/>
              <w:rPr>
                <w:szCs w:val="20"/>
                <w:lang w:val="en-US"/>
              </w:rPr>
            </w:pPr>
            <w:r w:rsidRPr="00332034">
              <w:rPr>
                <w:rFonts w:ascii="Times New Roman" w:hAnsi="Times New Roman" w:cs="Times New Roman"/>
                <w:szCs w:val="20"/>
              </w:rPr>
              <w:t>5 days/week</w:t>
            </w:r>
          </w:p>
        </w:tc>
        <w:tc>
          <w:tcPr>
            <w:tcW w:w="1317" w:type="dxa"/>
          </w:tcPr>
          <w:p w:rsidR="00663515" w:rsidRPr="00332034" w:rsidRDefault="00A12475"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100 ppm</w:t>
            </w:r>
          </w:p>
          <w:p w:rsidR="00CE20DB" w:rsidRPr="00332034" w:rsidRDefault="00B320DF" w:rsidP="00332034">
            <w:pPr>
              <w:pStyle w:val="MSDS-TUZeile"/>
              <w:keepNext/>
              <w:keepLines/>
              <w:jc w:val="center"/>
              <w:rPr>
                <w:rFonts w:ascii="Times New Roman" w:hAnsi="Times New Roman" w:cs="Times New Roman"/>
                <w:szCs w:val="20"/>
                <w:lang w:val="en-US"/>
              </w:rPr>
            </w:pPr>
            <w:r w:rsidRPr="00332034">
              <w:rPr>
                <w:rFonts w:ascii="Times New Roman" w:hAnsi="Times New Roman" w:cs="Times New Roman"/>
                <w:szCs w:val="20"/>
                <w:lang w:val="en-US"/>
              </w:rPr>
              <w:t>350 ppm</w:t>
            </w:r>
          </w:p>
          <w:p w:rsidR="00CE20DB" w:rsidRPr="00332034" w:rsidRDefault="00B320DF" w:rsidP="00332034">
            <w:pPr>
              <w:pStyle w:val="MSDS-TUZeile"/>
              <w:keepNext/>
              <w:keepLines/>
              <w:jc w:val="center"/>
              <w:rPr>
                <w:szCs w:val="20"/>
                <w:lang w:val="en-US"/>
              </w:rPr>
            </w:pPr>
            <w:r w:rsidRPr="00332034">
              <w:rPr>
                <w:rFonts w:ascii="Times New Roman" w:hAnsi="Times New Roman" w:cs="Times New Roman"/>
                <w:szCs w:val="20"/>
                <w:lang w:val="en-US"/>
              </w:rPr>
              <w:t>100 ppm</w:t>
            </w:r>
          </w:p>
        </w:tc>
        <w:tc>
          <w:tcPr>
            <w:tcW w:w="2686" w:type="dxa"/>
          </w:tcPr>
          <w:p w:rsidR="00663515" w:rsidRPr="00332034" w:rsidRDefault="00A12475"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No repro effects</w:t>
            </w:r>
          </w:p>
          <w:p w:rsidR="00CE20DB" w:rsidRPr="00332034" w:rsidRDefault="00B320DF" w:rsidP="00332034">
            <w:pPr>
              <w:pStyle w:val="MSDS-TUZeile"/>
              <w:keepNext/>
              <w:keepLines/>
              <w:jc w:val="center"/>
              <w:rPr>
                <w:rFonts w:ascii="Times New Roman" w:hAnsi="Times New Roman" w:cs="Times New Roman"/>
                <w:szCs w:val="20"/>
                <w:lang w:val="en-US"/>
              </w:rPr>
            </w:pPr>
            <w:r w:rsidRPr="00332034">
              <w:rPr>
                <w:rFonts w:ascii="Times New Roman" w:hAnsi="Times New Roman" w:cs="Times New Roman"/>
                <w:szCs w:val="20"/>
                <w:lang w:val="en-US"/>
              </w:rPr>
              <w:t>No repro effects</w:t>
            </w:r>
          </w:p>
          <w:p w:rsidR="00CE20DB" w:rsidRPr="00332034" w:rsidRDefault="00B320DF" w:rsidP="00332034">
            <w:pPr>
              <w:pStyle w:val="MSDS-TUZeile"/>
              <w:keepNext/>
              <w:keepLines/>
              <w:jc w:val="center"/>
              <w:rPr>
                <w:szCs w:val="20"/>
                <w:lang w:val="en-US"/>
              </w:rPr>
            </w:pPr>
            <w:r w:rsidRPr="00332034">
              <w:rPr>
                <w:rFonts w:ascii="Times New Roman" w:hAnsi="Times New Roman" w:cs="Times New Roman"/>
                <w:szCs w:val="20"/>
                <w:lang w:val="en-US"/>
              </w:rPr>
              <w:t>No repro effects</w:t>
            </w:r>
          </w:p>
        </w:tc>
        <w:tc>
          <w:tcPr>
            <w:tcW w:w="1358" w:type="dxa"/>
          </w:tcPr>
          <w:p w:rsidR="00663515" w:rsidRPr="00332034" w:rsidRDefault="00A12475"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 xml:space="preserve">Gushow </w:t>
            </w:r>
            <w:r w:rsidRPr="00332034">
              <w:rPr>
                <w:rFonts w:ascii="Times New Roman" w:hAnsi="Times New Roman" w:cs="Times New Roman"/>
                <w:i/>
                <w:szCs w:val="20"/>
                <w:lang w:val="en-US"/>
              </w:rPr>
              <w:t xml:space="preserve">et al, </w:t>
            </w:r>
            <w:r w:rsidRPr="00332034">
              <w:rPr>
                <w:rFonts w:ascii="Times New Roman" w:hAnsi="Times New Roman" w:cs="Times New Roman"/>
                <w:szCs w:val="20"/>
                <w:lang w:val="en-US"/>
              </w:rPr>
              <w:t>1982</w:t>
            </w:r>
          </w:p>
        </w:tc>
      </w:tr>
      <w:tr w:rsidR="005F0010" w:rsidRPr="00123FB2" w:rsidTr="00332034">
        <w:tc>
          <w:tcPr>
            <w:tcW w:w="1361" w:type="dxa"/>
          </w:tcPr>
          <w:p w:rsidR="005F0010" w:rsidRPr="00332034" w:rsidRDefault="005F0010" w:rsidP="00332034">
            <w:pPr>
              <w:pStyle w:val="MSDS-TZeile"/>
              <w:keepNext/>
              <w:keepLines/>
              <w:ind w:left="0"/>
              <w:jc w:val="center"/>
              <w:rPr>
                <w:rFonts w:ascii="Times New Roman" w:hAnsi="Times New Roman" w:cs="Times New Roman"/>
                <w:b/>
                <w:szCs w:val="20"/>
              </w:rPr>
            </w:pPr>
            <w:r w:rsidRPr="00332034">
              <w:rPr>
                <w:rFonts w:ascii="Times New Roman" w:hAnsi="Times New Roman" w:cs="Times New Roman"/>
                <w:b/>
                <w:szCs w:val="20"/>
              </w:rPr>
              <w:t>1-Nitropropane</w:t>
            </w:r>
          </w:p>
        </w:tc>
        <w:tc>
          <w:tcPr>
            <w:tcW w:w="1267" w:type="dxa"/>
          </w:tcPr>
          <w:p w:rsidR="005F0010" w:rsidRPr="00332034" w:rsidRDefault="005F0010" w:rsidP="00332034">
            <w:pPr>
              <w:keepNext/>
              <w:keepLines/>
              <w:jc w:val="center"/>
              <w:rPr>
                <w:sz w:val="20"/>
                <w:szCs w:val="20"/>
              </w:rPr>
            </w:pPr>
            <w:r w:rsidRPr="00332034">
              <w:rPr>
                <w:sz w:val="20"/>
                <w:szCs w:val="20"/>
              </w:rPr>
              <w:t>Rats, CD</w:t>
            </w:r>
          </w:p>
        </w:tc>
        <w:tc>
          <w:tcPr>
            <w:tcW w:w="1866" w:type="dxa"/>
          </w:tcPr>
          <w:p w:rsidR="005F0010" w:rsidRPr="00332034" w:rsidRDefault="001938C7"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 xml:space="preserve">Up to </w:t>
            </w:r>
            <w:r w:rsidR="005F0010" w:rsidRPr="00332034">
              <w:rPr>
                <w:rFonts w:ascii="Times New Roman" w:hAnsi="Times New Roman" w:cs="Times New Roman"/>
                <w:szCs w:val="20"/>
                <w:lang w:val="en-US"/>
              </w:rPr>
              <w:t>14 days prebreeding;</w:t>
            </w:r>
          </w:p>
          <w:p w:rsidR="005F0010" w:rsidRPr="00332034" w:rsidRDefault="005F0010" w:rsidP="00332034">
            <w:pPr>
              <w:pStyle w:val="MSDS-TU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14 days mating;</w:t>
            </w:r>
          </w:p>
          <w:p w:rsidR="005F0010" w:rsidRPr="00332034" w:rsidRDefault="005F0010" w:rsidP="00332034">
            <w:pPr>
              <w:pStyle w:val="MSDS-TUZeile"/>
              <w:keepNext/>
              <w:keepLines/>
              <w:ind w:left="0"/>
              <w:jc w:val="center"/>
              <w:rPr>
                <w:szCs w:val="20"/>
                <w:lang w:val="en-US"/>
              </w:rPr>
            </w:pPr>
            <w:r w:rsidRPr="00332034">
              <w:rPr>
                <w:rFonts w:ascii="Times New Roman" w:hAnsi="Times New Roman" w:cs="Times New Roman"/>
                <w:szCs w:val="20"/>
                <w:lang w:val="en-US"/>
              </w:rPr>
              <w:t>Through GD 19</w:t>
            </w:r>
          </w:p>
        </w:tc>
        <w:tc>
          <w:tcPr>
            <w:tcW w:w="1317" w:type="dxa"/>
          </w:tcPr>
          <w:p w:rsidR="005F0010" w:rsidRPr="00332034" w:rsidRDefault="005F0010"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0, 24, 48, 96 ppm</w:t>
            </w:r>
          </w:p>
        </w:tc>
        <w:tc>
          <w:tcPr>
            <w:tcW w:w="2686" w:type="dxa"/>
          </w:tcPr>
          <w:p w:rsidR="004A3D11" w:rsidRPr="00332034" w:rsidRDefault="004A3D11"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Decreased litter size</w:t>
            </w:r>
          </w:p>
          <w:p w:rsidR="005F0010" w:rsidRPr="00332034" w:rsidRDefault="001F2503"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 xml:space="preserve">NOAEC </w:t>
            </w:r>
            <w:r w:rsidR="005F0010" w:rsidRPr="00332034">
              <w:rPr>
                <w:rFonts w:ascii="Times New Roman" w:hAnsi="Times New Roman" w:cs="Times New Roman"/>
                <w:szCs w:val="20"/>
                <w:lang w:val="en-US"/>
              </w:rPr>
              <w:t>(</w:t>
            </w:r>
            <w:r w:rsidRPr="00332034">
              <w:rPr>
                <w:rFonts w:ascii="Times New Roman" w:hAnsi="Times New Roman" w:cs="Times New Roman"/>
                <w:szCs w:val="20"/>
                <w:lang w:val="en-US"/>
              </w:rPr>
              <w:t>maternal</w:t>
            </w:r>
            <w:r w:rsidR="005F0010" w:rsidRPr="00332034">
              <w:rPr>
                <w:rFonts w:ascii="Times New Roman" w:hAnsi="Times New Roman" w:cs="Times New Roman"/>
                <w:szCs w:val="20"/>
                <w:lang w:val="en-US"/>
              </w:rPr>
              <w:t>) = 48 ppm</w:t>
            </w:r>
          </w:p>
          <w:p w:rsidR="005F0010" w:rsidRPr="00332034" w:rsidRDefault="001F2503" w:rsidP="00332034">
            <w:pPr>
              <w:pStyle w:val="MSDS-TUZeile"/>
              <w:keepNext/>
              <w:keepLines/>
              <w:ind w:left="0"/>
              <w:jc w:val="center"/>
              <w:rPr>
                <w:szCs w:val="20"/>
                <w:lang w:val="en-US"/>
              </w:rPr>
            </w:pPr>
            <w:r w:rsidRPr="00332034">
              <w:rPr>
                <w:rFonts w:ascii="Times New Roman" w:hAnsi="Times New Roman" w:cs="Times New Roman"/>
                <w:szCs w:val="20"/>
                <w:lang w:val="en-US"/>
              </w:rPr>
              <w:t xml:space="preserve">NOAEC </w:t>
            </w:r>
            <w:r w:rsidR="005F0010" w:rsidRPr="00332034">
              <w:rPr>
                <w:rFonts w:ascii="Times New Roman" w:hAnsi="Times New Roman" w:cs="Times New Roman"/>
                <w:szCs w:val="20"/>
                <w:lang w:val="en-US"/>
              </w:rPr>
              <w:t>(</w:t>
            </w:r>
            <w:r w:rsidRPr="00332034">
              <w:rPr>
                <w:rFonts w:ascii="Times New Roman" w:hAnsi="Times New Roman" w:cs="Times New Roman"/>
                <w:szCs w:val="20"/>
                <w:lang w:val="en-US"/>
              </w:rPr>
              <w:t>developmental</w:t>
            </w:r>
            <w:r w:rsidR="005F0010" w:rsidRPr="00332034">
              <w:rPr>
                <w:rFonts w:ascii="Times New Roman" w:hAnsi="Times New Roman" w:cs="Times New Roman"/>
                <w:szCs w:val="20"/>
                <w:lang w:val="en-US"/>
              </w:rPr>
              <w:t>) =</w:t>
            </w:r>
          </w:p>
        </w:tc>
        <w:tc>
          <w:tcPr>
            <w:tcW w:w="1358" w:type="dxa"/>
          </w:tcPr>
          <w:p w:rsidR="005F0010" w:rsidRPr="00332034" w:rsidRDefault="00F32346" w:rsidP="00332034">
            <w:pPr>
              <w:pStyle w:val="MSDS-TZeile"/>
              <w:keepNext/>
              <w:keepLines/>
              <w:ind w:left="0"/>
              <w:jc w:val="center"/>
              <w:rPr>
                <w:rFonts w:ascii="Times New Roman" w:hAnsi="Times New Roman" w:cs="Times New Roman"/>
                <w:szCs w:val="20"/>
                <w:lang w:val="en-US"/>
              </w:rPr>
            </w:pPr>
            <w:r w:rsidRPr="00332034">
              <w:rPr>
                <w:rFonts w:ascii="Times New Roman" w:hAnsi="Times New Roman" w:cs="Times New Roman"/>
                <w:szCs w:val="20"/>
                <w:lang w:val="en-US"/>
              </w:rPr>
              <w:t xml:space="preserve">Carney </w:t>
            </w:r>
            <w:r w:rsidRPr="00332034">
              <w:rPr>
                <w:rFonts w:ascii="Times New Roman" w:hAnsi="Times New Roman" w:cs="Times New Roman"/>
                <w:i/>
                <w:szCs w:val="20"/>
                <w:lang w:val="en-US"/>
              </w:rPr>
              <w:t>et al</w:t>
            </w:r>
            <w:r w:rsidRPr="00332034">
              <w:rPr>
                <w:rFonts w:ascii="Times New Roman" w:hAnsi="Times New Roman" w:cs="Times New Roman"/>
                <w:szCs w:val="20"/>
                <w:lang w:val="en-US"/>
              </w:rPr>
              <w:t>., 2003</w:t>
            </w:r>
          </w:p>
        </w:tc>
      </w:tr>
    </w:tbl>
    <w:p w:rsidR="00204A39" w:rsidRPr="00E5458D" w:rsidRDefault="00204A39" w:rsidP="00D93802">
      <w:pPr>
        <w:pStyle w:val="Heading8"/>
        <w:spacing w:before="240"/>
        <w:jc w:val="both"/>
      </w:pPr>
      <w:r w:rsidRPr="00E5458D">
        <w:t>Conclusion</w:t>
      </w:r>
    </w:p>
    <w:p w:rsidR="00204A39" w:rsidRDefault="00A25D2A" w:rsidP="00D8614C">
      <w:pPr>
        <w:jc w:val="both"/>
      </w:pPr>
      <w:r>
        <w:t>The reproductive organs of all category members were evaluated in r</w:t>
      </w:r>
      <w:r w:rsidR="00D8614C">
        <w:t xml:space="preserve">epeated-dose toxicity studies. </w:t>
      </w:r>
      <w:r>
        <w:t>Data for reproductive/developmental toxicity are available for 1-nitropropane</w:t>
      </w:r>
      <w:r w:rsidR="00926AC1">
        <w:t>.</w:t>
      </w:r>
      <w:r>
        <w:t xml:space="preserve"> </w:t>
      </w:r>
      <w:r w:rsidR="00761353">
        <w:t>No histopathological effects were observed in the reproductive organs of rats or mice exposed via inhalation to nitromethane or nitroethane.  Ho</w:t>
      </w:r>
      <w:r w:rsidR="002130A8">
        <w:t xml:space="preserve">wever, </w:t>
      </w:r>
      <w:r w:rsidR="00761353">
        <w:t>a significant decrease in sperm mobility was noted in male rats and mice exposed to nitromethane</w:t>
      </w:r>
      <w:r w:rsidR="00266D7B">
        <w:t xml:space="preserve"> and the </w:t>
      </w:r>
      <w:r w:rsidR="00761353">
        <w:t>rats also had decreased cauda epididymis and testes weights.  In the combined repeated-dose/reproductive/developmental toxicity screening test</w:t>
      </w:r>
      <w:r w:rsidR="002130A8">
        <w:t xml:space="preserve">, </w:t>
      </w:r>
      <w:r w:rsidR="00761353">
        <w:t xml:space="preserve">rats exposed </w:t>
      </w:r>
      <w:r w:rsidR="002130A8">
        <w:t xml:space="preserve">via inhalation </w:t>
      </w:r>
      <w:r w:rsidR="00761353">
        <w:t>to 1-nitropropane</w:t>
      </w:r>
      <w:r w:rsidR="002130A8">
        <w:t xml:space="preserve"> showed</w:t>
      </w:r>
      <w:r w:rsidR="00761353">
        <w:t xml:space="preserve"> a decrease in litter size</w:t>
      </w:r>
      <w:r w:rsidR="00926AC1">
        <w:t xml:space="preserve"> and numbers of pups born live</w:t>
      </w:r>
      <w:r w:rsidR="00761353">
        <w:t xml:space="preserve">.  The NOAEC for </w:t>
      </w:r>
      <w:r w:rsidR="002130A8">
        <w:t>maternal</w:t>
      </w:r>
      <w:r w:rsidR="00761353">
        <w:t xml:space="preserve"> </w:t>
      </w:r>
      <w:r w:rsidR="00926AC1">
        <w:t xml:space="preserve">and reproductive/developmental </w:t>
      </w:r>
      <w:r w:rsidR="00761353">
        <w:t xml:space="preserve">toxicity was </w:t>
      </w:r>
      <w:r w:rsidR="002130A8">
        <w:t>48 ppm (</w:t>
      </w:r>
      <w:r w:rsidR="00B67830" w:rsidRPr="00B67830">
        <w:t>0.17</w:t>
      </w:r>
      <w:r w:rsidR="002130A8" w:rsidRPr="00B67830">
        <w:t xml:space="preserve"> mg/L</w:t>
      </w:r>
      <w:r w:rsidR="002130A8">
        <w:t xml:space="preserve">). </w:t>
      </w:r>
      <w:r w:rsidR="00266D7B">
        <w:t xml:space="preserve"> </w:t>
      </w:r>
      <w:r w:rsidR="00B42911">
        <w:t>The category members showed potential for reproductive/developmental toxicity.</w:t>
      </w:r>
    </w:p>
    <w:p w:rsidR="00D8614C" w:rsidRDefault="00D8614C" w:rsidP="00D8614C">
      <w:pPr>
        <w:pStyle w:val="Heading1"/>
        <w:numPr>
          <w:ilvl w:val="0"/>
          <w:numId w:val="0"/>
        </w:numPr>
        <w:ind w:left="839" w:hanging="839"/>
      </w:pPr>
      <w:bookmarkStart w:id="108" w:name="_Toc32726039"/>
      <w:bookmarkStart w:id="109" w:name="_Toc32727222"/>
      <w:bookmarkStart w:id="110" w:name="_Toc147824552"/>
      <w:r>
        <w:t>4</w:t>
      </w:r>
      <w:r>
        <w:tab/>
        <w:t>hazards to the environment</w:t>
      </w:r>
    </w:p>
    <w:p w:rsidR="00D8614C" w:rsidRPr="00D8614C" w:rsidRDefault="00D8614C" w:rsidP="00D8614C">
      <w:pPr>
        <w:pStyle w:val="Heading2"/>
        <w:numPr>
          <w:ilvl w:val="0"/>
          <w:numId w:val="0"/>
        </w:numPr>
        <w:ind w:left="839" w:hanging="839"/>
      </w:pPr>
      <w:r>
        <w:t>4.1</w:t>
      </w:r>
      <w:r>
        <w:tab/>
      </w:r>
      <w:r w:rsidR="00204A39" w:rsidRPr="00635692">
        <w:t>Aquatic Effects</w:t>
      </w:r>
      <w:bookmarkEnd w:id="108"/>
      <w:bookmarkEnd w:id="109"/>
      <w:bookmarkEnd w:id="110"/>
    </w:p>
    <w:p w:rsidR="00204A39" w:rsidRPr="00123FB2" w:rsidRDefault="00204A39" w:rsidP="00F37C80">
      <w:pPr>
        <w:pStyle w:val="BodyText"/>
        <w:rPr>
          <w:highlight w:val="cyan"/>
        </w:rPr>
      </w:pPr>
      <w:r w:rsidRPr="00751DB5">
        <w:t xml:space="preserve">Based on </w:t>
      </w:r>
      <w:r w:rsidR="00AB2230">
        <w:t xml:space="preserve">similar </w:t>
      </w:r>
      <w:r w:rsidRPr="00751DB5">
        <w:t>physicochemical properties of the category members (low water solubility and log K</w:t>
      </w:r>
      <w:r w:rsidRPr="00751DB5">
        <w:rPr>
          <w:vertAlign w:val="subscript"/>
        </w:rPr>
        <w:t>ow</w:t>
      </w:r>
      <w:r w:rsidRPr="00751DB5">
        <w:t xml:space="preserve"> values </w:t>
      </w:r>
      <w:r w:rsidR="00751DB5" w:rsidRPr="00751DB5">
        <w:t>ranging -0.33 to 0.79</w:t>
      </w:r>
      <w:r w:rsidRPr="00751DB5">
        <w:t>),</w:t>
      </w:r>
      <w:r w:rsidR="00B775AE">
        <w:t xml:space="preserve"> predicted modelling data,</w:t>
      </w:r>
      <w:r w:rsidRPr="00751DB5">
        <w:t xml:space="preserve"> </w:t>
      </w:r>
      <w:r w:rsidR="006544A3">
        <w:t xml:space="preserve">and </w:t>
      </w:r>
      <w:r w:rsidRPr="00751DB5">
        <w:t xml:space="preserve">acute aquatic toxicity </w:t>
      </w:r>
      <w:r w:rsidR="006544A3">
        <w:t>test results,</w:t>
      </w:r>
      <w:r w:rsidR="00AB2230">
        <w:t xml:space="preserve"> </w:t>
      </w:r>
      <w:r w:rsidR="00446672">
        <w:t>the weight of evidence</w:t>
      </w:r>
      <w:r w:rsidR="00AB2230">
        <w:t xml:space="preserve"> </w:t>
      </w:r>
      <w:r w:rsidR="00446672">
        <w:t>justify grouping these chemicals in a category</w:t>
      </w:r>
      <w:r w:rsidRPr="00751DB5">
        <w:t xml:space="preserve">.  </w:t>
      </w:r>
      <w:r w:rsidR="008C38CD">
        <w:t>As noted in Table 4, fugacity model</w:t>
      </w:r>
      <w:r w:rsidR="00B775AE">
        <w:t>l</w:t>
      </w:r>
      <w:r w:rsidR="008C38CD">
        <w:t>ing of the compounds indicate</w:t>
      </w:r>
      <w:r w:rsidR="00331464">
        <w:t>s</w:t>
      </w:r>
      <w:r w:rsidR="008C38CD">
        <w:t xml:space="preserve"> that ~70</w:t>
      </w:r>
      <w:r w:rsidR="00861CED">
        <w:t>%</w:t>
      </w:r>
      <w:r w:rsidR="005B4D1B">
        <w:t xml:space="preserve"> to near 90</w:t>
      </w:r>
      <w:r w:rsidR="008C38CD">
        <w:t xml:space="preserve">% of the </w:t>
      </w:r>
      <w:r w:rsidR="00430890">
        <w:t xml:space="preserve">short chain </w:t>
      </w:r>
      <w:r w:rsidR="00861CED">
        <w:t>nitroparaffins</w:t>
      </w:r>
      <w:r w:rsidR="008C38CD">
        <w:t xml:space="preserve"> will be present in air, with the water component accounting for only 7% (nitropropane) to 19% (nitromethane) of the distributed chemicals.  </w:t>
      </w:r>
    </w:p>
    <w:p w:rsidR="00204A39" w:rsidRPr="0032606D" w:rsidRDefault="00204A39" w:rsidP="00F37C80">
      <w:pPr>
        <w:pStyle w:val="Heading8"/>
        <w:jc w:val="both"/>
      </w:pPr>
      <w:r w:rsidRPr="0032606D">
        <w:t>Acute Toxicity Test Results</w:t>
      </w:r>
    </w:p>
    <w:p w:rsidR="006316FF" w:rsidRPr="006316FF" w:rsidRDefault="0032606D" w:rsidP="00F37C80">
      <w:pPr>
        <w:jc w:val="both"/>
        <w:rPr>
          <w:b/>
        </w:rPr>
      </w:pPr>
      <w:r w:rsidRPr="006316FF">
        <w:rPr>
          <w:b/>
          <w:i/>
          <w:u w:val="single"/>
        </w:rPr>
        <w:t>Nitromethane</w:t>
      </w:r>
      <w:r w:rsidRPr="006316FF">
        <w:rPr>
          <w:b/>
        </w:rPr>
        <w:t xml:space="preserve">   </w:t>
      </w:r>
    </w:p>
    <w:p w:rsidR="0032606D" w:rsidRDefault="0032606D" w:rsidP="00F37C80">
      <w:pPr>
        <w:jc w:val="both"/>
      </w:pPr>
      <w:r>
        <w:t xml:space="preserve">Results of a 48-hour OECD Guideline 203 study conducted in </w:t>
      </w:r>
      <w:r w:rsidRPr="0032606D">
        <w:rPr>
          <w:i/>
        </w:rPr>
        <w:t xml:space="preserve">Brachydanio rerio </w:t>
      </w:r>
      <w:r>
        <w:t>(zebrafish) indicate a no effect concentration (NOEC) of 450 mg/l and a lethal concentration in 50% of the fish (LC</w:t>
      </w:r>
      <w:r w:rsidRPr="0032606D">
        <w:rPr>
          <w:vertAlign w:val="subscript"/>
        </w:rPr>
        <w:t>50</w:t>
      </w:r>
      <w:r>
        <w:t xml:space="preserve"> value) of 460 mg/l </w:t>
      </w:r>
      <w:r w:rsidR="00CF042B">
        <w:t xml:space="preserve">in two separate studies </w:t>
      </w:r>
      <w:r>
        <w:t>(</w:t>
      </w:r>
      <w:r>
        <w:rPr>
          <w:snapToGrid w:val="0"/>
        </w:rPr>
        <w:t xml:space="preserve">Coulston and Corte, 1987; Freitag </w:t>
      </w:r>
      <w:r w:rsidRPr="0032606D">
        <w:rPr>
          <w:i/>
          <w:snapToGrid w:val="0"/>
        </w:rPr>
        <w:t>et al</w:t>
      </w:r>
      <w:r>
        <w:rPr>
          <w:snapToGrid w:val="0"/>
        </w:rPr>
        <w:t>., 1990)</w:t>
      </w:r>
      <w:r>
        <w:t xml:space="preserve">.  Although few details were provided, the study appears to </w:t>
      </w:r>
      <w:r w:rsidR="00751DB5">
        <w:t>have been</w:t>
      </w:r>
      <w:r>
        <w:t xml:space="preserve"> performed according to an established guideline in a closed system (</w:t>
      </w:r>
      <w:r w:rsidR="005B4D1B">
        <w:t xml:space="preserve">to </w:t>
      </w:r>
      <w:r>
        <w:t xml:space="preserve">limit </w:t>
      </w:r>
      <w:r w:rsidR="005B4D1B">
        <w:t>volatilization</w:t>
      </w:r>
      <w:r>
        <w:t xml:space="preserve">), and test material concentrations were analytically confirmed.  </w:t>
      </w:r>
      <w:r w:rsidR="00861CED">
        <w:t>T</w:t>
      </w:r>
      <w:r>
        <w:t xml:space="preserve">he study was given a reliability rating of </w:t>
      </w:r>
      <w:r w:rsidR="00946E63">
        <w:t>4</w:t>
      </w:r>
      <w:r>
        <w:t xml:space="preserve"> </w:t>
      </w:r>
      <w:r w:rsidR="00946E63">
        <w:t>(insufficient documentation)</w:t>
      </w:r>
      <w:r>
        <w:t xml:space="preserve"> </w:t>
      </w:r>
      <w:r w:rsidR="00861CED">
        <w:t xml:space="preserve">as </w:t>
      </w:r>
      <w:r>
        <w:t xml:space="preserve">results were not detailed and purity of the test material was not listed.  An additional </w:t>
      </w:r>
      <w:r w:rsidR="00861CED">
        <w:t xml:space="preserve">fish acute </w:t>
      </w:r>
      <w:r>
        <w:t xml:space="preserve">study that was performed in </w:t>
      </w:r>
      <w:r w:rsidR="00861CED">
        <w:t>an open</w:t>
      </w:r>
      <w:r>
        <w:t xml:space="preserve"> system indicated that the 96-hour LC</w:t>
      </w:r>
      <w:r w:rsidRPr="0032606D">
        <w:rPr>
          <w:vertAlign w:val="subscript"/>
        </w:rPr>
        <w:t>50</w:t>
      </w:r>
      <w:r>
        <w:t xml:space="preserve"> value for </w:t>
      </w:r>
      <w:r w:rsidRPr="0032606D">
        <w:rPr>
          <w:i/>
        </w:rPr>
        <w:t>Pimephales promelas</w:t>
      </w:r>
      <w:r>
        <w:t xml:space="preserve"> (fathead minnow) was &gt; 659.2 mg/l (Curtis and Ward, 1981).  This study is not considered to be as reliable as the OECD Guideline 203 study since test material may have escaped due to volati</w:t>
      </w:r>
      <w:r w:rsidR="005B4D1B">
        <w:t>li</w:t>
      </w:r>
      <w:r>
        <w:t>zation</w:t>
      </w:r>
      <w:r w:rsidR="00413267">
        <w:t xml:space="preserve"> and, although concentrations were analytically confirmed, when and how frequently this analysis was carried out is not known</w:t>
      </w:r>
      <w:r>
        <w:t>.</w:t>
      </w:r>
      <w:r w:rsidR="003F3D0F">
        <w:t xml:space="preserve">  </w:t>
      </w:r>
      <w:r w:rsidR="00B320DF" w:rsidRPr="00F37C80">
        <w:t>Additionally, a predicted fish acute value was used to support the experimental data for nitromethane using AIES program. The predicted 96 hr LC50 for fish was 127 mg/l.</w:t>
      </w:r>
    </w:p>
    <w:p w:rsidR="0032606D" w:rsidRDefault="0032606D" w:rsidP="00F37C80">
      <w:pPr>
        <w:jc w:val="both"/>
      </w:pPr>
      <w:r>
        <w:t xml:space="preserve">An OECD Guideline 202 test performed with </w:t>
      </w:r>
      <w:r w:rsidRPr="00663C06">
        <w:rPr>
          <w:i/>
        </w:rPr>
        <w:t>Daphnia magna</w:t>
      </w:r>
      <w:r>
        <w:t xml:space="preserve"> </w:t>
      </w:r>
      <w:r w:rsidR="005B4D1B">
        <w:t xml:space="preserve">and nitromethane </w:t>
      </w:r>
      <w:r>
        <w:t>indicates that the 24-hour EC</w:t>
      </w:r>
      <w:r w:rsidRPr="0032606D">
        <w:rPr>
          <w:vertAlign w:val="subscript"/>
        </w:rPr>
        <w:t>50</w:t>
      </w:r>
      <w:r>
        <w:t xml:space="preserve"> value in this species is 450 mg/l (</w:t>
      </w:r>
      <w:r>
        <w:rPr>
          <w:snapToGrid w:val="0"/>
        </w:rPr>
        <w:t xml:space="preserve">Coulston and Corte, 1987; Freitag </w:t>
      </w:r>
      <w:r w:rsidRPr="00663C06">
        <w:rPr>
          <w:i/>
          <w:snapToGrid w:val="0"/>
        </w:rPr>
        <w:t>et al</w:t>
      </w:r>
      <w:r>
        <w:rPr>
          <w:snapToGrid w:val="0"/>
        </w:rPr>
        <w:t>., 1990)</w:t>
      </w:r>
      <w:r>
        <w:t xml:space="preserve">.  Although closed systems do not appear to have been used, </w:t>
      </w:r>
      <w:r w:rsidR="001B7C62">
        <w:t xml:space="preserve">dose </w:t>
      </w:r>
      <w:r>
        <w:t xml:space="preserve">concentrations were analytically confirmed.    The study was given a reliability rating of </w:t>
      </w:r>
      <w:r w:rsidR="00946E63">
        <w:t>4</w:t>
      </w:r>
      <w:r>
        <w:t xml:space="preserve"> (</w:t>
      </w:r>
      <w:r w:rsidR="001B7C62" w:rsidRPr="005B4D1B">
        <w:rPr>
          <w:i/>
        </w:rPr>
        <w:t>i.e</w:t>
      </w:r>
      <w:r w:rsidR="001B7C62">
        <w:t xml:space="preserve">., </w:t>
      </w:r>
      <w:r w:rsidR="00946E63">
        <w:t>insufficient documentation)</w:t>
      </w:r>
      <w:r>
        <w:t xml:space="preserve"> due to a lack of </w:t>
      </w:r>
      <w:r w:rsidR="001B7C62">
        <w:t>information on study design</w:t>
      </w:r>
      <w:r w:rsidR="00861CED">
        <w:t xml:space="preserve"> and chemical purity</w:t>
      </w:r>
      <w:r>
        <w:t>.</w:t>
      </w:r>
      <w:r w:rsidR="005077B3">
        <w:t xml:space="preserve">  </w:t>
      </w:r>
      <w:r w:rsidR="00B320DF" w:rsidRPr="00F37C80">
        <w:t>Additionally, a predicted daphnia acute value was used to support the experimental data for nitromethane using Topkat program.</w:t>
      </w:r>
      <w:r w:rsidR="00823AEE" w:rsidRPr="006D26E4">
        <w:t xml:space="preserve">  The predicted EC50 for Daphnia magna was 399 mg/l.</w:t>
      </w:r>
    </w:p>
    <w:p w:rsidR="0032606D" w:rsidRDefault="0032606D" w:rsidP="00F37C80">
      <w:pPr>
        <w:jc w:val="both"/>
      </w:pPr>
      <w:r>
        <w:t>The 72-hour EC</w:t>
      </w:r>
      <w:r w:rsidRPr="0032606D">
        <w:rPr>
          <w:vertAlign w:val="subscript"/>
        </w:rPr>
        <w:t>50</w:t>
      </w:r>
      <w:r>
        <w:t xml:space="preserve"> value for </w:t>
      </w:r>
      <w:r w:rsidR="001B7C62">
        <w:t xml:space="preserve">nitromethane and a freshwater green algae, </w:t>
      </w:r>
      <w:r w:rsidRPr="00663C06">
        <w:rPr>
          <w:i/>
        </w:rPr>
        <w:t>Scenedesmus subspicatus</w:t>
      </w:r>
      <w:r w:rsidR="001B7C62">
        <w:rPr>
          <w:i/>
        </w:rPr>
        <w:t>,</w:t>
      </w:r>
      <w:r>
        <w:t xml:space="preserve"> obtained from an OECD Guideline 201 study</w:t>
      </w:r>
      <w:r w:rsidR="001B7C62">
        <w:t>,</w:t>
      </w:r>
      <w:r>
        <w:t xml:space="preserve"> was 36 mg/l (</w:t>
      </w:r>
      <w:r>
        <w:rPr>
          <w:snapToGrid w:val="0"/>
        </w:rPr>
        <w:t xml:space="preserve">Coulston and Corte, 1987; Freitag </w:t>
      </w:r>
      <w:r w:rsidRPr="00663C06">
        <w:rPr>
          <w:i/>
          <w:snapToGrid w:val="0"/>
        </w:rPr>
        <w:t>et al</w:t>
      </w:r>
      <w:r>
        <w:rPr>
          <w:snapToGrid w:val="0"/>
        </w:rPr>
        <w:t>., 1990)</w:t>
      </w:r>
      <w:r>
        <w:t xml:space="preserve">.  For this test, the toxicity </w:t>
      </w:r>
      <w:r w:rsidR="001B7C62">
        <w:t xml:space="preserve">endpoint </w:t>
      </w:r>
      <w:r>
        <w:t xml:space="preserve">was inhibition of </w:t>
      </w:r>
      <w:r w:rsidR="00861CED">
        <w:t xml:space="preserve">the algal </w:t>
      </w:r>
      <w:r>
        <w:t xml:space="preserve">growth rate.  </w:t>
      </w:r>
      <w:r w:rsidR="001B7C62">
        <w:t xml:space="preserve">The nature of an algal test system involves closed chambers with dosed algal media, and samples are taken for algal growth measurements during study conduct (72 hours).  </w:t>
      </w:r>
      <w:r>
        <w:t>The study was given a reliability rating of 2 (valid with restrictions)</w:t>
      </w:r>
      <w:r w:rsidR="001B7C62">
        <w:t>,</w:t>
      </w:r>
      <w:r>
        <w:t xml:space="preserve"> </w:t>
      </w:r>
      <w:r w:rsidR="001B7C62">
        <w:t xml:space="preserve">as </w:t>
      </w:r>
      <w:r>
        <w:t xml:space="preserve">the report was not </w:t>
      </w:r>
      <w:r w:rsidR="00861CED">
        <w:t xml:space="preserve">sufficiently </w:t>
      </w:r>
      <w:r>
        <w:t xml:space="preserve">detailed and concentrations of test material were not analytically confirmed.  </w:t>
      </w:r>
    </w:p>
    <w:p w:rsidR="001B7C62" w:rsidRDefault="001B7C62" w:rsidP="00F37C80">
      <w:pPr>
        <w:jc w:val="both"/>
      </w:pPr>
    </w:p>
    <w:p w:rsidR="007B0114" w:rsidRDefault="001B7C62" w:rsidP="00F37C80">
      <w:pPr>
        <w:jc w:val="both"/>
      </w:pPr>
      <w:r>
        <w:t xml:space="preserve">In summary, studies with fish, daphnia, and </w:t>
      </w:r>
      <w:r w:rsidR="004A2130">
        <w:t>a freshwater alga</w:t>
      </w:r>
      <w:r>
        <w:t xml:space="preserve"> constitute a short-term </w:t>
      </w:r>
      <w:r w:rsidR="00861CED">
        <w:t xml:space="preserve">acute </w:t>
      </w:r>
      <w:r>
        <w:t xml:space="preserve">database </w:t>
      </w:r>
      <w:r w:rsidR="005077B3">
        <w:t xml:space="preserve">and the predicted value for fish and invertebrates </w:t>
      </w:r>
      <w:r>
        <w:t xml:space="preserve">on the ecotoxicity of nitromethane.  A fish acute study conducted with a closed system and measured dose concentrations </w:t>
      </w:r>
      <w:r w:rsidR="00963971">
        <w:t xml:space="preserve">under OECD guidelines </w:t>
      </w:r>
      <w:r>
        <w:t xml:space="preserve">indicates </w:t>
      </w:r>
      <w:r w:rsidR="005475D7">
        <w:t xml:space="preserve">an </w:t>
      </w:r>
      <w:r>
        <w:t>acute LC</w:t>
      </w:r>
      <w:r w:rsidRPr="00861CED">
        <w:rPr>
          <w:vertAlign w:val="subscript"/>
        </w:rPr>
        <w:t>50</w:t>
      </w:r>
      <w:r>
        <w:t xml:space="preserve"> value </w:t>
      </w:r>
      <w:r w:rsidR="00963971">
        <w:t>gr</w:t>
      </w:r>
      <w:r w:rsidR="005475D7">
        <w:t>e</w:t>
      </w:r>
      <w:r w:rsidR="00963971">
        <w:t xml:space="preserve">ater than </w:t>
      </w:r>
      <w:r w:rsidR="005475D7">
        <w:t>4</w:t>
      </w:r>
      <w:r>
        <w:t xml:space="preserve">00 mg/l, and </w:t>
      </w:r>
      <w:r w:rsidR="00963971">
        <w:t>confirmatory results were noted with a second species of fish and an open air system design.  S</w:t>
      </w:r>
      <w:r>
        <w:t xml:space="preserve">imilar results were </w:t>
      </w:r>
      <w:r w:rsidR="00963971">
        <w:t xml:space="preserve">also </w:t>
      </w:r>
      <w:r>
        <w:t xml:space="preserve">reported </w:t>
      </w:r>
      <w:r w:rsidR="00CC52A4">
        <w:t>in a</w:t>
      </w:r>
      <w:r w:rsidR="00963971">
        <w:t>n OECD guideline</w:t>
      </w:r>
      <w:r w:rsidR="00CC52A4">
        <w:t xml:space="preserve"> study with </w:t>
      </w:r>
      <w:r w:rsidR="00861CED">
        <w:t xml:space="preserve">the freshwater invertebrate, </w:t>
      </w:r>
      <w:r w:rsidR="00861CED" w:rsidRPr="00861CED">
        <w:rPr>
          <w:i/>
        </w:rPr>
        <w:t>Daphnia magna</w:t>
      </w:r>
      <w:r w:rsidR="00861CED">
        <w:t>,</w:t>
      </w:r>
      <w:r w:rsidR="00CC52A4">
        <w:t xml:space="preserve"> </w:t>
      </w:r>
      <w:r>
        <w:t>with measured dose levels</w:t>
      </w:r>
      <w:r w:rsidR="00963971">
        <w:t xml:space="preserve"> of nitromethane</w:t>
      </w:r>
      <w:r>
        <w:t xml:space="preserve">.  An algal growth study conducted under OECD Guideline 201 </w:t>
      </w:r>
      <w:r w:rsidR="00CC52A4">
        <w:t xml:space="preserve">with nominal concentrations suggests that algal species may be the most sensitive </w:t>
      </w:r>
      <w:r w:rsidR="00994B00">
        <w:t xml:space="preserve">aquatic </w:t>
      </w:r>
      <w:r w:rsidR="00CC52A4">
        <w:t xml:space="preserve">taxa with this </w:t>
      </w:r>
      <w:r w:rsidR="00861CED">
        <w:t>chemical</w:t>
      </w:r>
      <w:r w:rsidR="00CC52A4">
        <w:t>, as the 72-hr EC</w:t>
      </w:r>
      <w:r w:rsidR="00CC52A4" w:rsidRPr="00861CED">
        <w:rPr>
          <w:vertAlign w:val="subscript"/>
        </w:rPr>
        <w:t>50</w:t>
      </w:r>
      <w:r w:rsidR="00CC52A4">
        <w:t xml:space="preserve"> value </w:t>
      </w:r>
      <w:r w:rsidR="00861CED">
        <w:t xml:space="preserve">with algae, 36 mg/l, </w:t>
      </w:r>
      <w:r w:rsidR="00CC52A4">
        <w:t xml:space="preserve">is more </w:t>
      </w:r>
      <w:r w:rsidR="00861CED">
        <w:t>th</w:t>
      </w:r>
      <w:r w:rsidR="00CC52A4">
        <w:t xml:space="preserve">an 10-fold more sensitive than </w:t>
      </w:r>
      <w:r w:rsidR="00994B00">
        <w:t xml:space="preserve">toxicity responses </w:t>
      </w:r>
      <w:r w:rsidR="00CC52A4">
        <w:t>with fish or invertebrate</w:t>
      </w:r>
      <w:r w:rsidR="00861CED">
        <w:t xml:space="preserve"> species</w:t>
      </w:r>
      <w:r w:rsidR="00CC52A4">
        <w:t xml:space="preserve">.  </w:t>
      </w:r>
      <w:r w:rsidR="007B0114">
        <w:t>Because there are available mean-measured data for fish, aquatic invertebrates and algae on</w:t>
      </w:r>
      <w:r w:rsidR="0004683A">
        <w:t xml:space="preserve"> what appear to be</w:t>
      </w:r>
      <w:r w:rsidR="007B0114">
        <w:t xml:space="preserve"> the worst cas</w:t>
      </w:r>
      <w:r w:rsidR="005077B3">
        <w:t>e</w:t>
      </w:r>
      <w:r w:rsidR="007B0114">
        <w:t xml:space="preserve"> chemicals 1-nitropropane and </w:t>
      </w:r>
      <w:r w:rsidR="0004683A">
        <w:t xml:space="preserve">the analog </w:t>
      </w:r>
      <w:r w:rsidR="007B0114">
        <w:t xml:space="preserve">2-nitropropane a read across approach </w:t>
      </w:r>
      <w:r w:rsidR="005077B3">
        <w:t xml:space="preserve">can be </w:t>
      </w:r>
      <w:r w:rsidR="007B0114">
        <w:t>used to support lower reliability data for category members.</w:t>
      </w:r>
    </w:p>
    <w:p w:rsidR="0032606D" w:rsidRDefault="0032606D" w:rsidP="00F37C80">
      <w:pPr>
        <w:jc w:val="both"/>
      </w:pPr>
    </w:p>
    <w:p w:rsidR="006316FF" w:rsidRPr="006316FF" w:rsidRDefault="0032606D" w:rsidP="00F37C80">
      <w:pPr>
        <w:jc w:val="both"/>
        <w:rPr>
          <w:b/>
          <w:i/>
        </w:rPr>
      </w:pPr>
      <w:r w:rsidRPr="006316FF">
        <w:rPr>
          <w:b/>
          <w:i/>
          <w:u w:val="single"/>
        </w:rPr>
        <w:t>Nitroethane</w:t>
      </w:r>
      <w:r w:rsidRPr="006316FF">
        <w:rPr>
          <w:b/>
          <w:i/>
        </w:rPr>
        <w:t xml:space="preserve">    </w:t>
      </w:r>
    </w:p>
    <w:p w:rsidR="00663C06" w:rsidRDefault="00663C06" w:rsidP="00F37C80">
      <w:pPr>
        <w:jc w:val="both"/>
      </w:pPr>
      <w:r>
        <w:t xml:space="preserve">Results of a 48-hour OECD Guideline 203 study conducted in </w:t>
      </w:r>
      <w:r w:rsidRPr="00663C06">
        <w:rPr>
          <w:i/>
        </w:rPr>
        <w:t>Brachydanio rerio</w:t>
      </w:r>
      <w:r>
        <w:t xml:space="preserve"> (zebrafish) indicate a no effect concentration (NOEC) of 800 mg/l and a lethal concentration in 50% of the fish (LC</w:t>
      </w:r>
      <w:r w:rsidRPr="00663C06">
        <w:rPr>
          <w:vertAlign w:val="subscript"/>
        </w:rPr>
        <w:t>50</w:t>
      </w:r>
      <w:r>
        <w:t xml:space="preserve"> value) of 880 mg/l (</w:t>
      </w:r>
      <w:r>
        <w:rPr>
          <w:snapToGrid w:val="0"/>
        </w:rPr>
        <w:t xml:space="preserve">Coulston and Corte, 1987; Freitag </w:t>
      </w:r>
      <w:r w:rsidRPr="00663C06">
        <w:rPr>
          <w:i/>
          <w:snapToGrid w:val="0"/>
        </w:rPr>
        <w:t>et al</w:t>
      </w:r>
      <w:r>
        <w:rPr>
          <w:snapToGrid w:val="0"/>
        </w:rPr>
        <w:t>., 1990)</w:t>
      </w:r>
      <w:r>
        <w:t>.  Although few details were provided, the study appears to be valid since it was performed according to an established guideline in a closed system (limit</w:t>
      </w:r>
      <w:r w:rsidR="006316FF">
        <w:t>ing</w:t>
      </w:r>
      <w:r>
        <w:t xml:space="preserve"> volati</w:t>
      </w:r>
      <w:r w:rsidR="004A2130">
        <w:t>li</w:t>
      </w:r>
      <w:r>
        <w:t xml:space="preserve">zation), and test material concentrations were analytically confirmed.  The study was given a reliability rating of </w:t>
      </w:r>
      <w:r w:rsidR="00946E63">
        <w:t>4</w:t>
      </w:r>
      <w:r>
        <w:t xml:space="preserve"> </w:t>
      </w:r>
      <w:r w:rsidR="00946E63">
        <w:t>(insufficient documentation)</w:t>
      </w:r>
      <w:r w:rsidR="004A2130">
        <w:t>, as</w:t>
      </w:r>
      <w:r>
        <w:t xml:space="preserve"> results were not </w:t>
      </w:r>
      <w:r w:rsidR="004A2130">
        <w:t xml:space="preserve">adequately </w:t>
      </w:r>
      <w:r>
        <w:t xml:space="preserve">detailed and purity of the test material was not listed.  An additional </w:t>
      </w:r>
      <w:r w:rsidR="004A2130">
        <w:t xml:space="preserve">fish acute </w:t>
      </w:r>
      <w:r>
        <w:t xml:space="preserve">study that was performed in </w:t>
      </w:r>
      <w:r w:rsidR="004A2130">
        <w:t xml:space="preserve">an open </w:t>
      </w:r>
      <w:r>
        <w:t>system indicated that the 96-hour LC</w:t>
      </w:r>
      <w:r w:rsidRPr="00663C06">
        <w:rPr>
          <w:vertAlign w:val="subscript"/>
        </w:rPr>
        <w:t>50</w:t>
      </w:r>
      <w:r>
        <w:t xml:space="preserve"> value for </w:t>
      </w:r>
      <w:r w:rsidRPr="00663C06">
        <w:rPr>
          <w:i/>
        </w:rPr>
        <w:t>Pimephales promelas</w:t>
      </w:r>
      <w:r>
        <w:t xml:space="preserve"> (fathead minnow) was 596 mg/l (</w:t>
      </w:r>
      <w:r w:rsidR="00C84D9B">
        <w:t>Bailey, 1978</w:t>
      </w:r>
      <w:r>
        <w:t>).  This study is not considered to be as reliable as the OECD Guideline 203 study since concentrations were not analytically confirmed.  Since the LC</w:t>
      </w:r>
      <w:r w:rsidRPr="00663C06">
        <w:rPr>
          <w:vertAlign w:val="subscript"/>
        </w:rPr>
        <w:t>50</w:t>
      </w:r>
      <w:r>
        <w:t xml:space="preserve"> value in the latter study was not greater than the value obtained in the study with zebrafish, </w:t>
      </w:r>
      <w:r w:rsidR="004A2130">
        <w:t xml:space="preserve">loss </w:t>
      </w:r>
      <w:r>
        <w:t xml:space="preserve">of </w:t>
      </w:r>
      <w:r w:rsidR="004A2130">
        <w:t xml:space="preserve">test </w:t>
      </w:r>
      <w:r>
        <w:t xml:space="preserve">material </w:t>
      </w:r>
      <w:r w:rsidR="004A2130">
        <w:t xml:space="preserve">from dosing solutions </w:t>
      </w:r>
      <w:r>
        <w:t xml:space="preserve">due to volatility does not appear to be an issue in the study with fathead minnows.  </w:t>
      </w:r>
    </w:p>
    <w:p w:rsidR="00663C06" w:rsidRDefault="00663C06" w:rsidP="00F37C80">
      <w:pPr>
        <w:jc w:val="both"/>
      </w:pPr>
      <w:r>
        <w:t xml:space="preserve">An OECD Guideline 202 test performed with </w:t>
      </w:r>
      <w:r w:rsidR="004A2130">
        <w:t xml:space="preserve">the freshwater invertebrate, </w:t>
      </w:r>
      <w:r w:rsidRPr="00663C06">
        <w:rPr>
          <w:i/>
        </w:rPr>
        <w:t>Daphnia magna</w:t>
      </w:r>
      <w:r w:rsidR="004A2130">
        <w:t>,</w:t>
      </w:r>
      <w:r>
        <w:t xml:space="preserve"> </w:t>
      </w:r>
      <w:r w:rsidR="006316FF">
        <w:t>measured a</w:t>
      </w:r>
      <w:r>
        <w:t xml:space="preserve"> 24-hour EC</w:t>
      </w:r>
      <w:r w:rsidRPr="00663C06">
        <w:rPr>
          <w:vertAlign w:val="subscript"/>
        </w:rPr>
        <w:t>50</w:t>
      </w:r>
      <w:r>
        <w:t xml:space="preserve"> value in this species </w:t>
      </w:r>
      <w:r w:rsidR="006316FF">
        <w:t xml:space="preserve">of </w:t>
      </w:r>
      <w:r>
        <w:t>1200 mg/l (</w:t>
      </w:r>
      <w:r>
        <w:rPr>
          <w:snapToGrid w:val="0"/>
        </w:rPr>
        <w:t xml:space="preserve">Coulston and Corte, 1987; Freitag </w:t>
      </w:r>
      <w:r w:rsidRPr="00663C06">
        <w:rPr>
          <w:i/>
          <w:snapToGrid w:val="0"/>
        </w:rPr>
        <w:t>et al</w:t>
      </w:r>
      <w:r>
        <w:rPr>
          <w:snapToGrid w:val="0"/>
        </w:rPr>
        <w:t>., 1990)</w:t>
      </w:r>
      <w:r>
        <w:t xml:space="preserve">.  </w:t>
      </w:r>
      <w:r w:rsidR="004A2130">
        <w:t xml:space="preserve">Concentrations of test material were analytically confirmed, however the test duration was 24 hours, and the study is not considered to have met the minimum SIDS requirements.  </w:t>
      </w:r>
      <w:r>
        <w:t xml:space="preserve">An additional </w:t>
      </w:r>
      <w:r w:rsidR="004A2130">
        <w:t xml:space="preserve">acute </w:t>
      </w:r>
      <w:r>
        <w:t xml:space="preserve">study performed </w:t>
      </w:r>
      <w:r w:rsidR="004A2130">
        <w:t xml:space="preserve">with </w:t>
      </w:r>
      <w:r w:rsidRPr="004A2130">
        <w:rPr>
          <w:i/>
        </w:rPr>
        <w:t>Daphnia</w:t>
      </w:r>
      <w:r>
        <w:t xml:space="preserve"> indicates a 48-hour EC</w:t>
      </w:r>
      <w:r w:rsidRPr="00663C06">
        <w:rPr>
          <w:vertAlign w:val="subscript"/>
        </w:rPr>
        <w:t>50</w:t>
      </w:r>
      <w:r>
        <w:t xml:space="preserve"> value of 839 mg/l (Bailey, 1978)</w:t>
      </w:r>
      <w:r w:rsidR="006316FF">
        <w:t>, a value that is consistent with a 24-hr EC</w:t>
      </w:r>
      <w:r w:rsidR="006316FF" w:rsidRPr="006316FF">
        <w:rPr>
          <w:vertAlign w:val="subscript"/>
        </w:rPr>
        <w:t>50</w:t>
      </w:r>
      <w:r w:rsidR="006316FF">
        <w:t xml:space="preserve"> value of 1200 mg/l</w:t>
      </w:r>
      <w:r>
        <w:t xml:space="preserve">.  </w:t>
      </w:r>
    </w:p>
    <w:p w:rsidR="00C84D9B" w:rsidRDefault="00663C06" w:rsidP="00F37C80">
      <w:pPr>
        <w:jc w:val="both"/>
      </w:pPr>
      <w:r>
        <w:t>The 72-hour EC</w:t>
      </w:r>
      <w:r w:rsidRPr="00663C06">
        <w:rPr>
          <w:vertAlign w:val="subscript"/>
        </w:rPr>
        <w:t>50</w:t>
      </w:r>
      <w:r>
        <w:t xml:space="preserve"> value for </w:t>
      </w:r>
      <w:r w:rsidR="004A2130">
        <w:t xml:space="preserve">nitroethane and </w:t>
      </w:r>
      <w:proofErr w:type="gramStart"/>
      <w:r w:rsidR="004A2130">
        <w:t>a freshwater</w:t>
      </w:r>
      <w:proofErr w:type="gramEnd"/>
      <w:r w:rsidR="004A2130">
        <w:t xml:space="preserve"> green algae, </w:t>
      </w:r>
      <w:r w:rsidRPr="00663C06">
        <w:rPr>
          <w:i/>
        </w:rPr>
        <w:t>Scenedesmus subspicatus</w:t>
      </w:r>
      <w:r w:rsidR="004A2130">
        <w:t>,</w:t>
      </w:r>
      <w:r>
        <w:t xml:space="preserve"> obtained from an OECD Guideline 201 study conducted in a closed system</w:t>
      </w:r>
      <w:r w:rsidR="004A2130">
        <w:t>,</w:t>
      </w:r>
      <w:r>
        <w:t xml:space="preserve"> was 6 mg/l (</w:t>
      </w:r>
      <w:r>
        <w:rPr>
          <w:snapToGrid w:val="0"/>
        </w:rPr>
        <w:t xml:space="preserve">Coulston and Corte, 1987; Freitag </w:t>
      </w:r>
      <w:r w:rsidRPr="00663C06">
        <w:rPr>
          <w:i/>
          <w:snapToGrid w:val="0"/>
        </w:rPr>
        <w:t>et al.</w:t>
      </w:r>
      <w:r>
        <w:rPr>
          <w:snapToGrid w:val="0"/>
        </w:rPr>
        <w:t>, 1990)</w:t>
      </w:r>
      <w:r>
        <w:t xml:space="preserve">.  For this test, the toxicity </w:t>
      </w:r>
      <w:r w:rsidR="004A2130">
        <w:t xml:space="preserve">endpoint </w:t>
      </w:r>
      <w:r>
        <w:t xml:space="preserve">was inhibition of </w:t>
      </w:r>
      <w:r w:rsidR="004A2130">
        <w:t xml:space="preserve">the algal </w:t>
      </w:r>
      <w:r>
        <w:t xml:space="preserve">growth rate.  </w:t>
      </w:r>
      <w:r w:rsidR="00C84D9B">
        <w:t xml:space="preserve">The study was given a reliability rating of 2 (valid with restrictions), as the report was not sufficiently detailed and concentrations of test material were not analytically confirmed.  </w:t>
      </w:r>
    </w:p>
    <w:p w:rsidR="004A2130" w:rsidRDefault="004A2130" w:rsidP="00F37C80">
      <w:pPr>
        <w:jc w:val="both"/>
      </w:pPr>
    </w:p>
    <w:p w:rsidR="005475D7" w:rsidRDefault="004A2130" w:rsidP="00F37C80">
      <w:pPr>
        <w:jc w:val="both"/>
        <w:rPr>
          <w:color w:val="000000"/>
        </w:rPr>
      </w:pPr>
      <w:r>
        <w:t xml:space="preserve">In summary, </w:t>
      </w:r>
      <w:r w:rsidR="00963971">
        <w:t xml:space="preserve">a short-term acute database on the ecotoxicity of nitroethane is available due to toxicity test results with </w:t>
      </w:r>
      <w:r>
        <w:t>fish,</w:t>
      </w:r>
      <w:r w:rsidR="00963971">
        <w:t xml:space="preserve"> daphnia, and a freshwater alga</w:t>
      </w:r>
      <w:r>
        <w:t xml:space="preserve">.  </w:t>
      </w:r>
      <w:r w:rsidR="005475D7">
        <w:t>A fish acute study conducted with a closed system and measured dose concentrations under OECD guidelines indicates an acute LC</w:t>
      </w:r>
      <w:r w:rsidR="005475D7" w:rsidRPr="00861CED">
        <w:rPr>
          <w:vertAlign w:val="subscript"/>
        </w:rPr>
        <w:t>50</w:t>
      </w:r>
      <w:r w:rsidR="005475D7">
        <w:t xml:space="preserve"> value </w:t>
      </w:r>
      <w:r w:rsidR="00D4482C">
        <w:t>greater</w:t>
      </w:r>
      <w:r w:rsidR="005475D7">
        <w:t xml:space="preserve"> than </w:t>
      </w:r>
      <w:r w:rsidR="00D4482C">
        <w:t>8</w:t>
      </w:r>
      <w:r w:rsidR="005475D7">
        <w:t>00 mg/l, and confirmatory results were noted with a second species of fish and an open air system design</w:t>
      </w:r>
      <w:r w:rsidR="00D4482C">
        <w:t xml:space="preserve"> (acute fish LC</w:t>
      </w:r>
      <w:r w:rsidR="00D4482C" w:rsidRPr="00D4482C">
        <w:rPr>
          <w:vertAlign w:val="subscript"/>
        </w:rPr>
        <w:t>50</w:t>
      </w:r>
      <w:r w:rsidR="00D4482C">
        <w:t xml:space="preserve"> value of ~600 mg/l)</w:t>
      </w:r>
      <w:r w:rsidR="005475D7">
        <w:t xml:space="preserve">.  Similar results were reported in an OECD guideline study with the freshwater invertebrate, </w:t>
      </w:r>
      <w:r w:rsidR="005475D7" w:rsidRPr="00861CED">
        <w:rPr>
          <w:i/>
        </w:rPr>
        <w:t>Daphnia magna</w:t>
      </w:r>
      <w:r w:rsidR="005475D7">
        <w:t xml:space="preserve">, </w:t>
      </w:r>
      <w:r w:rsidR="00D4482C">
        <w:t xml:space="preserve">also </w:t>
      </w:r>
      <w:r w:rsidR="005475D7">
        <w:t xml:space="preserve">with measured dose levels of </w:t>
      </w:r>
      <w:r w:rsidR="006316FF">
        <w:t>nitroethane</w:t>
      </w:r>
      <w:r w:rsidR="00D4482C">
        <w:t xml:space="preserve"> (acute EC</w:t>
      </w:r>
      <w:r w:rsidR="00D4482C" w:rsidRPr="00D4482C">
        <w:rPr>
          <w:vertAlign w:val="subscript"/>
        </w:rPr>
        <w:t>50</w:t>
      </w:r>
      <w:r w:rsidR="00D4482C">
        <w:t xml:space="preserve"> ~1200 mg/l)</w:t>
      </w:r>
      <w:r w:rsidR="005475D7">
        <w:t>.  An algal growth study conducted under OECD Guideline 201 with nominal concentrations suggests that algal species may be the most sensitive aquatic taxa with this chemical, as the 72-hr EC</w:t>
      </w:r>
      <w:r w:rsidR="005475D7" w:rsidRPr="00861CED">
        <w:rPr>
          <w:vertAlign w:val="subscript"/>
        </w:rPr>
        <w:t>50</w:t>
      </w:r>
      <w:r w:rsidR="005475D7">
        <w:t xml:space="preserve"> value with algae, 6 mg/l, is more than 10</w:t>
      </w:r>
      <w:r w:rsidR="00D4482C">
        <w:t>0</w:t>
      </w:r>
      <w:r w:rsidR="005475D7">
        <w:t xml:space="preserve">-fold </w:t>
      </w:r>
      <w:r w:rsidR="005475D7" w:rsidRPr="00304821">
        <w:rPr>
          <w:color w:val="000000"/>
        </w:rPr>
        <w:t xml:space="preserve">more sensitive than toxicity responses with fish or invertebrate species.   </w:t>
      </w:r>
      <w:r w:rsidR="007B0114" w:rsidRPr="00304821">
        <w:rPr>
          <w:color w:val="000000"/>
        </w:rPr>
        <w:t xml:space="preserve">Because there are available mean-measured data for fish, aquatic invertebrates and algae on </w:t>
      </w:r>
      <w:r w:rsidR="0004683A" w:rsidRPr="00304821">
        <w:rPr>
          <w:color w:val="000000"/>
        </w:rPr>
        <w:t xml:space="preserve">what appear to be </w:t>
      </w:r>
      <w:r w:rsidR="007B0114" w:rsidRPr="00304821">
        <w:rPr>
          <w:color w:val="000000"/>
        </w:rPr>
        <w:t xml:space="preserve">the worst cast chemicals 1-nitropropane and the analog 2-nitropropane a read across approach </w:t>
      </w:r>
      <w:r w:rsidR="00446672">
        <w:rPr>
          <w:color w:val="000000"/>
        </w:rPr>
        <w:t>can be</w:t>
      </w:r>
      <w:r w:rsidR="00446672" w:rsidRPr="00304821">
        <w:rPr>
          <w:color w:val="000000"/>
        </w:rPr>
        <w:t xml:space="preserve"> </w:t>
      </w:r>
      <w:r w:rsidR="007B0114" w:rsidRPr="00304821">
        <w:rPr>
          <w:color w:val="000000"/>
        </w:rPr>
        <w:t>used to support lower reliability data for category members.</w:t>
      </w:r>
    </w:p>
    <w:p w:rsidR="00A00561" w:rsidRDefault="00A00561" w:rsidP="00F37C80">
      <w:pPr>
        <w:jc w:val="both"/>
        <w:rPr>
          <w:color w:val="000000"/>
        </w:rPr>
      </w:pPr>
    </w:p>
    <w:p w:rsidR="00946E63" w:rsidRPr="00304821" w:rsidRDefault="00E20415" w:rsidP="00F37C80">
      <w:pPr>
        <w:jc w:val="both"/>
        <w:rPr>
          <w:b/>
          <w:i/>
          <w:color w:val="000000"/>
          <w:u w:val="single"/>
        </w:rPr>
      </w:pPr>
      <w:r w:rsidRPr="00304821">
        <w:rPr>
          <w:b/>
          <w:i/>
          <w:color w:val="000000"/>
          <w:u w:val="single"/>
        </w:rPr>
        <w:t>1-Nitropropane</w:t>
      </w:r>
    </w:p>
    <w:p w:rsidR="0017117E" w:rsidRPr="00304821" w:rsidRDefault="00B222F9" w:rsidP="00F37C80">
      <w:pPr>
        <w:jc w:val="both"/>
        <w:rPr>
          <w:color w:val="000000"/>
        </w:rPr>
      </w:pPr>
      <w:r w:rsidRPr="00304821">
        <w:rPr>
          <w:color w:val="000000"/>
        </w:rPr>
        <w:t xml:space="preserve">A 96-hour acute toxicity test was conducted with </w:t>
      </w:r>
      <w:r w:rsidRPr="00304821">
        <w:rPr>
          <w:i/>
          <w:color w:val="000000"/>
        </w:rPr>
        <w:t>Oncorhychus mykiss</w:t>
      </w:r>
      <w:r w:rsidRPr="00304821">
        <w:rPr>
          <w:color w:val="000000"/>
        </w:rPr>
        <w:t xml:space="preserve"> (rainbow trout) under flow-through conditions to maximize exposure concentrations throughout the duration of exposure</w:t>
      </w:r>
      <w:r w:rsidR="003649A9" w:rsidRPr="00304821">
        <w:rPr>
          <w:color w:val="000000"/>
        </w:rPr>
        <w:t xml:space="preserve"> period</w:t>
      </w:r>
      <w:r w:rsidRPr="00304821">
        <w:rPr>
          <w:color w:val="000000"/>
        </w:rPr>
        <w:t>.  The test was performed according to the OECD Guidelines for Testing of Chemicals, Guideline 203: Fish, Acute Toxicity Test (17 July 1992) and met the guideline validity criteria.</w:t>
      </w:r>
      <w:r w:rsidR="001232EB" w:rsidRPr="00304821">
        <w:rPr>
          <w:color w:val="000000"/>
        </w:rPr>
        <w:t xml:space="preserve">  Analytical verification of test solution concentrations validated that exposure concentrations were maintained within 81.8 to 91.5% of nominal</w:t>
      </w:r>
      <w:r w:rsidR="003649A9" w:rsidRPr="00304821">
        <w:rPr>
          <w:color w:val="000000"/>
        </w:rPr>
        <w:t xml:space="preserve"> concentrations. Results were based on mean measured concentrations.  All rainbow trout in the negative control group and in the 56 and 91 mg/L treatment groups appeared normal throughout the test. Percent mortality in the 154, 261 and 449 mg/L treatment groups at test termination was 15, 60 and 100%, respectively. All surviving fish in the 154 and 261 mg/L treatment groups appeared normal at test termination, with an exception of one and 4 lethargic fish in the 154 and 261 mg/L treatment groups, respectively. Consequently, the no-mortality concentration and the NOEC were both 91 mg/L.  The 96-hour LC50 was 227 mg/L with a 95% confidence limit of 197 – 264. The 96-hour No Observed Effect Concentration (NOEC) was 91 mg/L.  For comparison to the </w:t>
      </w:r>
      <w:r w:rsidR="009836BA" w:rsidRPr="00304821">
        <w:rPr>
          <w:color w:val="000000"/>
        </w:rPr>
        <w:t>Freitag</w:t>
      </w:r>
      <w:r w:rsidR="003649A9" w:rsidRPr="00304821">
        <w:rPr>
          <w:color w:val="000000"/>
        </w:rPr>
        <w:t>, et al acute test results, the 48-hour LC50 was 233 with a 95% confidence limit of 201 – 271.</w:t>
      </w:r>
    </w:p>
    <w:p w:rsidR="00946E63" w:rsidRDefault="00946E63" w:rsidP="00F37C80">
      <w:pPr>
        <w:jc w:val="both"/>
      </w:pPr>
      <w:r>
        <w:t xml:space="preserve">Results of a 48-hour OECD Guideline 203 study conducted </w:t>
      </w:r>
      <w:r w:rsidR="00D528A9">
        <w:t xml:space="preserve">with </w:t>
      </w:r>
      <w:r w:rsidRPr="001A1EEF">
        <w:rPr>
          <w:i/>
        </w:rPr>
        <w:t>Brachydanio rerio</w:t>
      </w:r>
      <w:r>
        <w:t xml:space="preserve"> (zebrafish) indicate a no effect concentration (NOEC) of 155 mg/l and a lethal concentration in 50% of the fish (LC</w:t>
      </w:r>
      <w:r>
        <w:rPr>
          <w:vertAlign w:val="subscript"/>
        </w:rPr>
        <w:t>50</w:t>
      </w:r>
      <w:r>
        <w:t xml:space="preserve"> value) of 205 mg/l (</w:t>
      </w:r>
      <w:r>
        <w:rPr>
          <w:snapToGrid w:val="0"/>
        </w:rPr>
        <w:t xml:space="preserve">Coulston and Corte, 1987; Freitag </w:t>
      </w:r>
      <w:r w:rsidRPr="00A00753">
        <w:rPr>
          <w:i/>
          <w:snapToGrid w:val="0"/>
        </w:rPr>
        <w:t>et al</w:t>
      </w:r>
      <w:r>
        <w:rPr>
          <w:snapToGrid w:val="0"/>
        </w:rPr>
        <w:t>., 1990)</w:t>
      </w:r>
      <w:r>
        <w:t>.  Although few details were provided, the study appears to have been performed according to an established guideline in a closed system (limit</w:t>
      </w:r>
      <w:r w:rsidR="006316FF">
        <w:t>ing</w:t>
      </w:r>
      <w:r>
        <w:t xml:space="preserve"> volati</w:t>
      </w:r>
      <w:r w:rsidR="006316FF">
        <w:t>li</w:t>
      </w:r>
      <w:r>
        <w:t xml:space="preserve">zation), and test material concentrations were analytically confirmed.  The study was given a reliability rating of 4 (insufficient documentation), since results were not detailed and the duration of the study was only 48 hours.  </w:t>
      </w:r>
    </w:p>
    <w:p w:rsidR="003649A9" w:rsidRPr="00304821" w:rsidRDefault="003649A9" w:rsidP="00F37C80">
      <w:pPr>
        <w:jc w:val="both"/>
        <w:rPr>
          <w:color w:val="000000"/>
        </w:rPr>
      </w:pPr>
      <w:r w:rsidRPr="00304821">
        <w:rPr>
          <w:color w:val="000000"/>
        </w:rPr>
        <w:t xml:space="preserve">A 48-hour acute toxicity test was conducted with the freshwater invertebrate </w:t>
      </w:r>
      <w:r w:rsidRPr="00304821">
        <w:rPr>
          <w:i/>
          <w:color w:val="000000"/>
        </w:rPr>
        <w:t>Daphnia magna</w:t>
      </w:r>
      <w:r w:rsidRPr="00304821">
        <w:rPr>
          <w:color w:val="000000"/>
        </w:rPr>
        <w:t xml:space="preserve"> in closed-bottle exposure vessels to maximize exposure concentrations throughout the duration of exposure period.  The test was performed according to the OECD Guidelines for Testing of Chemicals, </w:t>
      </w:r>
      <w:r w:rsidR="000722BB" w:rsidRPr="00304821">
        <w:rPr>
          <w:color w:val="000000"/>
        </w:rPr>
        <w:t>Guideline 202: Daphnia sp. Acute Immobilization Test</w:t>
      </w:r>
      <w:r w:rsidR="00EE09F4" w:rsidRPr="00304821">
        <w:rPr>
          <w:color w:val="000000"/>
        </w:rPr>
        <w:t xml:space="preserve"> </w:t>
      </w:r>
      <w:r w:rsidRPr="00304821">
        <w:rPr>
          <w:color w:val="000000"/>
        </w:rPr>
        <w:t>(</w:t>
      </w:r>
      <w:r w:rsidR="000722BB" w:rsidRPr="00304821">
        <w:rPr>
          <w:color w:val="000000"/>
        </w:rPr>
        <w:t>13 April 2004</w:t>
      </w:r>
      <w:r w:rsidRPr="00304821">
        <w:rPr>
          <w:color w:val="000000"/>
        </w:rPr>
        <w:t xml:space="preserve">) and met the guideline validity criteria.  </w:t>
      </w:r>
      <w:r w:rsidR="000722BB" w:rsidRPr="00304821">
        <w:rPr>
          <w:color w:val="000000"/>
        </w:rPr>
        <w:t xml:space="preserve">Measured concentrations at time 0 ranged from 90.8 to 96.6% of nominal (study initiation).  Measured concentrations at 48 hours ranged from approximately 76.8 to 96.9% of nominal.  Mean measured concentrations ranged from 83 to 89% of nominal.  </w:t>
      </w:r>
      <w:r w:rsidRPr="00304821">
        <w:rPr>
          <w:color w:val="000000"/>
        </w:rPr>
        <w:t>Results were based on mean measured concentrations.</w:t>
      </w:r>
      <w:r w:rsidR="000722BB" w:rsidRPr="00304821">
        <w:rPr>
          <w:color w:val="000000"/>
        </w:rPr>
        <w:t xml:space="preserve">  Daphnids in the negative control group and in the 66, 116 and 192 mg/L treatment groups generally appeared normal throughout the test. Percent immobility in the 298, 529 and 888 mg/L treatment groups at test termination was 45, 60 and 100%, respectively.  The 48-hour EC50 value was 380 mg/L, with a 95% confidence interval of 318 to 459 mg/L. The slope of the concentration-response curve was 4.316. The no-immobility concentration and NOEC were both 192 mg/L.  The 24-hour EC50 value (for comparison to earlier </w:t>
      </w:r>
      <w:r w:rsidR="009836BA" w:rsidRPr="00304821">
        <w:rPr>
          <w:color w:val="000000"/>
        </w:rPr>
        <w:t>Freitag</w:t>
      </w:r>
      <w:r w:rsidR="00DF523F" w:rsidRPr="00304821">
        <w:rPr>
          <w:color w:val="000000"/>
        </w:rPr>
        <w:t xml:space="preserve">, et al </w:t>
      </w:r>
      <w:r w:rsidR="000722BB" w:rsidRPr="00304821">
        <w:rPr>
          <w:color w:val="000000"/>
        </w:rPr>
        <w:t>daphnid test which only ran 24 hours) was 696 mg/L, with a 95% confidence interval of 592 to 857 mg/L.</w:t>
      </w:r>
      <w:r w:rsidRPr="00304821">
        <w:rPr>
          <w:color w:val="000000"/>
        </w:rPr>
        <w:t xml:space="preserve">  </w:t>
      </w:r>
    </w:p>
    <w:p w:rsidR="00946E63" w:rsidRDefault="00946E63" w:rsidP="00F37C80">
      <w:pPr>
        <w:jc w:val="both"/>
      </w:pPr>
      <w:r>
        <w:t xml:space="preserve">An OECD Guideline 202 test performed with </w:t>
      </w:r>
      <w:r w:rsidR="00D528A9">
        <w:t xml:space="preserve">the freshwater invertebrate, </w:t>
      </w:r>
      <w:r w:rsidRPr="001A1EEF">
        <w:rPr>
          <w:i/>
        </w:rPr>
        <w:t>Daphnia magna</w:t>
      </w:r>
      <w:r w:rsidR="00D528A9">
        <w:t xml:space="preserve">, </w:t>
      </w:r>
      <w:r w:rsidR="006316FF">
        <w:t>measured a</w:t>
      </w:r>
      <w:r>
        <w:t xml:space="preserve"> 24-hour EC</w:t>
      </w:r>
      <w:r>
        <w:rPr>
          <w:vertAlign w:val="subscript"/>
        </w:rPr>
        <w:t xml:space="preserve">50 </w:t>
      </w:r>
      <w:r>
        <w:t xml:space="preserve">value in this species </w:t>
      </w:r>
      <w:r w:rsidR="006316FF">
        <w:t xml:space="preserve">of </w:t>
      </w:r>
      <w:r>
        <w:t>258 mg/l (</w:t>
      </w:r>
      <w:r>
        <w:rPr>
          <w:snapToGrid w:val="0"/>
        </w:rPr>
        <w:t xml:space="preserve">Coulston and Corte, 1987; Freitag </w:t>
      </w:r>
      <w:r w:rsidRPr="00946E63">
        <w:rPr>
          <w:i/>
          <w:snapToGrid w:val="0"/>
        </w:rPr>
        <w:t>et al</w:t>
      </w:r>
      <w:r>
        <w:rPr>
          <w:snapToGrid w:val="0"/>
        </w:rPr>
        <w:t>., 1990)</w:t>
      </w:r>
      <w:r>
        <w:t xml:space="preserve">.  Although closed systems do not appear to have been used, analytical concentrations </w:t>
      </w:r>
      <w:r w:rsidR="00D528A9">
        <w:t xml:space="preserve">of 1-nitropropane </w:t>
      </w:r>
      <w:r>
        <w:t xml:space="preserve">were measured in this test.  The study was given a reliability rating of </w:t>
      </w:r>
      <w:r w:rsidR="00104126">
        <w:t xml:space="preserve">2 </w:t>
      </w:r>
      <w:r>
        <w:t>(</w:t>
      </w:r>
      <w:r w:rsidR="00104126">
        <w:t>valid with restrictions</w:t>
      </w:r>
      <w:r>
        <w:t xml:space="preserve">) </w:t>
      </w:r>
      <w:r w:rsidR="00104126">
        <w:t>as the report was not sufficiently detailed and concentrations of test material were not analytically confirmed.  Therefore, some of the material may have volatized</w:t>
      </w:r>
      <w:r>
        <w:t>.</w:t>
      </w:r>
    </w:p>
    <w:p w:rsidR="00EE09F4" w:rsidRPr="00304821" w:rsidRDefault="00206243" w:rsidP="00F37C80">
      <w:pPr>
        <w:jc w:val="both"/>
        <w:rPr>
          <w:color w:val="000000"/>
        </w:rPr>
      </w:pPr>
      <w:r w:rsidRPr="00304821">
        <w:rPr>
          <w:color w:val="000000"/>
        </w:rPr>
        <w:t xml:space="preserve">A 96-hour growth inhibition test with the freshwater green alga, </w:t>
      </w:r>
      <w:r w:rsidR="00B320DF" w:rsidRPr="00F37C80">
        <w:rPr>
          <w:i/>
          <w:color w:val="000000"/>
        </w:rPr>
        <w:t>Pseudokirneriella subcapitata</w:t>
      </w:r>
      <w:r w:rsidRPr="00304821">
        <w:rPr>
          <w:color w:val="000000"/>
        </w:rPr>
        <w:t>, was conducted in closed-bottle exposure vessels to maximize exposure concentrations throughout the duration of exposure period.  The test was performed according to the OECD Guidelines for Testing of Chemicals, Guideline 20</w:t>
      </w:r>
      <w:r w:rsidR="00EE09F4" w:rsidRPr="00304821">
        <w:rPr>
          <w:color w:val="000000"/>
        </w:rPr>
        <w:t>1</w:t>
      </w:r>
      <w:r w:rsidRPr="00304821">
        <w:rPr>
          <w:color w:val="000000"/>
        </w:rPr>
        <w:t xml:space="preserve">: </w:t>
      </w:r>
      <w:r w:rsidR="00EE09F4" w:rsidRPr="00304821">
        <w:rPr>
          <w:color w:val="000000"/>
        </w:rPr>
        <w:t xml:space="preserve">Freshwater Alga and Cyanobacteria, Growth Inhibition (23 March 2006) with modifications to control for the volatility of the test material.  Due to the potential volatility of the test chemical the standard test vessel design could not be used. Instead, test chambers were </w:t>
      </w:r>
      <w:proofErr w:type="gramStart"/>
      <w:r w:rsidR="00EE09F4" w:rsidRPr="00304821">
        <w:rPr>
          <w:color w:val="000000"/>
        </w:rPr>
        <w:t>sterile,</w:t>
      </w:r>
      <w:proofErr w:type="gramEnd"/>
      <w:r w:rsidR="00EE09F4" w:rsidRPr="00304821">
        <w:rPr>
          <w:color w:val="000000"/>
        </w:rPr>
        <w:t xml:space="preserve"> 125-mL glass serum bottles with an aluminum seal containing a Teflon® lined rubber septa, and contained 60 mL of test or control medium. The following ISO guideline was used as reference for the experimental design: The International Organization for Standardization (ISO). 2006: ISO 14442 Standard: Water Quality – Guidelines for algal growth inhibition tests with poorly water soluble materials, volatile compounds, metals and waste water, Technical Committee ISO/TC 147, Water Quality, Subcommittee SC 5, Biological Methods</w:t>
      </w:r>
      <w:r w:rsidR="004B67FA">
        <w:rPr>
          <w:color w:val="000000"/>
        </w:rPr>
        <w:t>,</w:t>
      </w:r>
      <w:r w:rsidR="00EE09F4" w:rsidRPr="00304821">
        <w:rPr>
          <w:color w:val="000000"/>
        </w:rPr>
        <w:t xml:space="preserve"> Second Edition 2006-04-01.  Even with modifications to the test design the study met </w:t>
      </w:r>
      <w:r w:rsidRPr="00304821">
        <w:rPr>
          <w:color w:val="000000"/>
        </w:rPr>
        <w:t>the guideline validity criteria</w:t>
      </w:r>
      <w:r w:rsidR="00EE09F4" w:rsidRPr="00304821">
        <w:rPr>
          <w:color w:val="000000"/>
        </w:rPr>
        <w:t xml:space="preserve"> set forth in OECD 201</w:t>
      </w:r>
      <w:r w:rsidRPr="00304821">
        <w:rPr>
          <w:color w:val="000000"/>
        </w:rPr>
        <w:t xml:space="preserve">.  </w:t>
      </w:r>
      <w:r w:rsidR="00EE09F4" w:rsidRPr="00304821">
        <w:rPr>
          <w:color w:val="000000"/>
        </w:rPr>
        <w:t>Measured concentrations on Day 0 ranged from 90 to 94% of nominal. Measured concentrations declined by Day 4, and ranged from 63 to 90% of nominal. The results of the study are based on geometric mean measured concentrations of 15, 28, 48, 97, 219 and 456 mg a.i</w:t>
      </w:r>
      <w:proofErr w:type="gramStart"/>
      <w:r w:rsidR="00EE09F4" w:rsidRPr="00304821">
        <w:rPr>
          <w:color w:val="000000"/>
        </w:rPr>
        <w:t>./</w:t>
      </w:r>
      <w:proofErr w:type="gramEnd"/>
      <w:r w:rsidR="00EE09F4" w:rsidRPr="00304821">
        <w:rPr>
          <w:color w:val="000000"/>
        </w:rPr>
        <w:t>L, representing 94, 90, 76, 78, 88, and 91% of nominal. The geometric mean measured concentration of the abiotic control was 473 mg a.i</w:t>
      </w:r>
      <w:proofErr w:type="gramStart"/>
      <w:r w:rsidR="00EE09F4" w:rsidRPr="00304821">
        <w:rPr>
          <w:color w:val="000000"/>
        </w:rPr>
        <w:t>./</w:t>
      </w:r>
      <w:proofErr w:type="gramEnd"/>
      <w:r w:rsidR="00EE09F4" w:rsidRPr="00304821">
        <w:rPr>
          <w:color w:val="000000"/>
        </w:rPr>
        <w:t>L, representing 95% of nominal, indicating that the test substance was stable over the test.</w:t>
      </w:r>
      <w:r w:rsidR="0075185D" w:rsidRPr="00304821">
        <w:rPr>
          <w:color w:val="000000"/>
        </w:rPr>
        <w:t xml:space="preserve">  Results were based on the geometric mean measured concentrations.</w:t>
      </w:r>
      <w:r w:rsidR="00883B1C" w:rsidRPr="00304821">
        <w:rPr>
          <w:color w:val="000000"/>
        </w:rPr>
        <w:t xml:space="preserve">  After 72 hours of exposure, inhibition of yield in the 15, 28, 48, 97, 219 and 456 mg a.i./L treatment groups was –29, 32, 17, -17, 37 and 88%, respectively, relative to the negative control. Percent inhibition of growth rate in the 15, 28, 48, 97, 219 and 456 mg a.i./L treatment groups was –5.9, 7.0, 3.4, -3.9, 8.9 and 43%, respectively, relative to the negative control. Dunnett’s test indicated that there was a significant reduction (p ≤ 0.05) in yield in the 28, 219 and 456 mg a.i</w:t>
      </w:r>
      <w:proofErr w:type="gramStart"/>
      <w:r w:rsidR="00883B1C" w:rsidRPr="00304821">
        <w:rPr>
          <w:color w:val="000000"/>
        </w:rPr>
        <w:t>./</w:t>
      </w:r>
      <w:proofErr w:type="gramEnd"/>
      <w:r w:rsidR="00883B1C" w:rsidRPr="00304821">
        <w:rPr>
          <w:color w:val="000000"/>
        </w:rPr>
        <w:t>L treatment groups and a significant reduction in growth rate in the 219 and 456 mg a.i./L treatment group. Consequently, the 72– hour NOECs for yield and growth rate were 15 and 97 mg a.i</w:t>
      </w:r>
      <w:proofErr w:type="gramStart"/>
      <w:r w:rsidR="00883B1C" w:rsidRPr="00304821">
        <w:rPr>
          <w:color w:val="000000"/>
        </w:rPr>
        <w:t>./</w:t>
      </w:r>
      <w:proofErr w:type="gramEnd"/>
      <w:r w:rsidR="00883B1C" w:rsidRPr="00304821">
        <w:rPr>
          <w:color w:val="000000"/>
        </w:rPr>
        <w:t>L, respectively.  The 72–hour ErC50 value, based on growth rate, was greater than 456 mg a.i</w:t>
      </w:r>
      <w:proofErr w:type="gramStart"/>
      <w:r w:rsidR="00883B1C" w:rsidRPr="00304821">
        <w:rPr>
          <w:color w:val="000000"/>
        </w:rPr>
        <w:t>./</w:t>
      </w:r>
      <w:proofErr w:type="gramEnd"/>
      <w:r w:rsidR="00883B1C" w:rsidRPr="00304821">
        <w:rPr>
          <w:color w:val="000000"/>
        </w:rPr>
        <w:t>L, the highest concentration tested.</w:t>
      </w:r>
    </w:p>
    <w:p w:rsidR="0032606D" w:rsidRPr="00304821" w:rsidRDefault="00946E63" w:rsidP="00F37C80">
      <w:pPr>
        <w:jc w:val="both"/>
        <w:rPr>
          <w:color w:val="000000"/>
        </w:rPr>
      </w:pPr>
      <w:r w:rsidRPr="00304821">
        <w:rPr>
          <w:color w:val="000000"/>
        </w:rPr>
        <w:t>The 72-hour EC</w:t>
      </w:r>
      <w:r w:rsidRPr="00304821">
        <w:rPr>
          <w:color w:val="000000"/>
          <w:vertAlign w:val="subscript"/>
        </w:rPr>
        <w:t>50</w:t>
      </w:r>
      <w:r w:rsidRPr="00304821">
        <w:rPr>
          <w:color w:val="000000"/>
        </w:rPr>
        <w:t xml:space="preserve"> value for </w:t>
      </w:r>
      <w:r w:rsidR="00D528A9" w:rsidRPr="00304821">
        <w:rPr>
          <w:color w:val="000000"/>
        </w:rPr>
        <w:t xml:space="preserve">the freshwater green algae, </w:t>
      </w:r>
      <w:r w:rsidRPr="00304821">
        <w:rPr>
          <w:i/>
          <w:color w:val="000000"/>
        </w:rPr>
        <w:t>Scenedesmus subspicatus</w:t>
      </w:r>
      <w:r w:rsidR="00D528A9" w:rsidRPr="00304821">
        <w:rPr>
          <w:i/>
          <w:color w:val="000000"/>
        </w:rPr>
        <w:t>,</w:t>
      </w:r>
      <w:r w:rsidRPr="00304821">
        <w:rPr>
          <w:color w:val="000000"/>
        </w:rPr>
        <w:t xml:space="preserve"> from an OECD Guideline 201 study was 98 mg/l (</w:t>
      </w:r>
      <w:r w:rsidRPr="00304821">
        <w:rPr>
          <w:snapToGrid w:val="0"/>
          <w:color w:val="000000"/>
        </w:rPr>
        <w:t>Coulston and Corte, 1987; Freitag et al., 1990)</w:t>
      </w:r>
      <w:r w:rsidRPr="00304821">
        <w:rPr>
          <w:color w:val="000000"/>
        </w:rPr>
        <w:t xml:space="preserve">.  For this test, the toxicity </w:t>
      </w:r>
      <w:r w:rsidR="00D528A9" w:rsidRPr="00304821">
        <w:rPr>
          <w:color w:val="000000"/>
        </w:rPr>
        <w:t xml:space="preserve">endpoint </w:t>
      </w:r>
      <w:r w:rsidRPr="00304821">
        <w:rPr>
          <w:color w:val="000000"/>
        </w:rPr>
        <w:t xml:space="preserve">was inhibition of </w:t>
      </w:r>
      <w:r w:rsidR="00D528A9" w:rsidRPr="00304821">
        <w:rPr>
          <w:color w:val="000000"/>
        </w:rPr>
        <w:t xml:space="preserve">algal </w:t>
      </w:r>
      <w:r w:rsidRPr="00304821">
        <w:rPr>
          <w:color w:val="000000"/>
        </w:rPr>
        <w:t>growth rate.  The study was given a reliability rating of</w:t>
      </w:r>
      <w:r w:rsidR="00104126">
        <w:rPr>
          <w:color w:val="000000"/>
        </w:rPr>
        <w:t>2</w:t>
      </w:r>
      <w:r w:rsidR="00104126" w:rsidRPr="00304821">
        <w:rPr>
          <w:color w:val="000000"/>
        </w:rPr>
        <w:t xml:space="preserve"> </w:t>
      </w:r>
      <w:r w:rsidRPr="00304821">
        <w:rPr>
          <w:color w:val="000000"/>
        </w:rPr>
        <w:t>(</w:t>
      </w:r>
      <w:r w:rsidR="00104126">
        <w:rPr>
          <w:color w:val="000000"/>
        </w:rPr>
        <w:t>valid with restrictions</w:t>
      </w:r>
      <w:r w:rsidRPr="00304821">
        <w:rPr>
          <w:color w:val="000000"/>
        </w:rPr>
        <w:t>)</w:t>
      </w:r>
      <w:r w:rsidR="00104126">
        <w:rPr>
          <w:color w:val="000000"/>
        </w:rPr>
        <w:t>,</w:t>
      </w:r>
      <w:r w:rsidRPr="00304821">
        <w:rPr>
          <w:color w:val="000000"/>
        </w:rPr>
        <w:t xml:space="preserve"> </w:t>
      </w:r>
      <w:r w:rsidR="00104126">
        <w:t>as the report was not sufficiently detailed and concentrations of test material were not analytically confirmed</w:t>
      </w:r>
      <w:r w:rsidRPr="00304821">
        <w:rPr>
          <w:color w:val="000000"/>
        </w:rPr>
        <w:t xml:space="preserve">.  </w:t>
      </w:r>
      <w:r w:rsidR="00D528A9" w:rsidRPr="00304821">
        <w:rPr>
          <w:color w:val="000000"/>
        </w:rPr>
        <w:t>However, this estimated 72-hr EC</w:t>
      </w:r>
      <w:r w:rsidR="00D528A9" w:rsidRPr="00304821">
        <w:rPr>
          <w:color w:val="000000"/>
          <w:vertAlign w:val="subscript"/>
        </w:rPr>
        <w:t>50</w:t>
      </w:r>
      <w:r w:rsidR="00D528A9" w:rsidRPr="00304821">
        <w:rPr>
          <w:color w:val="000000"/>
        </w:rPr>
        <w:t xml:space="preserve"> value for 1-nitropropane of 98 mg/l is consistent with the robust datasets provided for nitromethane and nitroethane, for the algal growth endpoint was the most sensitiv</w:t>
      </w:r>
      <w:r w:rsidR="00A7776E" w:rsidRPr="00304821">
        <w:rPr>
          <w:color w:val="000000"/>
        </w:rPr>
        <w:t xml:space="preserve">e with these chemicals by factors of 10 to 100 or more over fish and invertebrate species.  </w:t>
      </w:r>
    </w:p>
    <w:p w:rsidR="00D528A9" w:rsidRPr="00304821" w:rsidRDefault="00D528A9" w:rsidP="00F37C80">
      <w:pPr>
        <w:jc w:val="both"/>
        <w:rPr>
          <w:color w:val="000000"/>
        </w:rPr>
      </w:pPr>
    </w:p>
    <w:p w:rsidR="00742D4A" w:rsidRDefault="00D528A9" w:rsidP="00F37C80">
      <w:pPr>
        <w:jc w:val="both"/>
        <w:rPr>
          <w:color w:val="000000"/>
        </w:rPr>
      </w:pPr>
      <w:r w:rsidRPr="00304821">
        <w:rPr>
          <w:color w:val="000000"/>
        </w:rPr>
        <w:t xml:space="preserve">In summary, a short-term acute database on the ecotoxicity of </w:t>
      </w:r>
      <w:r w:rsidR="00A7776E" w:rsidRPr="00304821">
        <w:rPr>
          <w:color w:val="000000"/>
        </w:rPr>
        <w:t>1-</w:t>
      </w:r>
      <w:r w:rsidRPr="00304821">
        <w:rPr>
          <w:color w:val="000000"/>
        </w:rPr>
        <w:t>nitro</w:t>
      </w:r>
      <w:r w:rsidR="00A7776E" w:rsidRPr="00304821">
        <w:rPr>
          <w:color w:val="000000"/>
        </w:rPr>
        <w:t>propane</w:t>
      </w:r>
      <w:r w:rsidRPr="00304821">
        <w:rPr>
          <w:color w:val="000000"/>
        </w:rPr>
        <w:t xml:space="preserve"> is available due to toxicity test results with fish, daphnia, and a freshwater alga.  A fish acute study conducted with a closed system and measured dose concentrations under OECD guidelines indicates an acute LC</w:t>
      </w:r>
      <w:r w:rsidRPr="00304821">
        <w:rPr>
          <w:color w:val="000000"/>
          <w:vertAlign w:val="subscript"/>
        </w:rPr>
        <w:t>50</w:t>
      </w:r>
      <w:r w:rsidRPr="00304821">
        <w:rPr>
          <w:color w:val="000000"/>
        </w:rPr>
        <w:t xml:space="preserve"> value greater than </w:t>
      </w:r>
      <w:r w:rsidR="00A7776E" w:rsidRPr="00304821">
        <w:rPr>
          <w:color w:val="000000"/>
        </w:rPr>
        <w:t>2</w:t>
      </w:r>
      <w:r w:rsidRPr="00304821">
        <w:rPr>
          <w:color w:val="000000"/>
        </w:rPr>
        <w:t>00 mg/l</w:t>
      </w:r>
      <w:r w:rsidR="00A7776E" w:rsidRPr="00304821">
        <w:rPr>
          <w:color w:val="000000"/>
        </w:rPr>
        <w:t>.</w:t>
      </w:r>
      <w:r w:rsidRPr="00304821">
        <w:rPr>
          <w:color w:val="000000"/>
        </w:rPr>
        <w:t xml:space="preserve">  Similar results were reported in an OECD guideline study with the freshwater invertebrate, </w:t>
      </w:r>
      <w:r w:rsidRPr="00304821">
        <w:rPr>
          <w:i/>
          <w:color w:val="000000"/>
        </w:rPr>
        <w:t>Daphnia magna</w:t>
      </w:r>
      <w:r w:rsidRPr="00304821">
        <w:rPr>
          <w:color w:val="000000"/>
        </w:rPr>
        <w:t xml:space="preserve">, also with measured dose levels of </w:t>
      </w:r>
      <w:r w:rsidR="00A7776E" w:rsidRPr="00304821">
        <w:rPr>
          <w:color w:val="000000"/>
        </w:rPr>
        <w:t>1-nitropropane</w:t>
      </w:r>
      <w:r w:rsidRPr="00304821">
        <w:rPr>
          <w:color w:val="000000"/>
        </w:rPr>
        <w:t xml:space="preserve"> (acute EC</w:t>
      </w:r>
      <w:r w:rsidRPr="00304821">
        <w:rPr>
          <w:color w:val="000000"/>
          <w:vertAlign w:val="subscript"/>
        </w:rPr>
        <w:t>50</w:t>
      </w:r>
      <w:r w:rsidRPr="00304821">
        <w:rPr>
          <w:color w:val="000000"/>
        </w:rPr>
        <w:t xml:space="preserve"> ~2</w:t>
      </w:r>
      <w:r w:rsidR="00A7776E" w:rsidRPr="00304821">
        <w:rPr>
          <w:color w:val="000000"/>
        </w:rPr>
        <w:t>5</w:t>
      </w:r>
      <w:r w:rsidRPr="00304821">
        <w:rPr>
          <w:color w:val="000000"/>
        </w:rPr>
        <w:t xml:space="preserve">0 mg/l).  An algal growth study conducted under OECD Guideline 201 with nominal concentrations </w:t>
      </w:r>
      <w:r w:rsidR="00A7776E" w:rsidRPr="00304821">
        <w:rPr>
          <w:color w:val="000000"/>
        </w:rPr>
        <w:t xml:space="preserve">indicates, as with nitromethane and nitroethane, </w:t>
      </w:r>
      <w:r w:rsidRPr="00304821">
        <w:rPr>
          <w:color w:val="000000"/>
        </w:rPr>
        <w:t>that algal species may be the most sensitive aquatic taxa with</w:t>
      </w:r>
      <w:r w:rsidR="00A7776E" w:rsidRPr="00304821">
        <w:rPr>
          <w:color w:val="000000"/>
        </w:rPr>
        <w:t xml:space="preserve"> 1-nitropropane</w:t>
      </w:r>
      <w:r w:rsidRPr="00304821">
        <w:rPr>
          <w:color w:val="000000"/>
        </w:rPr>
        <w:t xml:space="preserve">l, </w:t>
      </w:r>
      <w:r w:rsidR="00A7776E" w:rsidRPr="00304821">
        <w:rPr>
          <w:color w:val="000000"/>
        </w:rPr>
        <w:t>with</w:t>
      </w:r>
      <w:r w:rsidRPr="00304821">
        <w:rPr>
          <w:color w:val="000000"/>
        </w:rPr>
        <w:t xml:space="preserve"> </w:t>
      </w:r>
      <w:r w:rsidR="00A7776E" w:rsidRPr="00304821">
        <w:rPr>
          <w:color w:val="000000"/>
        </w:rPr>
        <w:t>a</w:t>
      </w:r>
      <w:r w:rsidRPr="00304821">
        <w:rPr>
          <w:color w:val="000000"/>
        </w:rPr>
        <w:t xml:space="preserve"> 72-hr EC</w:t>
      </w:r>
      <w:r w:rsidRPr="00304821">
        <w:rPr>
          <w:color w:val="000000"/>
          <w:vertAlign w:val="subscript"/>
        </w:rPr>
        <w:t>50</w:t>
      </w:r>
      <w:r w:rsidRPr="00304821">
        <w:rPr>
          <w:color w:val="000000"/>
        </w:rPr>
        <w:t xml:space="preserve"> value </w:t>
      </w:r>
      <w:r w:rsidR="00A7776E" w:rsidRPr="00304821">
        <w:rPr>
          <w:color w:val="000000"/>
        </w:rPr>
        <w:t>of 98 mg/l</w:t>
      </w:r>
      <w:r w:rsidRPr="00304821">
        <w:rPr>
          <w:color w:val="000000"/>
        </w:rPr>
        <w:t xml:space="preserve">.  </w:t>
      </w:r>
    </w:p>
    <w:p w:rsidR="0034580D" w:rsidRPr="00304821" w:rsidRDefault="0034580D" w:rsidP="00F37C80">
      <w:pPr>
        <w:jc w:val="both"/>
        <w:rPr>
          <w:color w:val="000000"/>
        </w:rPr>
      </w:pPr>
    </w:p>
    <w:p w:rsidR="00742D4A" w:rsidRPr="00304821" w:rsidRDefault="00742D4A" w:rsidP="00F37C80">
      <w:pPr>
        <w:jc w:val="both"/>
        <w:rPr>
          <w:color w:val="000000"/>
          <w:u w:val="single"/>
        </w:rPr>
      </w:pPr>
      <w:r w:rsidRPr="00304821">
        <w:rPr>
          <w:color w:val="000000"/>
          <w:u w:val="single"/>
        </w:rPr>
        <w:t>Aquatic Toxicity Category Approach Summary</w:t>
      </w:r>
    </w:p>
    <w:p w:rsidR="00742D4A" w:rsidRPr="00304821" w:rsidRDefault="00127BAE" w:rsidP="00F37C80">
      <w:pPr>
        <w:jc w:val="both"/>
        <w:rPr>
          <w:color w:val="000000"/>
        </w:rPr>
      </w:pPr>
      <w:r w:rsidRPr="00304821">
        <w:rPr>
          <w:color w:val="000000"/>
        </w:rPr>
        <w:t xml:space="preserve">The original acute aquatic toxicity data presented for these chemicals came primarily from the </w:t>
      </w:r>
      <w:r w:rsidR="009836BA" w:rsidRPr="00304821">
        <w:rPr>
          <w:color w:val="000000"/>
        </w:rPr>
        <w:t>Freitag</w:t>
      </w:r>
      <w:r w:rsidRPr="00304821">
        <w:rPr>
          <w:color w:val="000000"/>
        </w:rPr>
        <w:t xml:space="preserve"> et al studies.</w:t>
      </w:r>
      <w:r w:rsidR="003477C9" w:rsidRPr="00304821">
        <w:rPr>
          <w:color w:val="000000"/>
        </w:rPr>
        <w:t xml:space="preserve"> </w:t>
      </w:r>
      <w:r w:rsidR="00DC6D38" w:rsidRPr="00304821">
        <w:rPr>
          <w:color w:val="000000"/>
        </w:rPr>
        <w:t>In addition to aquatic acute testing for nitroethane, nitromethane, and 1-nitropropane, t</w:t>
      </w:r>
      <w:r w:rsidR="003477C9" w:rsidRPr="00304821">
        <w:rPr>
          <w:color w:val="000000"/>
        </w:rPr>
        <w:t xml:space="preserve">he </w:t>
      </w:r>
      <w:r w:rsidR="009836BA" w:rsidRPr="00304821">
        <w:rPr>
          <w:color w:val="000000"/>
        </w:rPr>
        <w:t>Freitag</w:t>
      </w:r>
      <w:r w:rsidR="003477C9" w:rsidRPr="00304821">
        <w:rPr>
          <w:color w:val="000000"/>
        </w:rPr>
        <w:t xml:space="preserve"> study report also included results from acute testing with an additional but related chemical, 2-Nitropropane</w:t>
      </w:r>
      <w:r w:rsidR="00DC6D38" w:rsidRPr="00304821">
        <w:rPr>
          <w:color w:val="000000"/>
        </w:rPr>
        <w:t xml:space="preserve"> (CAS # 79-46-9)</w:t>
      </w:r>
      <w:r w:rsidR="003477C9" w:rsidRPr="00304821">
        <w:rPr>
          <w:color w:val="000000"/>
        </w:rPr>
        <w:t xml:space="preserve">. </w:t>
      </w:r>
      <w:r w:rsidRPr="00304821">
        <w:rPr>
          <w:color w:val="000000"/>
        </w:rPr>
        <w:t xml:space="preserve"> </w:t>
      </w:r>
      <w:r w:rsidR="0004683A" w:rsidRPr="00304821">
        <w:rPr>
          <w:color w:val="000000"/>
        </w:rPr>
        <w:t>Because there are available mean-measured data for fish, aquatic invertebrates and algae on what appear to be the worst cast chemicals 1-nitropropane</w:t>
      </w:r>
      <w:r w:rsidR="002C2995">
        <w:rPr>
          <w:color w:val="000000"/>
        </w:rPr>
        <w:t>, predicted fish and daphnia acute values for nitromethane,</w:t>
      </w:r>
      <w:r w:rsidR="0004683A" w:rsidRPr="00304821">
        <w:rPr>
          <w:color w:val="000000"/>
        </w:rPr>
        <w:t xml:space="preserve"> and the analog 2-nitropropane a read across approach </w:t>
      </w:r>
      <w:r w:rsidR="002C2995">
        <w:rPr>
          <w:color w:val="000000"/>
        </w:rPr>
        <w:t>can be</w:t>
      </w:r>
      <w:r w:rsidR="002C2995" w:rsidRPr="00304821">
        <w:rPr>
          <w:color w:val="000000"/>
        </w:rPr>
        <w:t xml:space="preserve"> </w:t>
      </w:r>
      <w:r w:rsidR="0004683A" w:rsidRPr="00304821">
        <w:rPr>
          <w:color w:val="000000"/>
        </w:rPr>
        <w:t xml:space="preserve">used to support lower reliability data for category members.  </w:t>
      </w:r>
      <w:r w:rsidRPr="00304821">
        <w:rPr>
          <w:color w:val="000000"/>
        </w:rPr>
        <w:t xml:space="preserve">Steps were taken in the conduct of these </w:t>
      </w:r>
      <w:r w:rsidR="002C2995">
        <w:rPr>
          <w:color w:val="000000"/>
        </w:rPr>
        <w:t xml:space="preserve">measured </w:t>
      </w:r>
      <w:r w:rsidRPr="00304821">
        <w:rPr>
          <w:color w:val="000000"/>
        </w:rPr>
        <w:t>tests to m</w:t>
      </w:r>
      <w:r w:rsidR="003477C9" w:rsidRPr="00304821">
        <w:rPr>
          <w:color w:val="000000"/>
        </w:rPr>
        <w:t>inimize loss of test chemicals due to</w:t>
      </w:r>
      <w:r w:rsidRPr="00304821">
        <w:rPr>
          <w:color w:val="000000"/>
        </w:rPr>
        <w:t xml:space="preserve"> the potential volatility of these chemicals in the standard exposure systems.  The report indicates that exposure concentrations were measured, however, they were not reported and this information was unavailable.</w:t>
      </w:r>
      <w:r w:rsidR="003477C9" w:rsidRPr="00304821">
        <w:rPr>
          <w:color w:val="000000"/>
        </w:rPr>
        <w:t xml:space="preserve">  Based on review of the Freitag report, it was </w:t>
      </w:r>
      <w:r w:rsidR="00DC6D38" w:rsidRPr="00304821">
        <w:rPr>
          <w:color w:val="000000"/>
        </w:rPr>
        <w:t>assumed</w:t>
      </w:r>
      <w:r w:rsidR="003477C9" w:rsidRPr="00304821">
        <w:rPr>
          <w:color w:val="000000"/>
        </w:rPr>
        <w:t xml:space="preserve"> that the results were most likely representative </w:t>
      </w:r>
      <w:r w:rsidR="00DC6D38" w:rsidRPr="00304821">
        <w:rPr>
          <w:color w:val="000000"/>
        </w:rPr>
        <w:t xml:space="preserve">of the toxicity of these four chemicals </w:t>
      </w:r>
      <w:r w:rsidR="003477C9" w:rsidRPr="00304821">
        <w:rPr>
          <w:color w:val="000000"/>
        </w:rPr>
        <w:t>based on the focus on the volatility potential of the chemicals and the desire</w:t>
      </w:r>
      <w:r w:rsidR="009836BA" w:rsidRPr="00304821">
        <w:rPr>
          <w:color w:val="000000"/>
        </w:rPr>
        <w:t xml:space="preserve"> of the investigators</w:t>
      </w:r>
      <w:r w:rsidR="003477C9" w:rsidRPr="00304821">
        <w:rPr>
          <w:color w:val="000000"/>
        </w:rPr>
        <w:t xml:space="preserve"> to minimize the loss of test material from the exposure solutions.</w:t>
      </w:r>
      <w:r w:rsidRPr="00304821">
        <w:rPr>
          <w:color w:val="000000"/>
        </w:rPr>
        <w:t xml:space="preserve">  </w:t>
      </w:r>
      <w:r w:rsidR="00DC6D38" w:rsidRPr="00304821">
        <w:rPr>
          <w:color w:val="000000"/>
        </w:rPr>
        <w:t xml:space="preserve">One of the shortcomings of the </w:t>
      </w:r>
      <w:r w:rsidR="009836BA" w:rsidRPr="00304821">
        <w:rPr>
          <w:color w:val="000000"/>
        </w:rPr>
        <w:t>Freitag</w:t>
      </w:r>
      <w:r w:rsidR="00DC6D38" w:rsidRPr="00304821">
        <w:rPr>
          <w:color w:val="000000"/>
        </w:rPr>
        <w:t xml:space="preserve"> tests was that they did not present data from the standard time</w:t>
      </w:r>
      <w:r w:rsidR="009836BA" w:rsidRPr="00304821">
        <w:rPr>
          <w:color w:val="000000"/>
        </w:rPr>
        <w:t>-</w:t>
      </w:r>
      <w:r w:rsidR="00DC6D38" w:rsidRPr="00304821">
        <w:rPr>
          <w:color w:val="000000"/>
        </w:rPr>
        <w:t>points for these test types.  The data presented for the fish and daphnid acute tests were 48-hour and 24-hour endpoints, respectively</w:t>
      </w:r>
      <w:r w:rsidR="009836BA" w:rsidRPr="00304821">
        <w:rPr>
          <w:color w:val="000000"/>
        </w:rPr>
        <w:t>, when 96-hour and 48-hour endpoints are standard</w:t>
      </w:r>
      <w:r w:rsidR="00DC6D38" w:rsidRPr="00304821">
        <w:rPr>
          <w:color w:val="000000"/>
        </w:rPr>
        <w:t>.  However, a</w:t>
      </w:r>
      <w:r w:rsidRPr="00304821">
        <w:rPr>
          <w:color w:val="000000"/>
        </w:rPr>
        <w:t xml:space="preserve">dditional acute testing was conducted for both 1-nitropropane and 2-nitropropane </w:t>
      </w:r>
      <w:r w:rsidR="002C2995">
        <w:rPr>
          <w:color w:val="000000"/>
        </w:rPr>
        <w:t xml:space="preserve">along with the use of predicted fish and daphnia acute values </w:t>
      </w:r>
      <w:r w:rsidR="007F115E">
        <w:rPr>
          <w:color w:val="000000"/>
        </w:rPr>
        <w:t>for</w:t>
      </w:r>
      <w:r w:rsidR="002C2995">
        <w:rPr>
          <w:color w:val="000000"/>
        </w:rPr>
        <w:t xml:space="preserve"> nitromehtane </w:t>
      </w:r>
      <w:r w:rsidRPr="00304821">
        <w:rPr>
          <w:color w:val="000000"/>
        </w:rPr>
        <w:t>to</w:t>
      </w:r>
      <w:r w:rsidR="00DC6D38" w:rsidRPr="00304821">
        <w:rPr>
          <w:color w:val="000000"/>
        </w:rPr>
        <w:t xml:space="preserve"> bridge the data from the earlier </w:t>
      </w:r>
      <w:r w:rsidR="009836BA" w:rsidRPr="00304821">
        <w:rPr>
          <w:color w:val="000000"/>
        </w:rPr>
        <w:t>Freitag</w:t>
      </w:r>
      <w:r w:rsidR="00DC6D38" w:rsidRPr="00304821">
        <w:rPr>
          <w:color w:val="000000"/>
        </w:rPr>
        <w:t>, et al studies and possibly validate their results.</w:t>
      </w:r>
      <w:r w:rsidRPr="00304821">
        <w:rPr>
          <w:color w:val="000000"/>
        </w:rPr>
        <w:t xml:space="preserve">  </w:t>
      </w:r>
      <w:r w:rsidR="00742D4A" w:rsidRPr="00304821">
        <w:rPr>
          <w:color w:val="000000"/>
        </w:rPr>
        <w:t xml:space="preserve">The Dow Chemical Company conducted daphnid and algal testing on 1- and 2-nitropropane and fish testing on 1-nitropropane (a second literature value for 2-nitropropane fish toxicity was available).  Our results </w:t>
      </w:r>
      <w:r w:rsidR="00DC6D38" w:rsidRPr="00304821">
        <w:rPr>
          <w:color w:val="000000"/>
        </w:rPr>
        <w:t>were c</w:t>
      </w:r>
      <w:r w:rsidR="00742D4A" w:rsidRPr="00304821">
        <w:rPr>
          <w:color w:val="000000"/>
        </w:rPr>
        <w:t>ompar</w:t>
      </w:r>
      <w:r w:rsidR="00DC6D38" w:rsidRPr="00304821">
        <w:rPr>
          <w:color w:val="000000"/>
        </w:rPr>
        <w:t>able</w:t>
      </w:r>
      <w:r w:rsidR="00742D4A" w:rsidRPr="00304821">
        <w:rPr>
          <w:color w:val="000000"/>
        </w:rPr>
        <w:t xml:space="preserve"> to the </w:t>
      </w:r>
      <w:r w:rsidR="009836BA" w:rsidRPr="00304821">
        <w:rPr>
          <w:color w:val="000000"/>
        </w:rPr>
        <w:t>Freitag</w:t>
      </w:r>
      <w:r w:rsidR="00742D4A" w:rsidRPr="00304821">
        <w:rPr>
          <w:color w:val="000000"/>
        </w:rPr>
        <w:t xml:space="preserve"> </w:t>
      </w:r>
      <w:r w:rsidR="00DC6D38" w:rsidRPr="00304821">
        <w:rPr>
          <w:color w:val="000000"/>
        </w:rPr>
        <w:t xml:space="preserve">results and </w:t>
      </w:r>
      <w:r w:rsidR="00742D4A" w:rsidRPr="00304821">
        <w:rPr>
          <w:color w:val="000000"/>
        </w:rPr>
        <w:t>show</w:t>
      </w:r>
      <w:r w:rsidR="00DC6D38" w:rsidRPr="00304821">
        <w:rPr>
          <w:color w:val="000000"/>
        </w:rPr>
        <w:t>ed</w:t>
      </w:r>
      <w:r w:rsidR="00742D4A" w:rsidRPr="00304821">
        <w:rPr>
          <w:color w:val="000000"/>
        </w:rPr>
        <w:t xml:space="preserve"> good agreement.</w:t>
      </w:r>
      <w:r w:rsidR="00DC6D38" w:rsidRPr="00304821">
        <w:rPr>
          <w:color w:val="000000"/>
        </w:rPr>
        <w:t xml:space="preserve">  Table 15 presents a summary of the original Freitag endpoints along with the newly generated endpoint for both 1-nitropropane and 2-nitropropane</w:t>
      </w:r>
      <w:r w:rsidR="009836BA" w:rsidRPr="00304821">
        <w:rPr>
          <w:color w:val="000000"/>
        </w:rPr>
        <w:t xml:space="preserve"> and provides supplemental footnotes which provide commentary on the data</w:t>
      </w:r>
      <w:r w:rsidR="00DC6D38" w:rsidRPr="00304821">
        <w:rPr>
          <w:color w:val="000000"/>
        </w:rPr>
        <w:t xml:space="preserve">.  The 48-hour and 24-hour endpoint values from the recent studies are included </w:t>
      </w:r>
      <w:r w:rsidR="009836BA" w:rsidRPr="00304821">
        <w:rPr>
          <w:color w:val="000000"/>
        </w:rPr>
        <w:t>for a more adequate comparison.</w:t>
      </w:r>
      <w:r w:rsidR="00DC6D38" w:rsidRPr="00304821">
        <w:rPr>
          <w:color w:val="000000"/>
        </w:rPr>
        <w:t xml:space="preserve"> </w:t>
      </w:r>
    </w:p>
    <w:p w:rsidR="00742D4A" w:rsidRPr="00304821" w:rsidRDefault="00883B1C" w:rsidP="00D8614C">
      <w:pPr>
        <w:pStyle w:val="Caption"/>
        <w:ind w:hanging="839"/>
        <w:jc w:val="both"/>
        <w:rPr>
          <w:color w:val="000000"/>
        </w:rPr>
      </w:pPr>
      <w:r w:rsidRPr="00304821">
        <w:rPr>
          <w:color w:val="000000"/>
        </w:rPr>
        <w:br w:type="page"/>
      </w:r>
      <w:bookmarkStart w:id="111" w:name="_Toc264544924"/>
      <w:bookmarkStart w:id="112" w:name="_Toc266716158"/>
      <w:r w:rsidR="00D93802">
        <w:rPr>
          <w:color w:val="000000"/>
        </w:rPr>
        <w:t xml:space="preserve"> </w:t>
      </w:r>
      <w:r w:rsidR="005A43AA">
        <w:t xml:space="preserve">Table </w:t>
      </w:r>
      <w:r w:rsidR="00B320DF">
        <w:fldChar w:fldCharType="begin"/>
      </w:r>
      <w:r w:rsidR="005A43AA">
        <w:instrText xml:space="preserve"> SEQ Table \* ARABIC </w:instrText>
      </w:r>
      <w:r w:rsidR="00B320DF">
        <w:fldChar w:fldCharType="separate"/>
      </w:r>
      <w:r w:rsidR="006263B7">
        <w:rPr>
          <w:noProof/>
        </w:rPr>
        <w:t>15</w:t>
      </w:r>
      <w:r w:rsidR="00B320DF">
        <w:fldChar w:fldCharType="end"/>
      </w:r>
      <w:r w:rsidR="005A43AA">
        <w:t xml:space="preserve">  Summary and comparison of aquatic toxicity </w:t>
      </w:r>
      <w:r w:rsidR="001E038F">
        <w:t xml:space="preserve">test </w:t>
      </w:r>
      <w:r w:rsidR="005A43AA">
        <w:t>results</w:t>
      </w:r>
      <w:bookmarkEnd w:id="111"/>
      <w:bookmarkEnd w:id="112"/>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73"/>
        <w:gridCol w:w="871"/>
        <w:gridCol w:w="913"/>
        <w:gridCol w:w="709"/>
        <w:gridCol w:w="709"/>
        <w:gridCol w:w="850"/>
        <w:gridCol w:w="709"/>
        <w:gridCol w:w="709"/>
        <w:gridCol w:w="850"/>
        <w:gridCol w:w="945"/>
        <w:gridCol w:w="1021"/>
      </w:tblGrid>
      <w:tr w:rsidR="00742D4A" w:rsidRPr="00304821" w:rsidTr="000C487F">
        <w:trPr>
          <w:trHeight w:val="255"/>
        </w:trPr>
        <w:tc>
          <w:tcPr>
            <w:tcW w:w="1273" w:type="dxa"/>
            <w:vMerge w:val="restart"/>
            <w:tcBorders>
              <w:top w:val="single" w:sz="12" w:space="0" w:color="auto"/>
              <w:bottom w:val="single" w:sz="6" w:space="0" w:color="auto"/>
            </w:tcBorders>
            <w:shd w:val="clear" w:color="auto" w:fill="auto"/>
            <w:noWrap/>
            <w:vAlign w:val="bottom"/>
          </w:tcPr>
          <w:p w:rsidR="00742D4A" w:rsidRPr="000C487F" w:rsidRDefault="00742D4A" w:rsidP="000C487F">
            <w:pPr>
              <w:jc w:val="center"/>
              <w:rPr>
                <w:b/>
                <w:color w:val="000000"/>
                <w:sz w:val="20"/>
                <w:szCs w:val="20"/>
              </w:rPr>
            </w:pPr>
            <w:r w:rsidRPr="000C487F">
              <w:rPr>
                <w:b/>
                <w:color w:val="000000"/>
                <w:sz w:val="20"/>
                <w:szCs w:val="20"/>
              </w:rPr>
              <w:t>Chemical</w:t>
            </w:r>
          </w:p>
        </w:tc>
        <w:tc>
          <w:tcPr>
            <w:tcW w:w="871" w:type="dxa"/>
            <w:vMerge w:val="restart"/>
            <w:tcBorders>
              <w:top w:val="single" w:sz="12" w:space="0" w:color="auto"/>
              <w:bottom w:val="single" w:sz="6" w:space="0" w:color="auto"/>
            </w:tcBorders>
            <w:shd w:val="clear" w:color="auto" w:fill="auto"/>
            <w:noWrap/>
            <w:vAlign w:val="bottom"/>
          </w:tcPr>
          <w:p w:rsidR="00742D4A" w:rsidRPr="000C487F" w:rsidRDefault="00742D4A" w:rsidP="000C487F">
            <w:pPr>
              <w:jc w:val="center"/>
              <w:rPr>
                <w:color w:val="000000"/>
                <w:sz w:val="20"/>
                <w:szCs w:val="20"/>
              </w:rPr>
            </w:pPr>
            <w:r w:rsidRPr="000C487F">
              <w:rPr>
                <w:b/>
                <w:bCs/>
                <w:color w:val="000000"/>
                <w:sz w:val="20"/>
                <w:szCs w:val="20"/>
              </w:rPr>
              <w:t>Molecular</w:t>
            </w:r>
          </w:p>
          <w:p w:rsidR="00742D4A" w:rsidRPr="000C487F" w:rsidRDefault="00742D4A" w:rsidP="000C487F">
            <w:pPr>
              <w:jc w:val="center"/>
              <w:rPr>
                <w:color w:val="000000"/>
                <w:sz w:val="20"/>
                <w:szCs w:val="20"/>
              </w:rPr>
            </w:pPr>
            <w:r w:rsidRPr="000C487F">
              <w:rPr>
                <w:b/>
                <w:bCs/>
                <w:color w:val="000000"/>
                <w:sz w:val="20"/>
                <w:szCs w:val="20"/>
              </w:rPr>
              <w:t>Weight</w:t>
            </w:r>
          </w:p>
        </w:tc>
        <w:tc>
          <w:tcPr>
            <w:tcW w:w="2331" w:type="dxa"/>
            <w:gridSpan w:val="3"/>
            <w:tcBorders>
              <w:top w:val="single" w:sz="12" w:space="0" w:color="auto"/>
              <w:bottom w:val="single" w:sz="6" w:space="0" w:color="auto"/>
            </w:tcBorders>
          </w:tcPr>
          <w:p w:rsidR="00742D4A" w:rsidRPr="000C487F" w:rsidRDefault="00742D4A" w:rsidP="000C487F">
            <w:pPr>
              <w:jc w:val="center"/>
              <w:rPr>
                <w:b/>
                <w:color w:val="000000"/>
                <w:sz w:val="20"/>
                <w:szCs w:val="20"/>
              </w:rPr>
            </w:pPr>
            <w:r w:rsidRPr="000C487F">
              <w:rPr>
                <w:b/>
                <w:color w:val="000000"/>
                <w:sz w:val="20"/>
                <w:szCs w:val="20"/>
              </w:rPr>
              <w:t>Fish LC50 (mg/L)</w:t>
            </w:r>
            <w:r w:rsidRPr="000C487F">
              <w:rPr>
                <w:rFonts w:ascii="Times New Roman Bold" w:hAnsi="Times New Roman Bold"/>
                <w:b/>
                <w:color w:val="000000"/>
                <w:sz w:val="20"/>
                <w:szCs w:val="20"/>
                <w:vertAlign w:val="superscript"/>
              </w:rPr>
              <w:t>1</w:t>
            </w:r>
          </w:p>
        </w:tc>
        <w:tc>
          <w:tcPr>
            <w:tcW w:w="2268" w:type="dxa"/>
            <w:gridSpan w:val="3"/>
            <w:tcBorders>
              <w:top w:val="single" w:sz="12" w:space="0" w:color="auto"/>
              <w:bottom w:val="single" w:sz="6" w:space="0" w:color="auto"/>
            </w:tcBorders>
          </w:tcPr>
          <w:p w:rsidR="00742D4A" w:rsidRPr="000C487F" w:rsidRDefault="00742D4A" w:rsidP="000C487F">
            <w:pPr>
              <w:jc w:val="center"/>
              <w:rPr>
                <w:b/>
                <w:color w:val="000000"/>
                <w:sz w:val="20"/>
                <w:szCs w:val="20"/>
                <w:lang w:val="es-ES"/>
              </w:rPr>
            </w:pPr>
            <w:r w:rsidRPr="000C487F">
              <w:rPr>
                <w:b/>
                <w:color w:val="000000"/>
                <w:sz w:val="20"/>
                <w:szCs w:val="20"/>
                <w:lang w:val="es-ES"/>
              </w:rPr>
              <w:t>Daphnia magna EC50 (mg/L)</w:t>
            </w:r>
          </w:p>
        </w:tc>
        <w:tc>
          <w:tcPr>
            <w:tcW w:w="2816" w:type="dxa"/>
            <w:gridSpan w:val="3"/>
            <w:tcBorders>
              <w:top w:val="single" w:sz="12" w:space="0" w:color="auto"/>
              <w:bottom w:val="single" w:sz="6" w:space="0" w:color="auto"/>
            </w:tcBorders>
          </w:tcPr>
          <w:p w:rsidR="00742D4A" w:rsidRPr="000C487F" w:rsidRDefault="00742D4A" w:rsidP="000C487F">
            <w:pPr>
              <w:jc w:val="center"/>
              <w:rPr>
                <w:b/>
                <w:color w:val="000000"/>
                <w:sz w:val="20"/>
                <w:szCs w:val="20"/>
              </w:rPr>
            </w:pPr>
            <w:r w:rsidRPr="000C487F">
              <w:rPr>
                <w:b/>
                <w:color w:val="000000"/>
                <w:sz w:val="20"/>
                <w:szCs w:val="20"/>
              </w:rPr>
              <w:t>Algal EC50</w:t>
            </w:r>
            <w:r w:rsidRPr="000C487F">
              <w:rPr>
                <w:b/>
                <w:color w:val="000000"/>
                <w:sz w:val="20"/>
                <w:szCs w:val="20"/>
                <w:vertAlign w:val="superscript"/>
              </w:rPr>
              <w:t>2</w:t>
            </w:r>
            <w:r w:rsidRPr="000C487F">
              <w:rPr>
                <w:b/>
                <w:color w:val="000000"/>
                <w:sz w:val="20"/>
                <w:szCs w:val="20"/>
              </w:rPr>
              <w:t xml:space="preserve"> (mg/L)</w:t>
            </w:r>
          </w:p>
        </w:tc>
      </w:tr>
      <w:tr w:rsidR="00742D4A" w:rsidRPr="00304821" w:rsidTr="000C487F">
        <w:trPr>
          <w:trHeight w:val="255"/>
        </w:trPr>
        <w:tc>
          <w:tcPr>
            <w:tcW w:w="1273" w:type="dxa"/>
            <w:vMerge/>
            <w:tcBorders>
              <w:top w:val="single" w:sz="6" w:space="0" w:color="auto"/>
              <w:bottom w:val="single" w:sz="6" w:space="0" w:color="auto"/>
            </w:tcBorders>
            <w:shd w:val="clear" w:color="auto" w:fill="auto"/>
            <w:noWrap/>
            <w:vAlign w:val="bottom"/>
          </w:tcPr>
          <w:p w:rsidR="00742D4A" w:rsidRPr="000C487F" w:rsidRDefault="00742D4A" w:rsidP="000C487F">
            <w:pPr>
              <w:jc w:val="center"/>
              <w:rPr>
                <w:color w:val="000000"/>
                <w:sz w:val="20"/>
                <w:szCs w:val="20"/>
              </w:rPr>
            </w:pPr>
            <w:bookmarkStart w:id="113" w:name="OLE_LINK20"/>
          </w:p>
        </w:tc>
        <w:tc>
          <w:tcPr>
            <w:tcW w:w="871" w:type="dxa"/>
            <w:vMerge/>
            <w:tcBorders>
              <w:top w:val="single" w:sz="6" w:space="0" w:color="auto"/>
              <w:bottom w:val="single" w:sz="6" w:space="0" w:color="auto"/>
            </w:tcBorders>
            <w:shd w:val="clear" w:color="auto" w:fill="auto"/>
            <w:noWrap/>
            <w:vAlign w:val="bottom"/>
          </w:tcPr>
          <w:p w:rsidR="00742D4A" w:rsidRPr="000C487F" w:rsidRDefault="00742D4A" w:rsidP="000C487F">
            <w:pPr>
              <w:jc w:val="center"/>
              <w:rPr>
                <w:color w:val="000000"/>
                <w:sz w:val="20"/>
                <w:szCs w:val="20"/>
              </w:rPr>
            </w:pPr>
          </w:p>
        </w:tc>
        <w:tc>
          <w:tcPr>
            <w:tcW w:w="913" w:type="dxa"/>
            <w:vMerge w:val="restart"/>
            <w:tcBorders>
              <w:top w:val="single" w:sz="6" w:space="0" w:color="auto"/>
              <w:bottom w:val="single" w:sz="6" w:space="0" w:color="auto"/>
            </w:tcBorders>
            <w:vAlign w:val="bottom"/>
          </w:tcPr>
          <w:p w:rsidR="00742D4A" w:rsidRPr="000C487F" w:rsidRDefault="009836BA" w:rsidP="000C487F">
            <w:pPr>
              <w:jc w:val="center"/>
              <w:rPr>
                <w:b/>
                <w:bCs/>
                <w:iCs/>
                <w:color w:val="000000"/>
                <w:sz w:val="20"/>
                <w:szCs w:val="20"/>
              </w:rPr>
            </w:pPr>
            <w:r w:rsidRPr="000C487F">
              <w:rPr>
                <w:b/>
                <w:bCs/>
                <w:color w:val="000000"/>
                <w:sz w:val="20"/>
                <w:szCs w:val="20"/>
              </w:rPr>
              <w:t>Freitag</w:t>
            </w:r>
          </w:p>
        </w:tc>
        <w:tc>
          <w:tcPr>
            <w:tcW w:w="709" w:type="dxa"/>
            <w:vMerge w:val="restart"/>
            <w:tcBorders>
              <w:top w:val="single" w:sz="6" w:space="0" w:color="auto"/>
              <w:bottom w:val="single" w:sz="6" w:space="0" w:color="auto"/>
            </w:tcBorders>
            <w:vAlign w:val="bottom"/>
          </w:tcPr>
          <w:p w:rsidR="00742D4A" w:rsidRPr="000C487F" w:rsidRDefault="00742D4A" w:rsidP="000C487F">
            <w:pPr>
              <w:jc w:val="center"/>
              <w:rPr>
                <w:b/>
                <w:bCs/>
                <w:iCs/>
                <w:color w:val="000000"/>
                <w:sz w:val="20"/>
                <w:szCs w:val="20"/>
              </w:rPr>
            </w:pPr>
            <w:r w:rsidRPr="000C487F">
              <w:rPr>
                <w:b/>
                <w:bCs/>
                <w:color w:val="000000"/>
                <w:sz w:val="20"/>
                <w:szCs w:val="20"/>
              </w:rPr>
              <w:t>New</w:t>
            </w:r>
            <w:bookmarkStart w:id="114" w:name="OLE_LINK13"/>
            <w:r w:rsidRPr="000C487F">
              <w:rPr>
                <w:color w:val="000000"/>
                <w:sz w:val="20"/>
                <w:szCs w:val="20"/>
                <w:vertAlign w:val="superscript"/>
              </w:rPr>
              <w:t>3</w:t>
            </w:r>
            <w:bookmarkEnd w:id="114"/>
          </w:p>
        </w:tc>
        <w:tc>
          <w:tcPr>
            <w:tcW w:w="709" w:type="dxa"/>
            <w:vMerge w:val="restart"/>
            <w:tcBorders>
              <w:top w:val="single" w:sz="6" w:space="0" w:color="auto"/>
              <w:bottom w:val="single" w:sz="6" w:space="0" w:color="auto"/>
            </w:tcBorders>
            <w:vAlign w:val="bottom"/>
          </w:tcPr>
          <w:p w:rsidR="00742D4A" w:rsidRPr="000C487F" w:rsidRDefault="00742D4A" w:rsidP="000C487F">
            <w:pPr>
              <w:jc w:val="center"/>
              <w:rPr>
                <w:iCs/>
                <w:color w:val="000000"/>
                <w:sz w:val="20"/>
                <w:szCs w:val="20"/>
              </w:rPr>
            </w:pPr>
            <w:r w:rsidRPr="000C487F">
              <w:rPr>
                <w:color w:val="000000"/>
                <w:sz w:val="20"/>
                <w:szCs w:val="20"/>
              </w:rPr>
              <w:t>New</w:t>
            </w:r>
            <w:r w:rsidRPr="000C487F">
              <w:rPr>
                <w:color w:val="000000"/>
                <w:sz w:val="20"/>
                <w:szCs w:val="20"/>
                <w:vertAlign w:val="superscript"/>
              </w:rPr>
              <w:t>3</w:t>
            </w:r>
          </w:p>
        </w:tc>
        <w:tc>
          <w:tcPr>
            <w:tcW w:w="850" w:type="dxa"/>
            <w:vMerge w:val="restart"/>
            <w:tcBorders>
              <w:top w:val="single" w:sz="6" w:space="0" w:color="auto"/>
              <w:bottom w:val="single" w:sz="6" w:space="0" w:color="auto"/>
            </w:tcBorders>
            <w:vAlign w:val="bottom"/>
          </w:tcPr>
          <w:p w:rsidR="00742D4A" w:rsidRPr="000C487F" w:rsidRDefault="009836BA" w:rsidP="000C487F">
            <w:pPr>
              <w:jc w:val="center"/>
              <w:rPr>
                <w:b/>
                <w:bCs/>
                <w:color w:val="000000"/>
                <w:sz w:val="20"/>
                <w:szCs w:val="20"/>
              </w:rPr>
            </w:pPr>
            <w:r w:rsidRPr="000C487F">
              <w:rPr>
                <w:b/>
                <w:bCs/>
                <w:color w:val="000000"/>
                <w:sz w:val="20"/>
                <w:szCs w:val="20"/>
              </w:rPr>
              <w:t>Freitag</w:t>
            </w:r>
          </w:p>
        </w:tc>
        <w:tc>
          <w:tcPr>
            <w:tcW w:w="709" w:type="dxa"/>
            <w:vMerge w:val="restart"/>
            <w:tcBorders>
              <w:top w:val="single" w:sz="6" w:space="0" w:color="auto"/>
              <w:bottom w:val="single" w:sz="6" w:space="0" w:color="auto"/>
            </w:tcBorders>
            <w:vAlign w:val="bottom"/>
          </w:tcPr>
          <w:p w:rsidR="00742D4A" w:rsidRPr="000C487F" w:rsidRDefault="00742D4A" w:rsidP="000C487F">
            <w:pPr>
              <w:jc w:val="center"/>
              <w:rPr>
                <w:b/>
                <w:bCs/>
                <w:color w:val="000000"/>
                <w:sz w:val="20"/>
                <w:szCs w:val="20"/>
              </w:rPr>
            </w:pPr>
            <w:r w:rsidRPr="000C487F">
              <w:rPr>
                <w:b/>
                <w:bCs/>
                <w:color w:val="000000"/>
                <w:sz w:val="20"/>
                <w:szCs w:val="20"/>
              </w:rPr>
              <w:t>New</w:t>
            </w:r>
            <w:r w:rsidRPr="000C487F">
              <w:rPr>
                <w:color w:val="000000"/>
                <w:sz w:val="20"/>
                <w:szCs w:val="20"/>
                <w:vertAlign w:val="superscript"/>
              </w:rPr>
              <w:t>3</w:t>
            </w:r>
          </w:p>
        </w:tc>
        <w:tc>
          <w:tcPr>
            <w:tcW w:w="709" w:type="dxa"/>
            <w:vMerge w:val="restart"/>
            <w:tcBorders>
              <w:top w:val="single" w:sz="6" w:space="0" w:color="auto"/>
              <w:bottom w:val="single" w:sz="6" w:space="0" w:color="auto"/>
            </w:tcBorders>
            <w:vAlign w:val="bottom"/>
          </w:tcPr>
          <w:p w:rsidR="00742D4A" w:rsidRPr="000C487F" w:rsidRDefault="00742D4A" w:rsidP="000C487F">
            <w:pPr>
              <w:jc w:val="center"/>
              <w:rPr>
                <w:color w:val="000000"/>
                <w:sz w:val="20"/>
                <w:szCs w:val="20"/>
              </w:rPr>
            </w:pPr>
            <w:r w:rsidRPr="000C487F">
              <w:rPr>
                <w:color w:val="000000"/>
                <w:sz w:val="20"/>
                <w:szCs w:val="20"/>
              </w:rPr>
              <w:t>New</w:t>
            </w:r>
            <w:r w:rsidRPr="000C487F">
              <w:rPr>
                <w:color w:val="000000"/>
                <w:sz w:val="20"/>
                <w:szCs w:val="20"/>
                <w:vertAlign w:val="superscript"/>
              </w:rPr>
              <w:t>3</w:t>
            </w:r>
          </w:p>
        </w:tc>
        <w:tc>
          <w:tcPr>
            <w:tcW w:w="850" w:type="dxa"/>
            <w:tcBorders>
              <w:top w:val="single" w:sz="6" w:space="0" w:color="auto"/>
              <w:bottom w:val="single" w:sz="6" w:space="0" w:color="auto"/>
            </w:tcBorders>
            <w:shd w:val="clear" w:color="auto" w:fill="auto"/>
            <w:vAlign w:val="bottom"/>
          </w:tcPr>
          <w:p w:rsidR="00742D4A" w:rsidRPr="000C487F" w:rsidRDefault="00742D4A" w:rsidP="000C487F">
            <w:pPr>
              <w:jc w:val="center"/>
              <w:rPr>
                <w:b/>
                <w:bCs/>
                <w:i/>
                <w:iCs/>
                <w:color w:val="000000"/>
                <w:sz w:val="20"/>
                <w:szCs w:val="20"/>
              </w:rPr>
            </w:pPr>
            <w:r w:rsidRPr="000C487F">
              <w:rPr>
                <w:b/>
                <w:bCs/>
                <w:i/>
                <w:iCs/>
                <w:color w:val="000000"/>
                <w:sz w:val="20"/>
                <w:szCs w:val="20"/>
              </w:rPr>
              <w:t>Cell Density</w:t>
            </w:r>
          </w:p>
        </w:tc>
        <w:tc>
          <w:tcPr>
            <w:tcW w:w="945" w:type="dxa"/>
            <w:tcBorders>
              <w:top w:val="single" w:sz="6" w:space="0" w:color="auto"/>
              <w:bottom w:val="single" w:sz="6" w:space="0" w:color="auto"/>
            </w:tcBorders>
            <w:vAlign w:val="bottom"/>
          </w:tcPr>
          <w:p w:rsidR="00742D4A" w:rsidRPr="000C487F" w:rsidRDefault="00742D4A" w:rsidP="000C487F">
            <w:pPr>
              <w:jc w:val="center"/>
              <w:rPr>
                <w:b/>
                <w:bCs/>
                <w:i/>
                <w:iCs/>
                <w:color w:val="000000"/>
                <w:sz w:val="20"/>
                <w:szCs w:val="20"/>
              </w:rPr>
            </w:pPr>
            <w:r w:rsidRPr="000C487F">
              <w:rPr>
                <w:b/>
                <w:bCs/>
                <w:i/>
                <w:iCs/>
                <w:color w:val="000000"/>
                <w:sz w:val="20"/>
                <w:szCs w:val="20"/>
              </w:rPr>
              <w:t>Cell Density</w:t>
            </w:r>
          </w:p>
        </w:tc>
        <w:tc>
          <w:tcPr>
            <w:tcW w:w="1021" w:type="dxa"/>
            <w:tcBorders>
              <w:top w:val="single" w:sz="6" w:space="0" w:color="auto"/>
              <w:bottom w:val="single" w:sz="6" w:space="0" w:color="auto"/>
            </w:tcBorders>
            <w:vAlign w:val="bottom"/>
          </w:tcPr>
          <w:p w:rsidR="00742D4A" w:rsidRPr="000C487F" w:rsidRDefault="00742D4A" w:rsidP="000C487F">
            <w:pPr>
              <w:jc w:val="center"/>
              <w:rPr>
                <w:b/>
                <w:bCs/>
                <w:i/>
                <w:iCs/>
                <w:color w:val="000000"/>
                <w:sz w:val="20"/>
                <w:szCs w:val="20"/>
              </w:rPr>
            </w:pPr>
            <w:r w:rsidRPr="000C487F">
              <w:rPr>
                <w:b/>
                <w:bCs/>
                <w:i/>
                <w:iCs/>
                <w:color w:val="000000"/>
                <w:sz w:val="20"/>
                <w:szCs w:val="20"/>
              </w:rPr>
              <w:t>Growth Rate</w:t>
            </w:r>
          </w:p>
        </w:tc>
      </w:tr>
      <w:bookmarkEnd w:id="113"/>
      <w:tr w:rsidR="00742D4A" w:rsidRPr="00304821" w:rsidTr="000C487F">
        <w:trPr>
          <w:trHeight w:val="255"/>
        </w:trPr>
        <w:tc>
          <w:tcPr>
            <w:tcW w:w="1273" w:type="dxa"/>
            <w:vMerge/>
            <w:tcBorders>
              <w:top w:val="single" w:sz="6" w:space="0" w:color="auto"/>
              <w:bottom w:val="single" w:sz="6" w:space="0" w:color="auto"/>
            </w:tcBorders>
            <w:shd w:val="clear" w:color="auto" w:fill="auto"/>
            <w:noWrap/>
            <w:vAlign w:val="bottom"/>
          </w:tcPr>
          <w:p w:rsidR="00742D4A" w:rsidRPr="000C487F" w:rsidRDefault="00742D4A" w:rsidP="000C487F">
            <w:pPr>
              <w:jc w:val="center"/>
              <w:rPr>
                <w:color w:val="000000"/>
                <w:sz w:val="20"/>
                <w:szCs w:val="20"/>
              </w:rPr>
            </w:pPr>
          </w:p>
        </w:tc>
        <w:tc>
          <w:tcPr>
            <w:tcW w:w="871" w:type="dxa"/>
            <w:vMerge/>
            <w:tcBorders>
              <w:top w:val="single" w:sz="6" w:space="0" w:color="auto"/>
              <w:bottom w:val="single" w:sz="6" w:space="0" w:color="auto"/>
            </w:tcBorders>
            <w:shd w:val="clear" w:color="auto" w:fill="auto"/>
            <w:noWrap/>
            <w:vAlign w:val="bottom"/>
          </w:tcPr>
          <w:p w:rsidR="00742D4A" w:rsidRPr="000C487F" w:rsidRDefault="00742D4A" w:rsidP="000C487F">
            <w:pPr>
              <w:jc w:val="center"/>
              <w:rPr>
                <w:b/>
                <w:bCs/>
                <w:color w:val="000000"/>
                <w:sz w:val="20"/>
                <w:szCs w:val="20"/>
              </w:rPr>
            </w:pPr>
          </w:p>
        </w:tc>
        <w:tc>
          <w:tcPr>
            <w:tcW w:w="913" w:type="dxa"/>
            <w:vMerge/>
            <w:tcBorders>
              <w:top w:val="single" w:sz="6" w:space="0" w:color="auto"/>
              <w:bottom w:val="single" w:sz="6" w:space="0" w:color="auto"/>
            </w:tcBorders>
            <w:vAlign w:val="bottom"/>
          </w:tcPr>
          <w:p w:rsidR="00742D4A" w:rsidRPr="000C487F" w:rsidRDefault="00742D4A" w:rsidP="000C487F">
            <w:pPr>
              <w:jc w:val="center"/>
              <w:rPr>
                <w:b/>
                <w:bCs/>
                <w:color w:val="000000"/>
                <w:sz w:val="20"/>
                <w:szCs w:val="20"/>
              </w:rPr>
            </w:pPr>
          </w:p>
        </w:tc>
        <w:tc>
          <w:tcPr>
            <w:tcW w:w="709" w:type="dxa"/>
            <w:vMerge/>
            <w:tcBorders>
              <w:top w:val="single" w:sz="6" w:space="0" w:color="auto"/>
              <w:bottom w:val="single" w:sz="6" w:space="0" w:color="auto"/>
            </w:tcBorders>
            <w:vAlign w:val="bottom"/>
          </w:tcPr>
          <w:p w:rsidR="00742D4A" w:rsidRPr="000C487F" w:rsidRDefault="00742D4A" w:rsidP="000C487F">
            <w:pPr>
              <w:jc w:val="center"/>
              <w:rPr>
                <w:b/>
                <w:bCs/>
                <w:color w:val="000000"/>
                <w:sz w:val="20"/>
                <w:szCs w:val="20"/>
              </w:rPr>
            </w:pPr>
          </w:p>
        </w:tc>
        <w:tc>
          <w:tcPr>
            <w:tcW w:w="709" w:type="dxa"/>
            <w:vMerge/>
            <w:tcBorders>
              <w:top w:val="single" w:sz="6" w:space="0" w:color="auto"/>
              <w:bottom w:val="single" w:sz="6" w:space="0" w:color="auto"/>
            </w:tcBorders>
            <w:vAlign w:val="bottom"/>
          </w:tcPr>
          <w:p w:rsidR="00742D4A" w:rsidRPr="000C487F" w:rsidRDefault="00742D4A" w:rsidP="000C487F">
            <w:pPr>
              <w:jc w:val="center"/>
              <w:rPr>
                <w:color w:val="000000"/>
                <w:sz w:val="20"/>
                <w:szCs w:val="20"/>
              </w:rPr>
            </w:pPr>
          </w:p>
        </w:tc>
        <w:tc>
          <w:tcPr>
            <w:tcW w:w="850" w:type="dxa"/>
            <w:vMerge/>
            <w:tcBorders>
              <w:top w:val="single" w:sz="6" w:space="0" w:color="auto"/>
              <w:bottom w:val="single" w:sz="6" w:space="0" w:color="auto"/>
            </w:tcBorders>
            <w:vAlign w:val="bottom"/>
          </w:tcPr>
          <w:p w:rsidR="00742D4A" w:rsidRPr="000C487F" w:rsidRDefault="00742D4A" w:rsidP="000C487F">
            <w:pPr>
              <w:jc w:val="center"/>
              <w:rPr>
                <w:b/>
                <w:bCs/>
                <w:color w:val="000000"/>
                <w:sz w:val="20"/>
                <w:szCs w:val="20"/>
              </w:rPr>
            </w:pPr>
          </w:p>
        </w:tc>
        <w:tc>
          <w:tcPr>
            <w:tcW w:w="709" w:type="dxa"/>
            <w:vMerge/>
            <w:tcBorders>
              <w:top w:val="single" w:sz="6" w:space="0" w:color="auto"/>
              <w:bottom w:val="single" w:sz="6" w:space="0" w:color="auto"/>
            </w:tcBorders>
            <w:vAlign w:val="bottom"/>
          </w:tcPr>
          <w:p w:rsidR="00742D4A" w:rsidRPr="000C487F" w:rsidRDefault="00742D4A" w:rsidP="000C487F">
            <w:pPr>
              <w:jc w:val="center"/>
              <w:rPr>
                <w:b/>
                <w:bCs/>
                <w:color w:val="000000"/>
                <w:sz w:val="20"/>
                <w:szCs w:val="20"/>
              </w:rPr>
            </w:pPr>
          </w:p>
        </w:tc>
        <w:tc>
          <w:tcPr>
            <w:tcW w:w="709" w:type="dxa"/>
            <w:vMerge/>
            <w:tcBorders>
              <w:top w:val="single" w:sz="6" w:space="0" w:color="auto"/>
              <w:bottom w:val="single" w:sz="6" w:space="0" w:color="auto"/>
            </w:tcBorders>
            <w:vAlign w:val="bottom"/>
          </w:tcPr>
          <w:p w:rsidR="00742D4A" w:rsidRPr="000C487F" w:rsidRDefault="00742D4A" w:rsidP="000C487F">
            <w:pPr>
              <w:jc w:val="center"/>
              <w:rPr>
                <w:b/>
                <w:bCs/>
                <w:color w:val="000000"/>
                <w:sz w:val="20"/>
                <w:szCs w:val="20"/>
              </w:rPr>
            </w:pPr>
          </w:p>
        </w:tc>
        <w:tc>
          <w:tcPr>
            <w:tcW w:w="850" w:type="dxa"/>
            <w:tcBorders>
              <w:top w:val="single" w:sz="6" w:space="0" w:color="auto"/>
              <w:bottom w:val="single" w:sz="6" w:space="0" w:color="auto"/>
            </w:tcBorders>
            <w:shd w:val="clear" w:color="auto" w:fill="auto"/>
            <w:vAlign w:val="bottom"/>
          </w:tcPr>
          <w:p w:rsidR="00742D4A" w:rsidRPr="000C487F" w:rsidRDefault="009836BA" w:rsidP="000C487F">
            <w:pPr>
              <w:jc w:val="center"/>
              <w:rPr>
                <w:b/>
                <w:bCs/>
                <w:color w:val="000000"/>
                <w:sz w:val="20"/>
                <w:szCs w:val="20"/>
              </w:rPr>
            </w:pPr>
            <w:r w:rsidRPr="000C487F">
              <w:rPr>
                <w:b/>
                <w:bCs/>
                <w:color w:val="000000"/>
                <w:sz w:val="20"/>
                <w:szCs w:val="20"/>
              </w:rPr>
              <w:t>Freitag</w:t>
            </w:r>
          </w:p>
        </w:tc>
        <w:tc>
          <w:tcPr>
            <w:tcW w:w="945" w:type="dxa"/>
            <w:tcBorders>
              <w:top w:val="single" w:sz="6" w:space="0" w:color="auto"/>
              <w:bottom w:val="single" w:sz="6" w:space="0" w:color="auto"/>
            </w:tcBorders>
            <w:vAlign w:val="bottom"/>
          </w:tcPr>
          <w:p w:rsidR="00742D4A" w:rsidRPr="000C487F" w:rsidRDefault="00742D4A" w:rsidP="000C487F">
            <w:pPr>
              <w:jc w:val="center"/>
              <w:rPr>
                <w:b/>
                <w:bCs/>
                <w:color w:val="000000"/>
                <w:sz w:val="20"/>
                <w:szCs w:val="20"/>
              </w:rPr>
            </w:pPr>
            <w:r w:rsidRPr="000C487F">
              <w:rPr>
                <w:b/>
                <w:bCs/>
                <w:color w:val="000000"/>
                <w:sz w:val="20"/>
                <w:szCs w:val="20"/>
              </w:rPr>
              <w:t>New</w:t>
            </w:r>
            <w:r w:rsidRPr="000C487F">
              <w:rPr>
                <w:color w:val="000000"/>
                <w:sz w:val="20"/>
                <w:szCs w:val="20"/>
                <w:vertAlign w:val="superscript"/>
              </w:rPr>
              <w:t>3</w:t>
            </w:r>
          </w:p>
        </w:tc>
        <w:tc>
          <w:tcPr>
            <w:tcW w:w="1021" w:type="dxa"/>
            <w:tcBorders>
              <w:top w:val="single" w:sz="6" w:space="0" w:color="auto"/>
              <w:bottom w:val="single" w:sz="6" w:space="0" w:color="auto"/>
            </w:tcBorders>
            <w:vAlign w:val="bottom"/>
          </w:tcPr>
          <w:p w:rsidR="00742D4A" w:rsidRPr="000C487F" w:rsidRDefault="00742D4A" w:rsidP="000C487F">
            <w:pPr>
              <w:jc w:val="center"/>
              <w:rPr>
                <w:b/>
                <w:bCs/>
                <w:color w:val="000000"/>
                <w:sz w:val="20"/>
                <w:szCs w:val="20"/>
              </w:rPr>
            </w:pPr>
            <w:r w:rsidRPr="000C487F">
              <w:rPr>
                <w:b/>
                <w:bCs/>
                <w:color w:val="000000"/>
                <w:sz w:val="20"/>
                <w:szCs w:val="20"/>
              </w:rPr>
              <w:t>New</w:t>
            </w:r>
            <w:r w:rsidRPr="000C487F">
              <w:rPr>
                <w:color w:val="000000"/>
                <w:sz w:val="20"/>
                <w:szCs w:val="20"/>
                <w:vertAlign w:val="superscript"/>
              </w:rPr>
              <w:t>3</w:t>
            </w:r>
          </w:p>
        </w:tc>
      </w:tr>
      <w:tr w:rsidR="00742D4A" w:rsidRPr="00304821" w:rsidTr="000C487F">
        <w:trPr>
          <w:trHeight w:val="255"/>
        </w:trPr>
        <w:tc>
          <w:tcPr>
            <w:tcW w:w="1273" w:type="dxa"/>
            <w:vMerge/>
            <w:tcBorders>
              <w:top w:val="single" w:sz="6" w:space="0" w:color="auto"/>
              <w:bottom w:val="single" w:sz="12" w:space="0" w:color="auto"/>
            </w:tcBorders>
            <w:shd w:val="clear" w:color="auto" w:fill="auto"/>
            <w:noWrap/>
            <w:vAlign w:val="bottom"/>
          </w:tcPr>
          <w:p w:rsidR="00742D4A" w:rsidRPr="000C487F" w:rsidRDefault="00742D4A" w:rsidP="000C487F">
            <w:pPr>
              <w:jc w:val="center"/>
              <w:rPr>
                <w:color w:val="000000"/>
                <w:sz w:val="20"/>
                <w:szCs w:val="20"/>
              </w:rPr>
            </w:pPr>
            <w:bookmarkStart w:id="115" w:name="OLE_LINK31"/>
          </w:p>
        </w:tc>
        <w:tc>
          <w:tcPr>
            <w:tcW w:w="871" w:type="dxa"/>
            <w:vMerge/>
            <w:tcBorders>
              <w:top w:val="single" w:sz="6" w:space="0" w:color="auto"/>
              <w:bottom w:val="single" w:sz="12" w:space="0" w:color="auto"/>
            </w:tcBorders>
            <w:shd w:val="clear" w:color="auto" w:fill="auto"/>
            <w:noWrap/>
            <w:vAlign w:val="bottom"/>
          </w:tcPr>
          <w:p w:rsidR="00742D4A" w:rsidRPr="000C487F" w:rsidRDefault="00742D4A" w:rsidP="000C487F">
            <w:pPr>
              <w:jc w:val="center"/>
              <w:rPr>
                <w:b/>
                <w:bCs/>
                <w:color w:val="000000"/>
                <w:sz w:val="20"/>
                <w:szCs w:val="20"/>
              </w:rPr>
            </w:pPr>
          </w:p>
        </w:tc>
        <w:tc>
          <w:tcPr>
            <w:tcW w:w="913" w:type="dxa"/>
            <w:tcBorders>
              <w:top w:val="single" w:sz="6" w:space="0" w:color="auto"/>
              <w:bottom w:val="single" w:sz="12" w:space="0" w:color="auto"/>
            </w:tcBorders>
            <w:vAlign w:val="bottom"/>
          </w:tcPr>
          <w:p w:rsidR="00742D4A" w:rsidRPr="000C487F" w:rsidRDefault="00742D4A" w:rsidP="000C487F">
            <w:pPr>
              <w:jc w:val="center"/>
              <w:rPr>
                <w:b/>
                <w:bCs/>
                <w:color w:val="000000"/>
                <w:sz w:val="20"/>
                <w:szCs w:val="20"/>
              </w:rPr>
            </w:pPr>
            <w:r w:rsidRPr="000C487F">
              <w:rPr>
                <w:b/>
                <w:bCs/>
                <w:color w:val="000000"/>
                <w:sz w:val="20"/>
                <w:szCs w:val="20"/>
              </w:rPr>
              <w:t>48-h</w:t>
            </w:r>
          </w:p>
        </w:tc>
        <w:tc>
          <w:tcPr>
            <w:tcW w:w="709" w:type="dxa"/>
            <w:tcBorders>
              <w:top w:val="single" w:sz="6" w:space="0" w:color="auto"/>
              <w:bottom w:val="single" w:sz="12" w:space="0" w:color="auto"/>
            </w:tcBorders>
            <w:vAlign w:val="bottom"/>
          </w:tcPr>
          <w:p w:rsidR="00742D4A" w:rsidRPr="000C487F" w:rsidRDefault="00742D4A" w:rsidP="000C487F">
            <w:pPr>
              <w:jc w:val="center"/>
              <w:rPr>
                <w:b/>
                <w:bCs/>
                <w:color w:val="000000"/>
                <w:sz w:val="20"/>
                <w:szCs w:val="20"/>
              </w:rPr>
            </w:pPr>
            <w:r w:rsidRPr="000C487F">
              <w:rPr>
                <w:b/>
                <w:bCs/>
                <w:color w:val="000000"/>
                <w:sz w:val="20"/>
                <w:szCs w:val="20"/>
              </w:rPr>
              <w:t>48-h</w:t>
            </w:r>
          </w:p>
        </w:tc>
        <w:tc>
          <w:tcPr>
            <w:tcW w:w="709" w:type="dxa"/>
            <w:tcBorders>
              <w:top w:val="single" w:sz="6" w:space="0" w:color="auto"/>
              <w:bottom w:val="single" w:sz="12" w:space="0" w:color="auto"/>
            </w:tcBorders>
            <w:vAlign w:val="bottom"/>
          </w:tcPr>
          <w:p w:rsidR="00742D4A" w:rsidRPr="000C487F" w:rsidRDefault="00742D4A" w:rsidP="000C487F">
            <w:pPr>
              <w:jc w:val="center"/>
              <w:rPr>
                <w:color w:val="000000"/>
                <w:sz w:val="20"/>
                <w:szCs w:val="20"/>
              </w:rPr>
            </w:pPr>
            <w:r w:rsidRPr="000C487F">
              <w:rPr>
                <w:color w:val="000000"/>
                <w:sz w:val="20"/>
                <w:szCs w:val="20"/>
              </w:rPr>
              <w:t>96-h</w:t>
            </w:r>
          </w:p>
        </w:tc>
        <w:tc>
          <w:tcPr>
            <w:tcW w:w="850" w:type="dxa"/>
            <w:tcBorders>
              <w:top w:val="single" w:sz="6" w:space="0" w:color="auto"/>
              <w:bottom w:val="single" w:sz="12" w:space="0" w:color="auto"/>
            </w:tcBorders>
            <w:vAlign w:val="bottom"/>
          </w:tcPr>
          <w:p w:rsidR="00742D4A" w:rsidRPr="000C487F" w:rsidRDefault="00742D4A" w:rsidP="000C487F">
            <w:pPr>
              <w:jc w:val="center"/>
              <w:rPr>
                <w:b/>
                <w:bCs/>
                <w:color w:val="000000"/>
                <w:sz w:val="20"/>
                <w:szCs w:val="20"/>
              </w:rPr>
            </w:pPr>
            <w:r w:rsidRPr="000C487F">
              <w:rPr>
                <w:b/>
                <w:bCs/>
                <w:color w:val="000000"/>
                <w:sz w:val="20"/>
                <w:szCs w:val="20"/>
              </w:rPr>
              <w:t>24-h</w:t>
            </w:r>
          </w:p>
        </w:tc>
        <w:tc>
          <w:tcPr>
            <w:tcW w:w="709" w:type="dxa"/>
            <w:tcBorders>
              <w:top w:val="single" w:sz="6" w:space="0" w:color="auto"/>
              <w:bottom w:val="single" w:sz="12" w:space="0" w:color="auto"/>
            </w:tcBorders>
            <w:vAlign w:val="bottom"/>
          </w:tcPr>
          <w:p w:rsidR="00742D4A" w:rsidRPr="000C487F" w:rsidRDefault="00742D4A" w:rsidP="000C487F">
            <w:pPr>
              <w:jc w:val="center"/>
              <w:rPr>
                <w:b/>
                <w:bCs/>
                <w:color w:val="000000"/>
                <w:sz w:val="20"/>
                <w:szCs w:val="20"/>
              </w:rPr>
            </w:pPr>
            <w:r w:rsidRPr="000C487F">
              <w:rPr>
                <w:b/>
                <w:bCs/>
                <w:color w:val="000000"/>
                <w:sz w:val="20"/>
                <w:szCs w:val="20"/>
              </w:rPr>
              <w:t>24-h</w:t>
            </w:r>
          </w:p>
        </w:tc>
        <w:tc>
          <w:tcPr>
            <w:tcW w:w="709" w:type="dxa"/>
            <w:tcBorders>
              <w:top w:val="single" w:sz="6" w:space="0" w:color="auto"/>
              <w:bottom w:val="single" w:sz="12" w:space="0" w:color="auto"/>
            </w:tcBorders>
            <w:vAlign w:val="bottom"/>
          </w:tcPr>
          <w:p w:rsidR="00742D4A" w:rsidRPr="000C487F" w:rsidRDefault="00742D4A" w:rsidP="000C487F">
            <w:pPr>
              <w:jc w:val="center"/>
              <w:rPr>
                <w:color w:val="000000"/>
                <w:sz w:val="20"/>
                <w:szCs w:val="20"/>
              </w:rPr>
            </w:pPr>
            <w:r w:rsidRPr="000C487F">
              <w:rPr>
                <w:color w:val="000000"/>
                <w:sz w:val="20"/>
                <w:szCs w:val="20"/>
              </w:rPr>
              <w:t>48-h</w:t>
            </w:r>
          </w:p>
        </w:tc>
        <w:tc>
          <w:tcPr>
            <w:tcW w:w="850" w:type="dxa"/>
            <w:tcBorders>
              <w:top w:val="single" w:sz="6" w:space="0" w:color="auto"/>
              <w:bottom w:val="single" w:sz="12" w:space="0" w:color="auto"/>
            </w:tcBorders>
            <w:vAlign w:val="bottom"/>
          </w:tcPr>
          <w:p w:rsidR="00742D4A" w:rsidRPr="000C487F" w:rsidRDefault="00742D4A" w:rsidP="000C487F">
            <w:pPr>
              <w:jc w:val="center"/>
              <w:rPr>
                <w:b/>
                <w:bCs/>
                <w:color w:val="000000"/>
                <w:sz w:val="20"/>
                <w:szCs w:val="20"/>
              </w:rPr>
            </w:pPr>
            <w:r w:rsidRPr="000C487F">
              <w:rPr>
                <w:b/>
                <w:bCs/>
                <w:color w:val="000000"/>
                <w:sz w:val="20"/>
                <w:szCs w:val="20"/>
              </w:rPr>
              <w:t>72-h</w:t>
            </w:r>
          </w:p>
        </w:tc>
        <w:tc>
          <w:tcPr>
            <w:tcW w:w="945" w:type="dxa"/>
            <w:tcBorders>
              <w:top w:val="single" w:sz="6" w:space="0" w:color="auto"/>
              <w:bottom w:val="single" w:sz="12" w:space="0" w:color="auto"/>
            </w:tcBorders>
            <w:vAlign w:val="bottom"/>
          </w:tcPr>
          <w:p w:rsidR="00742D4A" w:rsidRPr="000C487F" w:rsidRDefault="00742D4A" w:rsidP="000C487F">
            <w:pPr>
              <w:jc w:val="center"/>
              <w:rPr>
                <w:b/>
                <w:bCs/>
                <w:color w:val="000000"/>
                <w:sz w:val="20"/>
                <w:szCs w:val="20"/>
              </w:rPr>
            </w:pPr>
            <w:r w:rsidRPr="000C487F">
              <w:rPr>
                <w:b/>
                <w:bCs/>
                <w:color w:val="000000"/>
                <w:sz w:val="20"/>
                <w:szCs w:val="20"/>
              </w:rPr>
              <w:t>72-h</w:t>
            </w:r>
          </w:p>
        </w:tc>
        <w:tc>
          <w:tcPr>
            <w:tcW w:w="1021" w:type="dxa"/>
            <w:tcBorders>
              <w:top w:val="single" w:sz="6" w:space="0" w:color="auto"/>
              <w:bottom w:val="single" w:sz="12" w:space="0" w:color="auto"/>
            </w:tcBorders>
            <w:vAlign w:val="bottom"/>
          </w:tcPr>
          <w:p w:rsidR="00742D4A" w:rsidRPr="000C487F" w:rsidRDefault="00742D4A" w:rsidP="000C487F">
            <w:pPr>
              <w:jc w:val="center"/>
              <w:rPr>
                <w:b/>
                <w:bCs/>
                <w:color w:val="000000"/>
                <w:sz w:val="20"/>
                <w:szCs w:val="20"/>
              </w:rPr>
            </w:pPr>
            <w:r w:rsidRPr="000C487F">
              <w:rPr>
                <w:b/>
                <w:bCs/>
                <w:color w:val="000000"/>
                <w:sz w:val="20"/>
                <w:szCs w:val="20"/>
              </w:rPr>
              <w:t>72-h</w:t>
            </w:r>
          </w:p>
        </w:tc>
      </w:tr>
      <w:tr w:rsidR="00742D4A" w:rsidRPr="00304821" w:rsidTr="000C487F">
        <w:trPr>
          <w:trHeight w:hRule="exact" w:val="144"/>
        </w:trPr>
        <w:tc>
          <w:tcPr>
            <w:tcW w:w="1273" w:type="dxa"/>
            <w:tcBorders>
              <w:top w:val="single" w:sz="12" w:space="0" w:color="auto"/>
            </w:tcBorders>
            <w:shd w:val="clear" w:color="auto" w:fill="auto"/>
            <w:noWrap/>
            <w:vAlign w:val="bottom"/>
          </w:tcPr>
          <w:p w:rsidR="00742D4A" w:rsidRPr="000C487F" w:rsidRDefault="00742D4A" w:rsidP="000C487F">
            <w:pPr>
              <w:jc w:val="center"/>
              <w:rPr>
                <w:b/>
                <w:bCs/>
                <w:color w:val="000000"/>
                <w:sz w:val="20"/>
                <w:szCs w:val="20"/>
              </w:rPr>
            </w:pPr>
          </w:p>
        </w:tc>
        <w:tc>
          <w:tcPr>
            <w:tcW w:w="871" w:type="dxa"/>
            <w:tcBorders>
              <w:top w:val="single" w:sz="12" w:space="0" w:color="auto"/>
            </w:tcBorders>
            <w:shd w:val="clear" w:color="auto" w:fill="auto"/>
            <w:noWrap/>
            <w:vAlign w:val="bottom"/>
          </w:tcPr>
          <w:p w:rsidR="00742D4A" w:rsidRPr="000C487F" w:rsidRDefault="00742D4A" w:rsidP="000C487F">
            <w:pPr>
              <w:jc w:val="center"/>
              <w:rPr>
                <w:b/>
                <w:bCs/>
                <w:color w:val="000000"/>
                <w:sz w:val="20"/>
                <w:szCs w:val="20"/>
              </w:rPr>
            </w:pPr>
          </w:p>
        </w:tc>
        <w:tc>
          <w:tcPr>
            <w:tcW w:w="913" w:type="dxa"/>
            <w:tcBorders>
              <w:top w:val="single" w:sz="12" w:space="0" w:color="auto"/>
            </w:tcBorders>
            <w:vAlign w:val="bottom"/>
          </w:tcPr>
          <w:p w:rsidR="00742D4A" w:rsidRPr="000C487F" w:rsidRDefault="00742D4A" w:rsidP="000C487F">
            <w:pPr>
              <w:jc w:val="center"/>
              <w:rPr>
                <w:b/>
                <w:bCs/>
                <w:color w:val="000000"/>
                <w:sz w:val="20"/>
                <w:szCs w:val="20"/>
              </w:rPr>
            </w:pPr>
          </w:p>
        </w:tc>
        <w:tc>
          <w:tcPr>
            <w:tcW w:w="709" w:type="dxa"/>
            <w:tcBorders>
              <w:top w:val="single" w:sz="12" w:space="0" w:color="auto"/>
            </w:tcBorders>
            <w:vAlign w:val="bottom"/>
          </w:tcPr>
          <w:p w:rsidR="00742D4A" w:rsidRPr="000C487F" w:rsidRDefault="00742D4A" w:rsidP="000C487F">
            <w:pPr>
              <w:jc w:val="center"/>
              <w:rPr>
                <w:color w:val="000000"/>
                <w:sz w:val="20"/>
                <w:szCs w:val="20"/>
              </w:rPr>
            </w:pPr>
          </w:p>
        </w:tc>
        <w:tc>
          <w:tcPr>
            <w:tcW w:w="709" w:type="dxa"/>
            <w:tcBorders>
              <w:top w:val="single" w:sz="12" w:space="0" w:color="auto"/>
            </w:tcBorders>
            <w:vAlign w:val="bottom"/>
          </w:tcPr>
          <w:p w:rsidR="00742D4A" w:rsidRPr="000C487F" w:rsidRDefault="00742D4A" w:rsidP="000C487F">
            <w:pPr>
              <w:jc w:val="center"/>
              <w:rPr>
                <w:color w:val="000000"/>
                <w:sz w:val="20"/>
                <w:szCs w:val="20"/>
              </w:rPr>
            </w:pPr>
          </w:p>
        </w:tc>
        <w:tc>
          <w:tcPr>
            <w:tcW w:w="850" w:type="dxa"/>
            <w:tcBorders>
              <w:top w:val="single" w:sz="12" w:space="0" w:color="auto"/>
            </w:tcBorders>
            <w:vAlign w:val="bottom"/>
          </w:tcPr>
          <w:p w:rsidR="00742D4A" w:rsidRPr="000C487F" w:rsidRDefault="00742D4A" w:rsidP="000C487F">
            <w:pPr>
              <w:jc w:val="center"/>
              <w:rPr>
                <w:b/>
                <w:bCs/>
                <w:color w:val="000000"/>
                <w:sz w:val="20"/>
                <w:szCs w:val="20"/>
              </w:rPr>
            </w:pPr>
          </w:p>
        </w:tc>
        <w:tc>
          <w:tcPr>
            <w:tcW w:w="709" w:type="dxa"/>
            <w:tcBorders>
              <w:top w:val="single" w:sz="12" w:space="0" w:color="auto"/>
            </w:tcBorders>
            <w:vAlign w:val="bottom"/>
          </w:tcPr>
          <w:p w:rsidR="00742D4A" w:rsidRPr="000C487F" w:rsidRDefault="00742D4A" w:rsidP="000C487F">
            <w:pPr>
              <w:jc w:val="center"/>
              <w:rPr>
                <w:color w:val="000000"/>
                <w:sz w:val="20"/>
                <w:szCs w:val="20"/>
              </w:rPr>
            </w:pPr>
          </w:p>
        </w:tc>
        <w:tc>
          <w:tcPr>
            <w:tcW w:w="709" w:type="dxa"/>
            <w:tcBorders>
              <w:top w:val="single" w:sz="12" w:space="0" w:color="auto"/>
            </w:tcBorders>
            <w:vAlign w:val="bottom"/>
          </w:tcPr>
          <w:p w:rsidR="00742D4A" w:rsidRPr="000C487F" w:rsidRDefault="00742D4A" w:rsidP="000C487F">
            <w:pPr>
              <w:jc w:val="center"/>
              <w:rPr>
                <w:color w:val="000000"/>
                <w:sz w:val="20"/>
                <w:szCs w:val="20"/>
              </w:rPr>
            </w:pPr>
          </w:p>
        </w:tc>
        <w:tc>
          <w:tcPr>
            <w:tcW w:w="850" w:type="dxa"/>
            <w:tcBorders>
              <w:top w:val="single" w:sz="12" w:space="0" w:color="auto"/>
            </w:tcBorders>
            <w:vAlign w:val="bottom"/>
          </w:tcPr>
          <w:p w:rsidR="00742D4A" w:rsidRPr="000C487F" w:rsidRDefault="00742D4A" w:rsidP="000C487F">
            <w:pPr>
              <w:jc w:val="center"/>
              <w:rPr>
                <w:b/>
                <w:bCs/>
                <w:color w:val="000000"/>
                <w:sz w:val="20"/>
                <w:szCs w:val="20"/>
              </w:rPr>
            </w:pPr>
          </w:p>
        </w:tc>
        <w:tc>
          <w:tcPr>
            <w:tcW w:w="945" w:type="dxa"/>
            <w:tcBorders>
              <w:top w:val="single" w:sz="12" w:space="0" w:color="auto"/>
            </w:tcBorders>
            <w:vAlign w:val="bottom"/>
          </w:tcPr>
          <w:p w:rsidR="00742D4A" w:rsidRPr="000C487F" w:rsidRDefault="00742D4A" w:rsidP="000C487F">
            <w:pPr>
              <w:jc w:val="center"/>
              <w:rPr>
                <w:color w:val="000000"/>
                <w:sz w:val="20"/>
                <w:szCs w:val="20"/>
              </w:rPr>
            </w:pPr>
          </w:p>
        </w:tc>
        <w:tc>
          <w:tcPr>
            <w:tcW w:w="1021" w:type="dxa"/>
            <w:tcBorders>
              <w:top w:val="single" w:sz="12" w:space="0" w:color="auto"/>
            </w:tcBorders>
            <w:vAlign w:val="bottom"/>
          </w:tcPr>
          <w:p w:rsidR="00742D4A" w:rsidRPr="000C487F" w:rsidRDefault="00742D4A" w:rsidP="000C487F">
            <w:pPr>
              <w:jc w:val="center"/>
              <w:rPr>
                <w:color w:val="000000"/>
                <w:sz w:val="20"/>
                <w:szCs w:val="20"/>
              </w:rPr>
            </w:pPr>
          </w:p>
        </w:tc>
      </w:tr>
      <w:tr w:rsidR="00742D4A" w:rsidRPr="00304821" w:rsidTr="000C487F">
        <w:trPr>
          <w:trHeight w:val="285"/>
        </w:trPr>
        <w:tc>
          <w:tcPr>
            <w:tcW w:w="1273" w:type="dxa"/>
            <w:shd w:val="clear" w:color="auto" w:fill="auto"/>
            <w:noWrap/>
            <w:vAlign w:val="bottom"/>
          </w:tcPr>
          <w:p w:rsidR="000C487F" w:rsidRDefault="00742D4A" w:rsidP="000C487F">
            <w:pPr>
              <w:jc w:val="center"/>
              <w:rPr>
                <w:b/>
                <w:bCs/>
                <w:color w:val="000000"/>
                <w:sz w:val="20"/>
                <w:szCs w:val="20"/>
              </w:rPr>
            </w:pPr>
            <w:r w:rsidRPr="000C487F">
              <w:rPr>
                <w:b/>
                <w:bCs/>
                <w:color w:val="000000"/>
                <w:sz w:val="20"/>
                <w:szCs w:val="20"/>
              </w:rPr>
              <w:t>Nitro</w:t>
            </w:r>
          </w:p>
          <w:p w:rsidR="00742D4A" w:rsidRPr="000C487F" w:rsidRDefault="00742D4A" w:rsidP="000C487F">
            <w:pPr>
              <w:jc w:val="center"/>
              <w:rPr>
                <w:b/>
                <w:bCs/>
                <w:color w:val="000000"/>
                <w:sz w:val="20"/>
                <w:szCs w:val="20"/>
              </w:rPr>
            </w:pPr>
            <w:r w:rsidRPr="000C487F">
              <w:rPr>
                <w:b/>
                <w:bCs/>
                <w:color w:val="000000"/>
                <w:sz w:val="20"/>
                <w:szCs w:val="20"/>
              </w:rPr>
              <w:t>methane</w:t>
            </w:r>
          </w:p>
        </w:tc>
        <w:tc>
          <w:tcPr>
            <w:tcW w:w="871" w:type="dxa"/>
            <w:shd w:val="clear" w:color="auto" w:fill="auto"/>
            <w:noWrap/>
            <w:vAlign w:val="bottom"/>
          </w:tcPr>
          <w:p w:rsidR="00742D4A" w:rsidRPr="000C487F" w:rsidRDefault="00742D4A" w:rsidP="000C487F">
            <w:pPr>
              <w:jc w:val="center"/>
              <w:rPr>
                <w:b/>
                <w:bCs/>
                <w:color w:val="000000"/>
                <w:sz w:val="20"/>
                <w:szCs w:val="20"/>
              </w:rPr>
            </w:pPr>
            <w:r w:rsidRPr="000C487F">
              <w:rPr>
                <w:b/>
                <w:bCs/>
                <w:color w:val="000000"/>
                <w:sz w:val="20"/>
                <w:szCs w:val="20"/>
              </w:rPr>
              <w:t>61.0</w:t>
            </w:r>
          </w:p>
        </w:tc>
        <w:tc>
          <w:tcPr>
            <w:tcW w:w="913" w:type="dxa"/>
            <w:vAlign w:val="bottom"/>
          </w:tcPr>
          <w:p w:rsidR="00742D4A" w:rsidRPr="000C487F" w:rsidRDefault="00742D4A" w:rsidP="000C487F">
            <w:pPr>
              <w:jc w:val="center"/>
              <w:rPr>
                <w:b/>
                <w:bCs/>
                <w:color w:val="000000"/>
                <w:sz w:val="20"/>
                <w:szCs w:val="20"/>
              </w:rPr>
            </w:pPr>
            <w:r w:rsidRPr="000C487F">
              <w:rPr>
                <w:b/>
                <w:bCs/>
                <w:color w:val="000000"/>
                <w:sz w:val="20"/>
                <w:szCs w:val="20"/>
              </w:rPr>
              <w:t>460</w:t>
            </w:r>
          </w:p>
        </w:tc>
        <w:tc>
          <w:tcPr>
            <w:tcW w:w="709" w:type="dxa"/>
            <w:vAlign w:val="bottom"/>
          </w:tcPr>
          <w:p w:rsidR="00742D4A" w:rsidRPr="000C487F" w:rsidRDefault="00742D4A" w:rsidP="000C487F">
            <w:pPr>
              <w:jc w:val="center"/>
              <w:rPr>
                <w:color w:val="000000"/>
                <w:sz w:val="20"/>
                <w:szCs w:val="20"/>
              </w:rPr>
            </w:pPr>
            <w:r w:rsidRPr="000C487F">
              <w:rPr>
                <w:color w:val="000000"/>
                <w:sz w:val="20"/>
                <w:szCs w:val="20"/>
              </w:rPr>
              <w:t>----</w:t>
            </w:r>
            <w:r w:rsidRPr="000C487F">
              <w:rPr>
                <w:color w:val="000000"/>
                <w:sz w:val="20"/>
                <w:szCs w:val="20"/>
                <w:vertAlign w:val="superscript"/>
              </w:rPr>
              <w:t>4</w:t>
            </w:r>
          </w:p>
        </w:tc>
        <w:tc>
          <w:tcPr>
            <w:tcW w:w="709" w:type="dxa"/>
            <w:vAlign w:val="bottom"/>
          </w:tcPr>
          <w:p w:rsidR="00742D4A" w:rsidRPr="000C487F" w:rsidRDefault="00742D4A" w:rsidP="000C487F">
            <w:pPr>
              <w:jc w:val="center"/>
              <w:rPr>
                <w:color w:val="000000"/>
                <w:sz w:val="20"/>
                <w:szCs w:val="20"/>
              </w:rPr>
            </w:pPr>
            <w:r w:rsidRPr="000C487F">
              <w:rPr>
                <w:color w:val="000000"/>
                <w:sz w:val="20"/>
                <w:szCs w:val="20"/>
              </w:rPr>
              <w:t>----</w:t>
            </w:r>
          </w:p>
        </w:tc>
        <w:tc>
          <w:tcPr>
            <w:tcW w:w="850" w:type="dxa"/>
            <w:vAlign w:val="bottom"/>
          </w:tcPr>
          <w:p w:rsidR="00742D4A" w:rsidRPr="000C487F" w:rsidRDefault="00742D4A" w:rsidP="000C487F">
            <w:pPr>
              <w:jc w:val="center"/>
              <w:rPr>
                <w:b/>
                <w:bCs/>
                <w:color w:val="000000"/>
                <w:sz w:val="20"/>
                <w:szCs w:val="20"/>
              </w:rPr>
            </w:pPr>
            <w:r w:rsidRPr="000C487F">
              <w:rPr>
                <w:b/>
                <w:bCs/>
                <w:color w:val="000000"/>
                <w:sz w:val="20"/>
                <w:szCs w:val="20"/>
              </w:rPr>
              <w:t>450</w:t>
            </w:r>
          </w:p>
        </w:tc>
        <w:tc>
          <w:tcPr>
            <w:tcW w:w="709" w:type="dxa"/>
            <w:vAlign w:val="bottom"/>
          </w:tcPr>
          <w:p w:rsidR="00742D4A" w:rsidRPr="000C487F" w:rsidRDefault="00742D4A" w:rsidP="000C487F">
            <w:pPr>
              <w:jc w:val="center"/>
              <w:rPr>
                <w:color w:val="000000"/>
                <w:sz w:val="20"/>
                <w:szCs w:val="20"/>
              </w:rPr>
            </w:pPr>
            <w:r w:rsidRPr="000C487F">
              <w:rPr>
                <w:color w:val="000000"/>
                <w:sz w:val="20"/>
                <w:szCs w:val="20"/>
              </w:rPr>
              <w:t>----</w:t>
            </w:r>
          </w:p>
        </w:tc>
        <w:tc>
          <w:tcPr>
            <w:tcW w:w="709" w:type="dxa"/>
            <w:vAlign w:val="bottom"/>
          </w:tcPr>
          <w:p w:rsidR="00742D4A" w:rsidRPr="000C487F" w:rsidRDefault="00742D4A" w:rsidP="000C487F">
            <w:pPr>
              <w:jc w:val="center"/>
              <w:rPr>
                <w:color w:val="000000"/>
                <w:sz w:val="20"/>
                <w:szCs w:val="20"/>
              </w:rPr>
            </w:pPr>
            <w:r w:rsidRPr="000C487F">
              <w:rPr>
                <w:color w:val="000000"/>
                <w:sz w:val="20"/>
                <w:szCs w:val="20"/>
              </w:rPr>
              <w:t>----</w:t>
            </w:r>
          </w:p>
        </w:tc>
        <w:tc>
          <w:tcPr>
            <w:tcW w:w="850" w:type="dxa"/>
            <w:vAlign w:val="bottom"/>
          </w:tcPr>
          <w:p w:rsidR="00742D4A" w:rsidRPr="000C487F" w:rsidRDefault="00742D4A" w:rsidP="000C487F">
            <w:pPr>
              <w:jc w:val="center"/>
              <w:rPr>
                <w:b/>
                <w:bCs/>
                <w:color w:val="000000"/>
                <w:sz w:val="20"/>
                <w:szCs w:val="20"/>
              </w:rPr>
            </w:pPr>
            <w:r w:rsidRPr="000C487F">
              <w:rPr>
                <w:b/>
                <w:bCs/>
                <w:color w:val="000000"/>
                <w:sz w:val="20"/>
                <w:szCs w:val="20"/>
              </w:rPr>
              <w:t>36</w:t>
            </w:r>
          </w:p>
        </w:tc>
        <w:tc>
          <w:tcPr>
            <w:tcW w:w="945" w:type="dxa"/>
            <w:vAlign w:val="bottom"/>
          </w:tcPr>
          <w:p w:rsidR="00742D4A" w:rsidRPr="000C487F" w:rsidRDefault="00742D4A" w:rsidP="000C487F">
            <w:pPr>
              <w:jc w:val="center"/>
              <w:rPr>
                <w:color w:val="000000"/>
                <w:sz w:val="20"/>
                <w:szCs w:val="20"/>
              </w:rPr>
            </w:pPr>
            <w:r w:rsidRPr="000C487F">
              <w:rPr>
                <w:color w:val="000000"/>
                <w:sz w:val="20"/>
                <w:szCs w:val="20"/>
              </w:rPr>
              <w:t>----</w:t>
            </w:r>
          </w:p>
        </w:tc>
        <w:tc>
          <w:tcPr>
            <w:tcW w:w="1021" w:type="dxa"/>
            <w:vAlign w:val="bottom"/>
          </w:tcPr>
          <w:p w:rsidR="00742D4A" w:rsidRPr="000C487F" w:rsidRDefault="00742D4A" w:rsidP="000C487F">
            <w:pPr>
              <w:jc w:val="center"/>
              <w:rPr>
                <w:color w:val="000000"/>
                <w:sz w:val="20"/>
                <w:szCs w:val="20"/>
              </w:rPr>
            </w:pPr>
            <w:r w:rsidRPr="000C487F">
              <w:rPr>
                <w:color w:val="000000"/>
                <w:sz w:val="20"/>
                <w:szCs w:val="20"/>
              </w:rPr>
              <w:t>----</w:t>
            </w:r>
          </w:p>
        </w:tc>
      </w:tr>
      <w:tr w:rsidR="00742D4A" w:rsidRPr="00304821" w:rsidTr="000C487F">
        <w:trPr>
          <w:trHeight w:hRule="exact" w:val="144"/>
        </w:trPr>
        <w:tc>
          <w:tcPr>
            <w:tcW w:w="1273" w:type="dxa"/>
            <w:shd w:val="clear" w:color="auto" w:fill="auto"/>
            <w:noWrap/>
            <w:vAlign w:val="bottom"/>
          </w:tcPr>
          <w:p w:rsidR="00742D4A" w:rsidRPr="000C487F" w:rsidRDefault="00742D4A" w:rsidP="000C487F">
            <w:pPr>
              <w:jc w:val="center"/>
              <w:rPr>
                <w:b/>
                <w:bCs/>
                <w:color w:val="000000"/>
                <w:sz w:val="20"/>
                <w:szCs w:val="20"/>
              </w:rPr>
            </w:pPr>
          </w:p>
        </w:tc>
        <w:tc>
          <w:tcPr>
            <w:tcW w:w="871" w:type="dxa"/>
            <w:shd w:val="clear" w:color="auto" w:fill="auto"/>
            <w:noWrap/>
            <w:vAlign w:val="bottom"/>
          </w:tcPr>
          <w:p w:rsidR="00742D4A" w:rsidRPr="000C487F" w:rsidRDefault="00742D4A" w:rsidP="000C487F">
            <w:pPr>
              <w:jc w:val="center"/>
              <w:rPr>
                <w:b/>
                <w:bCs/>
                <w:color w:val="000000"/>
                <w:sz w:val="20"/>
                <w:szCs w:val="20"/>
              </w:rPr>
            </w:pPr>
          </w:p>
        </w:tc>
        <w:tc>
          <w:tcPr>
            <w:tcW w:w="913" w:type="dxa"/>
            <w:vAlign w:val="bottom"/>
          </w:tcPr>
          <w:p w:rsidR="00742D4A" w:rsidRPr="000C487F" w:rsidRDefault="00742D4A" w:rsidP="000C487F">
            <w:pPr>
              <w:jc w:val="center"/>
              <w:rPr>
                <w:b/>
                <w:bCs/>
                <w:color w:val="000000"/>
                <w:sz w:val="20"/>
                <w:szCs w:val="20"/>
              </w:rPr>
            </w:pPr>
          </w:p>
        </w:tc>
        <w:tc>
          <w:tcPr>
            <w:tcW w:w="709" w:type="dxa"/>
            <w:vAlign w:val="bottom"/>
          </w:tcPr>
          <w:p w:rsidR="00742D4A" w:rsidRPr="000C487F" w:rsidRDefault="00742D4A" w:rsidP="000C487F">
            <w:pPr>
              <w:jc w:val="center"/>
              <w:rPr>
                <w:color w:val="000000"/>
                <w:sz w:val="20"/>
                <w:szCs w:val="20"/>
              </w:rPr>
            </w:pPr>
          </w:p>
        </w:tc>
        <w:tc>
          <w:tcPr>
            <w:tcW w:w="709" w:type="dxa"/>
            <w:vAlign w:val="bottom"/>
          </w:tcPr>
          <w:p w:rsidR="00742D4A" w:rsidRPr="000C487F" w:rsidRDefault="00742D4A" w:rsidP="000C487F">
            <w:pPr>
              <w:jc w:val="center"/>
              <w:rPr>
                <w:color w:val="000000"/>
                <w:sz w:val="20"/>
                <w:szCs w:val="20"/>
              </w:rPr>
            </w:pPr>
          </w:p>
        </w:tc>
        <w:tc>
          <w:tcPr>
            <w:tcW w:w="850" w:type="dxa"/>
            <w:vAlign w:val="bottom"/>
          </w:tcPr>
          <w:p w:rsidR="00742D4A" w:rsidRPr="000C487F" w:rsidRDefault="00742D4A" w:rsidP="000C487F">
            <w:pPr>
              <w:jc w:val="center"/>
              <w:rPr>
                <w:b/>
                <w:bCs/>
                <w:color w:val="000000"/>
                <w:sz w:val="20"/>
                <w:szCs w:val="20"/>
              </w:rPr>
            </w:pPr>
          </w:p>
        </w:tc>
        <w:tc>
          <w:tcPr>
            <w:tcW w:w="709" w:type="dxa"/>
            <w:vAlign w:val="bottom"/>
          </w:tcPr>
          <w:p w:rsidR="00742D4A" w:rsidRPr="000C487F" w:rsidRDefault="00742D4A" w:rsidP="000C487F">
            <w:pPr>
              <w:jc w:val="center"/>
              <w:rPr>
                <w:color w:val="000000"/>
                <w:sz w:val="20"/>
                <w:szCs w:val="20"/>
              </w:rPr>
            </w:pPr>
          </w:p>
        </w:tc>
        <w:tc>
          <w:tcPr>
            <w:tcW w:w="709" w:type="dxa"/>
            <w:vAlign w:val="bottom"/>
          </w:tcPr>
          <w:p w:rsidR="00742D4A" w:rsidRPr="000C487F" w:rsidRDefault="00742D4A" w:rsidP="000C487F">
            <w:pPr>
              <w:jc w:val="center"/>
              <w:rPr>
                <w:color w:val="000000"/>
                <w:sz w:val="20"/>
                <w:szCs w:val="20"/>
              </w:rPr>
            </w:pPr>
          </w:p>
        </w:tc>
        <w:tc>
          <w:tcPr>
            <w:tcW w:w="850" w:type="dxa"/>
            <w:vAlign w:val="bottom"/>
          </w:tcPr>
          <w:p w:rsidR="00742D4A" w:rsidRPr="000C487F" w:rsidRDefault="00742D4A" w:rsidP="000C487F">
            <w:pPr>
              <w:jc w:val="center"/>
              <w:rPr>
                <w:b/>
                <w:bCs/>
                <w:color w:val="000000"/>
                <w:sz w:val="20"/>
                <w:szCs w:val="20"/>
              </w:rPr>
            </w:pPr>
          </w:p>
        </w:tc>
        <w:tc>
          <w:tcPr>
            <w:tcW w:w="945" w:type="dxa"/>
            <w:vAlign w:val="bottom"/>
          </w:tcPr>
          <w:p w:rsidR="00742D4A" w:rsidRPr="000C487F" w:rsidRDefault="00742D4A" w:rsidP="000C487F">
            <w:pPr>
              <w:jc w:val="center"/>
              <w:rPr>
                <w:color w:val="000000"/>
                <w:sz w:val="20"/>
                <w:szCs w:val="20"/>
              </w:rPr>
            </w:pPr>
          </w:p>
        </w:tc>
        <w:tc>
          <w:tcPr>
            <w:tcW w:w="1021" w:type="dxa"/>
            <w:vAlign w:val="bottom"/>
          </w:tcPr>
          <w:p w:rsidR="00742D4A" w:rsidRPr="000C487F" w:rsidRDefault="00742D4A" w:rsidP="000C487F">
            <w:pPr>
              <w:jc w:val="center"/>
              <w:rPr>
                <w:color w:val="000000"/>
                <w:sz w:val="20"/>
                <w:szCs w:val="20"/>
              </w:rPr>
            </w:pPr>
          </w:p>
        </w:tc>
      </w:tr>
      <w:tr w:rsidR="00742D4A" w:rsidRPr="00304821" w:rsidTr="000C487F">
        <w:trPr>
          <w:trHeight w:val="285"/>
        </w:trPr>
        <w:tc>
          <w:tcPr>
            <w:tcW w:w="1273" w:type="dxa"/>
            <w:shd w:val="clear" w:color="auto" w:fill="auto"/>
            <w:noWrap/>
            <w:vAlign w:val="bottom"/>
          </w:tcPr>
          <w:p w:rsidR="000C487F" w:rsidRDefault="00742D4A" w:rsidP="000C487F">
            <w:pPr>
              <w:jc w:val="center"/>
              <w:rPr>
                <w:b/>
                <w:bCs/>
                <w:color w:val="000000"/>
                <w:sz w:val="20"/>
                <w:szCs w:val="20"/>
              </w:rPr>
            </w:pPr>
            <w:r w:rsidRPr="000C487F">
              <w:rPr>
                <w:b/>
                <w:bCs/>
                <w:color w:val="000000"/>
                <w:sz w:val="20"/>
                <w:szCs w:val="20"/>
              </w:rPr>
              <w:t>Nitro</w:t>
            </w:r>
          </w:p>
          <w:p w:rsidR="00742D4A" w:rsidRPr="000C487F" w:rsidRDefault="00742D4A" w:rsidP="000C487F">
            <w:pPr>
              <w:jc w:val="center"/>
              <w:rPr>
                <w:b/>
                <w:bCs/>
                <w:color w:val="000000"/>
                <w:sz w:val="20"/>
                <w:szCs w:val="20"/>
              </w:rPr>
            </w:pPr>
            <w:r w:rsidRPr="000C487F">
              <w:rPr>
                <w:b/>
                <w:bCs/>
                <w:color w:val="000000"/>
                <w:sz w:val="20"/>
                <w:szCs w:val="20"/>
              </w:rPr>
              <w:t>ethane</w:t>
            </w:r>
          </w:p>
        </w:tc>
        <w:tc>
          <w:tcPr>
            <w:tcW w:w="871" w:type="dxa"/>
            <w:shd w:val="clear" w:color="auto" w:fill="auto"/>
            <w:noWrap/>
            <w:vAlign w:val="bottom"/>
          </w:tcPr>
          <w:p w:rsidR="00742D4A" w:rsidRPr="000C487F" w:rsidRDefault="00742D4A" w:rsidP="000C487F">
            <w:pPr>
              <w:jc w:val="center"/>
              <w:rPr>
                <w:b/>
                <w:bCs/>
                <w:color w:val="000000"/>
                <w:sz w:val="20"/>
                <w:szCs w:val="20"/>
              </w:rPr>
            </w:pPr>
            <w:r w:rsidRPr="000C487F">
              <w:rPr>
                <w:b/>
                <w:bCs/>
                <w:color w:val="000000"/>
                <w:sz w:val="20"/>
                <w:szCs w:val="20"/>
              </w:rPr>
              <w:t>75.1</w:t>
            </w:r>
          </w:p>
        </w:tc>
        <w:tc>
          <w:tcPr>
            <w:tcW w:w="913" w:type="dxa"/>
            <w:vAlign w:val="bottom"/>
          </w:tcPr>
          <w:p w:rsidR="00742D4A" w:rsidRPr="000C487F" w:rsidRDefault="00742D4A" w:rsidP="000C487F">
            <w:pPr>
              <w:jc w:val="center"/>
              <w:rPr>
                <w:b/>
                <w:bCs/>
                <w:color w:val="000000"/>
                <w:sz w:val="20"/>
                <w:szCs w:val="20"/>
              </w:rPr>
            </w:pPr>
            <w:r w:rsidRPr="000C487F">
              <w:rPr>
                <w:b/>
                <w:bCs/>
                <w:color w:val="000000"/>
                <w:sz w:val="20"/>
                <w:szCs w:val="20"/>
              </w:rPr>
              <w:t>880</w:t>
            </w:r>
          </w:p>
        </w:tc>
        <w:tc>
          <w:tcPr>
            <w:tcW w:w="709" w:type="dxa"/>
            <w:vAlign w:val="bottom"/>
          </w:tcPr>
          <w:p w:rsidR="00742D4A" w:rsidRPr="000C487F" w:rsidRDefault="00742D4A" w:rsidP="000C487F">
            <w:pPr>
              <w:jc w:val="center"/>
              <w:rPr>
                <w:color w:val="000000"/>
                <w:sz w:val="20"/>
                <w:szCs w:val="20"/>
              </w:rPr>
            </w:pPr>
            <w:bookmarkStart w:id="116" w:name="OLE_LINK26"/>
            <w:r w:rsidRPr="000C487F">
              <w:rPr>
                <w:color w:val="000000"/>
                <w:sz w:val="20"/>
                <w:szCs w:val="20"/>
              </w:rPr>
              <w:t>----</w:t>
            </w:r>
            <w:bookmarkEnd w:id="116"/>
          </w:p>
        </w:tc>
        <w:tc>
          <w:tcPr>
            <w:tcW w:w="709" w:type="dxa"/>
            <w:vAlign w:val="bottom"/>
          </w:tcPr>
          <w:p w:rsidR="00742D4A" w:rsidRPr="000C487F" w:rsidRDefault="00742D4A" w:rsidP="000C487F">
            <w:pPr>
              <w:jc w:val="center"/>
              <w:rPr>
                <w:color w:val="000000"/>
                <w:sz w:val="20"/>
                <w:szCs w:val="20"/>
              </w:rPr>
            </w:pPr>
            <w:bookmarkStart w:id="117" w:name="OLE_LINK24"/>
            <w:r w:rsidRPr="000C487F">
              <w:rPr>
                <w:color w:val="000000"/>
                <w:sz w:val="20"/>
                <w:szCs w:val="20"/>
              </w:rPr>
              <w:t>----</w:t>
            </w:r>
            <w:bookmarkEnd w:id="117"/>
          </w:p>
        </w:tc>
        <w:tc>
          <w:tcPr>
            <w:tcW w:w="850" w:type="dxa"/>
            <w:vAlign w:val="bottom"/>
          </w:tcPr>
          <w:p w:rsidR="00742D4A" w:rsidRPr="000C487F" w:rsidRDefault="00742D4A" w:rsidP="000C487F">
            <w:pPr>
              <w:jc w:val="center"/>
              <w:rPr>
                <w:b/>
                <w:bCs/>
                <w:color w:val="000000"/>
                <w:sz w:val="20"/>
                <w:szCs w:val="20"/>
              </w:rPr>
            </w:pPr>
            <w:r w:rsidRPr="000C487F">
              <w:rPr>
                <w:b/>
                <w:bCs/>
                <w:color w:val="000000"/>
                <w:sz w:val="20"/>
                <w:szCs w:val="20"/>
              </w:rPr>
              <w:t>1200</w:t>
            </w:r>
          </w:p>
        </w:tc>
        <w:tc>
          <w:tcPr>
            <w:tcW w:w="709" w:type="dxa"/>
            <w:vAlign w:val="bottom"/>
          </w:tcPr>
          <w:p w:rsidR="00742D4A" w:rsidRPr="000C487F" w:rsidRDefault="00742D4A" w:rsidP="000C487F">
            <w:pPr>
              <w:jc w:val="center"/>
              <w:rPr>
                <w:color w:val="000000"/>
                <w:sz w:val="20"/>
                <w:szCs w:val="20"/>
              </w:rPr>
            </w:pPr>
            <w:r w:rsidRPr="000C487F">
              <w:rPr>
                <w:color w:val="000000"/>
                <w:sz w:val="20"/>
                <w:szCs w:val="20"/>
              </w:rPr>
              <w:t>----</w:t>
            </w:r>
          </w:p>
        </w:tc>
        <w:tc>
          <w:tcPr>
            <w:tcW w:w="709" w:type="dxa"/>
            <w:vAlign w:val="bottom"/>
          </w:tcPr>
          <w:p w:rsidR="00742D4A" w:rsidRPr="000C487F" w:rsidRDefault="00742D4A" w:rsidP="000C487F">
            <w:pPr>
              <w:jc w:val="center"/>
              <w:rPr>
                <w:color w:val="000000"/>
                <w:sz w:val="20"/>
                <w:szCs w:val="20"/>
              </w:rPr>
            </w:pPr>
            <w:r w:rsidRPr="000C487F">
              <w:rPr>
                <w:color w:val="000000"/>
                <w:sz w:val="20"/>
                <w:szCs w:val="20"/>
              </w:rPr>
              <w:t>----</w:t>
            </w:r>
          </w:p>
        </w:tc>
        <w:tc>
          <w:tcPr>
            <w:tcW w:w="850" w:type="dxa"/>
            <w:vAlign w:val="bottom"/>
          </w:tcPr>
          <w:p w:rsidR="00742D4A" w:rsidRPr="000C487F" w:rsidRDefault="00742D4A" w:rsidP="000C487F">
            <w:pPr>
              <w:jc w:val="center"/>
              <w:rPr>
                <w:b/>
                <w:bCs/>
                <w:color w:val="000000"/>
                <w:sz w:val="20"/>
                <w:szCs w:val="20"/>
              </w:rPr>
            </w:pPr>
            <w:r w:rsidRPr="000C487F">
              <w:rPr>
                <w:b/>
                <w:bCs/>
                <w:color w:val="000000"/>
                <w:sz w:val="20"/>
                <w:szCs w:val="20"/>
              </w:rPr>
              <w:t>6</w:t>
            </w:r>
          </w:p>
        </w:tc>
        <w:tc>
          <w:tcPr>
            <w:tcW w:w="945" w:type="dxa"/>
            <w:vAlign w:val="bottom"/>
          </w:tcPr>
          <w:p w:rsidR="00742D4A" w:rsidRPr="000C487F" w:rsidRDefault="00742D4A" w:rsidP="000C487F">
            <w:pPr>
              <w:jc w:val="center"/>
              <w:rPr>
                <w:color w:val="000000"/>
                <w:sz w:val="20"/>
                <w:szCs w:val="20"/>
              </w:rPr>
            </w:pPr>
            <w:r w:rsidRPr="000C487F">
              <w:rPr>
                <w:color w:val="000000"/>
                <w:sz w:val="20"/>
                <w:szCs w:val="20"/>
              </w:rPr>
              <w:t>----</w:t>
            </w:r>
          </w:p>
        </w:tc>
        <w:tc>
          <w:tcPr>
            <w:tcW w:w="1021" w:type="dxa"/>
            <w:vAlign w:val="bottom"/>
          </w:tcPr>
          <w:p w:rsidR="00742D4A" w:rsidRPr="000C487F" w:rsidRDefault="00742D4A" w:rsidP="000C487F">
            <w:pPr>
              <w:jc w:val="center"/>
              <w:rPr>
                <w:color w:val="000000"/>
                <w:sz w:val="20"/>
                <w:szCs w:val="20"/>
              </w:rPr>
            </w:pPr>
            <w:r w:rsidRPr="000C487F">
              <w:rPr>
                <w:color w:val="000000"/>
                <w:sz w:val="20"/>
                <w:szCs w:val="20"/>
              </w:rPr>
              <w:t>----</w:t>
            </w:r>
          </w:p>
        </w:tc>
      </w:tr>
      <w:bookmarkEnd w:id="115"/>
      <w:tr w:rsidR="00742D4A" w:rsidRPr="00304821" w:rsidTr="000C487F">
        <w:trPr>
          <w:trHeight w:hRule="exact" w:val="144"/>
        </w:trPr>
        <w:tc>
          <w:tcPr>
            <w:tcW w:w="1273" w:type="dxa"/>
            <w:shd w:val="clear" w:color="auto" w:fill="auto"/>
            <w:noWrap/>
            <w:vAlign w:val="bottom"/>
          </w:tcPr>
          <w:p w:rsidR="00742D4A" w:rsidRPr="000C487F" w:rsidRDefault="00742D4A" w:rsidP="000C487F">
            <w:pPr>
              <w:jc w:val="center"/>
              <w:rPr>
                <w:color w:val="000000"/>
                <w:sz w:val="20"/>
                <w:szCs w:val="20"/>
              </w:rPr>
            </w:pPr>
          </w:p>
        </w:tc>
        <w:tc>
          <w:tcPr>
            <w:tcW w:w="871" w:type="dxa"/>
            <w:shd w:val="clear" w:color="auto" w:fill="auto"/>
            <w:noWrap/>
            <w:vAlign w:val="bottom"/>
          </w:tcPr>
          <w:p w:rsidR="00742D4A" w:rsidRPr="000C487F" w:rsidRDefault="00742D4A" w:rsidP="000C487F">
            <w:pPr>
              <w:jc w:val="center"/>
              <w:rPr>
                <w:color w:val="000000"/>
                <w:sz w:val="20"/>
                <w:szCs w:val="20"/>
              </w:rPr>
            </w:pPr>
          </w:p>
        </w:tc>
        <w:tc>
          <w:tcPr>
            <w:tcW w:w="913" w:type="dxa"/>
            <w:vAlign w:val="bottom"/>
          </w:tcPr>
          <w:p w:rsidR="00742D4A" w:rsidRPr="000C487F" w:rsidRDefault="00742D4A" w:rsidP="000C487F">
            <w:pPr>
              <w:jc w:val="center"/>
              <w:rPr>
                <w:color w:val="000000"/>
                <w:sz w:val="20"/>
                <w:szCs w:val="20"/>
              </w:rPr>
            </w:pPr>
          </w:p>
        </w:tc>
        <w:tc>
          <w:tcPr>
            <w:tcW w:w="709" w:type="dxa"/>
            <w:vAlign w:val="bottom"/>
          </w:tcPr>
          <w:p w:rsidR="00742D4A" w:rsidRPr="000C487F" w:rsidRDefault="00742D4A" w:rsidP="000C487F">
            <w:pPr>
              <w:jc w:val="center"/>
              <w:rPr>
                <w:color w:val="000000"/>
                <w:sz w:val="20"/>
                <w:szCs w:val="20"/>
              </w:rPr>
            </w:pPr>
          </w:p>
        </w:tc>
        <w:tc>
          <w:tcPr>
            <w:tcW w:w="709" w:type="dxa"/>
            <w:vAlign w:val="bottom"/>
          </w:tcPr>
          <w:p w:rsidR="00742D4A" w:rsidRPr="000C487F" w:rsidRDefault="00742D4A" w:rsidP="000C487F">
            <w:pPr>
              <w:jc w:val="center"/>
              <w:rPr>
                <w:color w:val="000000"/>
                <w:sz w:val="20"/>
                <w:szCs w:val="20"/>
              </w:rPr>
            </w:pPr>
          </w:p>
        </w:tc>
        <w:tc>
          <w:tcPr>
            <w:tcW w:w="850" w:type="dxa"/>
            <w:vAlign w:val="bottom"/>
          </w:tcPr>
          <w:p w:rsidR="00742D4A" w:rsidRPr="000C487F" w:rsidRDefault="00742D4A" w:rsidP="000C487F">
            <w:pPr>
              <w:jc w:val="center"/>
              <w:rPr>
                <w:color w:val="000000"/>
                <w:sz w:val="20"/>
                <w:szCs w:val="20"/>
              </w:rPr>
            </w:pPr>
          </w:p>
        </w:tc>
        <w:tc>
          <w:tcPr>
            <w:tcW w:w="709" w:type="dxa"/>
            <w:vAlign w:val="bottom"/>
          </w:tcPr>
          <w:p w:rsidR="00742D4A" w:rsidRPr="000C487F" w:rsidRDefault="00742D4A" w:rsidP="000C487F">
            <w:pPr>
              <w:jc w:val="center"/>
              <w:rPr>
                <w:color w:val="000000"/>
                <w:sz w:val="20"/>
                <w:szCs w:val="20"/>
              </w:rPr>
            </w:pPr>
          </w:p>
        </w:tc>
        <w:tc>
          <w:tcPr>
            <w:tcW w:w="709" w:type="dxa"/>
            <w:vAlign w:val="bottom"/>
          </w:tcPr>
          <w:p w:rsidR="00742D4A" w:rsidRPr="000C487F" w:rsidRDefault="00742D4A" w:rsidP="000C487F">
            <w:pPr>
              <w:jc w:val="center"/>
              <w:rPr>
                <w:color w:val="000000"/>
                <w:sz w:val="20"/>
                <w:szCs w:val="20"/>
              </w:rPr>
            </w:pPr>
          </w:p>
        </w:tc>
        <w:tc>
          <w:tcPr>
            <w:tcW w:w="850" w:type="dxa"/>
            <w:vAlign w:val="bottom"/>
          </w:tcPr>
          <w:p w:rsidR="00742D4A" w:rsidRPr="000C487F" w:rsidRDefault="00742D4A" w:rsidP="000C487F">
            <w:pPr>
              <w:jc w:val="center"/>
              <w:rPr>
                <w:color w:val="000000"/>
                <w:sz w:val="20"/>
                <w:szCs w:val="20"/>
              </w:rPr>
            </w:pPr>
          </w:p>
        </w:tc>
        <w:tc>
          <w:tcPr>
            <w:tcW w:w="945" w:type="dxa"/>
            <w:vAlign w:val="bottom"/>
          </w:tcPr>
          <w:p w:rsidR="00742D4A" w:rsidRPr="000C487F" w:rsidRDefault="00742D4A" w:rsidP="000C487F">
            <w:pPr>
              <w:jc w:val="center"/>
              <w:rPr>
                <w:color w:val="000000"/>
                <w:sz w:val="20"/>
                <w:szCs w:val="20"/>
              </w:rPr>
            </w:pPr>
          </w:p>
        </w:tc>
        <w:tc>
          <w:tcPr>
            <w:tcW w:w="1021" w:type="dxa"/>
            <w:vAlign w:val="bottom"/>
          </w:tcPr>
          <w:p w:rsidR="00742D4A" w:rsidRPr="000C487F" w:rsidRDefault="00742D4A" w:rsidP="000C487F">
            <w:pPr>
              <w:jc w:val="center"/>
              <w:rPr>
                <w:color w:val="000000"/>
                <w:sz w:val="20"/>
                <w:szCs w:val="20"/>
              </w:rPr>
            </w:pPr>
          </w:p>
        </w:tc>
      </w:tr>
      <w:tr w:rsidR="00742D4A" w:rsidRPr="00304821" w:rsidTr="000C487F">
        <w:trPr>
          <w:trHeight w:val="315"/>
        </w:trPr>
        <w:tc>
          <w:tcPr>
            <w:tcW w:w="1273" w:type="dxa"/>
            <w:shd w:val="clear" w:color="auto" w:fill="auto"/>
            <w:noWrap/>
            <w:vAlign w:val="bottom"/>
          </w:tcPr>
          <w:p w:rsidR="000C487F" w:rsidRDefault="00742D4A" w:rsidP="000C487F">
            <w:pPr>
              <w:jc w:val="center"/>
              <w:rPr>
                <w:b/>
                <w:bCs/>
                <w:color w:val="000000"/>
                <w:sz w:val="20"/>
                <w:szCs w:val="20"/>
              </w:rPr>
            </w:pPr>
            <w:r w:rsidRPr="000C487F">
              <w:rPr>
                <w:b/>
                <w:bCs/>
                <w:color w:val="000000"/>
                <w:sz w:val="20"/>
                <w:szCs w:val="20"/>
              </w:rPr>
              <w:t>1-Nitro</w:t>
            </w:r>
          </w:p>
          <w:p w:rsidR="00742D4A" w:rsidRPr="000C487F" w:rsidRDefault="00742D4A" w:rsidP="000C487F">
            <w:pPr>
              <w:jc w:val="center"/>
              <w:rPr>
                <w:b/>
                <w:bCs/>
                <w:color w:val="000000"/>
                <w:sz w:val="20"/>
                <w:szCs w:val="20"/>
              </w:rPr>
            </w:pPr>
            <w:r w:rsidRPr="000C487F">
              <w:rPr>
                <w:b/>
                <w:bCs/>
                <w:color w:val="000000"/>
                <w:sz w:val="20"/>
                <w:szCs w:val="20"/>
              </w:rPr>
              <w:t>propane</w:t>
            </w:r>
          </w:p>
        </w:tc>
        <w:tc>
          <w:tcPr>
            <w:tcW w:w="871" w:type="dxa"/>
            <w:shd w:val="clear" w:color="auto" w:fill="auto"/>
            <w:noWrap/>
            <w:vAlign w:val="bottom"/>
          </w:tcPr>
          <w:p w:rsidR="00742D4A" w:rsidRPr="000C487F" w:rsidRDefault="00742D4A" w:rsidP="000C487F">
            <w:pPr>
              <w:jc w:val="center"/>
              <w:rPr>
                <w:b/>
                <w:bCs/>
                <w:color w:val="000000"/>
                <w:sz w:val="20"/>
                <w:szCs w:val="20"/>
              </w:rPr>
            </w:pPr>
            <w:r w:rsidRPr="000C487F">
              <w:rPr>
                <w:b/>
                <w:bCs/>
                <w:color w:val="000000"/>
                <w:sz w:val="20"/>
                <w:szCs w:val="20"/>
              </w:rPr>
              <w:t>89.1</w:t>
            </w:r>
          </w:p>
        </w:tc>
        <w:tc>
          <w:tcPr>
            <w:tcW w:w="913" w:type="dxa"/>
            <w:vAlign w:val="bottom"/>
          </w:tcPr>
          <w:p w:rsidR="00742D4A" w:rsidRPr="000C487F" w:rsidRDefault="00742D4A" w:rsidP="000C487F">
            <w:pPr>
              <w:jc w:val="center"/>
              <w:rPr>
                <w:b/>
                <w:bCs/>
                <w:color w:val="000000"/>
                <w:sz w:val="20"/>
                <w:szCs w:val="20"/>
              </w:rPr>
            </w:pPr>
            <w:r w:rsidRPr="000C487F">
              <w:rPr>
                <w:b/>
                <w:bCs/>
                <w:color w:val="000000"/>
                <w:sz w:val="20"/>
                <w:szCs w:val="20"/>
              </w:rPr>
              <w:t>205</w:t>
            </w:r>
          </w:p>
        </w:tc>
        <w:tc>
          <w:tcPr>
            <w:tcW w:w="709" w:type="dxa"/>
            <w:vAlign w:val="bottom"/>
          </w:tcPr>
          <w:p w:rsidR="00742D4A" w:rsidRPr="000C487F" w:rsidRDefault="00742D4A" w:rsidP="000C487F">
            <w:pPr>
              <w:jc w:val="center"/>
              <w:rPr>
                <w:b/>
                <w:bCs/>
                <w:color w:val="000000"/>
                <w:sz w:val="20"/>
                <w:szCs w:val="20"/>
              </w:rPr>
            </w:pPr>
            <w:r w:rsidRPr="000C487F">
              <w:rPr>
                <w:b/>
                <w:bCs/>
                <w:color w:val="000000"/>
                <w:sz w:val="20"/>
                <w:szCs w:val="20"/>
              </w:rPr>
              <w:t>233</w:t>
            </w:r>
          </w:p>
        </w:tc>
        <w:tc>
          <w:tcPr>
            <w:tcW w:w="709" w:type="dxa"/>
            <w:vAlign w:val="bottom"/>
          </w:tcPr>
          <w:p w:rsidR="00742D4A" w:rsidRPr="000C487F" w:rsidRDefault="00742D4A" w:rsidP="000C487F">
            <w:pPr>
              <w:jc w:val="center"/>
              <w:rPr>
                <w:color w:val="000000"/>
                <w:sz w:val="20"/>
                <w:szCs w:val="20"/>
              </w:rPr>
            </w:pPr>
            <w:r w:rsidRPr="000C487F">
              <w:rPr>
                <w:color w:val="000000"/>
                <w:sz w:val="20"/>
                <w:szCs w:val="20"/>
              </w:rPr>
              <w:t>227</w:t>
            </w:r>
          </w:p>
        </w:tc>
        <w:tc>
          <w:tcPr>
            <w:tcW w:w="850" w:type="dxa"/>
            <w:vAlign w:val="bottom"/>
          </w:tcPr>
          <w:p w:rsidR="00742D4A" w:rsidRPr="000C487F" w:rsidRDefault="00742D4A" w:rsidP="000C487F">
            <w:pPr>
              <w:jc w:val="center"/>
              <w:rPr>
                <w:b/>
                <w:bCs/>
                <w:color w:val="000000"/>
                <w:sz w:val="20"/>
                <w:szCs w:val="20"/>
              </w:rPr>
            </w:pPr>
            <w:r w:rsidRPr="000C487F">
              <w:rPr>
                <w:b/>
                <w:bCs/>
                <w:color w:val="000000"/>
                <w:sz w:val="20"/>
                <w:szCs w:val="20"/>
              </w:rPr>
              <w:t>258</w:t>
            </w:r>
          </w:p>
        </w:tc>
        <w:tc>
          <w:tcPr>
            <w:tcW w:w="709" w:type="dxa"/>
            <w:vAlign w:val="bottom"/>
          </w:tcPr>
          <w:p w:rsidR="00742D4A" w:rsidRPr="000C487F" w:rsidRDefault="00742D4A" w:rsidP="000C487F">
            <w:pPr>
              <w:jc w:val="center"/>
              <w:rPr>
                <w:b/>
                <w:bCs/>
                <w:color w:val="000000"/>
                <w:sz w:val="20"/>
                <w:szCs w:val="20"/>
              </w:rPr>
            </w:pPr>
            <w:r w:rsidRPr="000C487F">
              <w:rPr>
                <w:b/>
                <w:bCs/>
                <w:color w:val="000000"/>
                <w:sz w:val="20"/>
                <w:szCs w:val="20"/>
              </w:rPr>
              <w:t>696</w:t>
            </w:r>
          </w:p>
        </w:tc>
        <w:tc>
          <w:tcPr>
            <w:tcW w:w="709" w:type="dxa"/>
            <w:vAlign w:val="bottom"/>
          </w:tcPr>
          <w:p w:rsidR="00742D4A" w:rsidRPr="000C487F" w:rsidRDefault="00742D4A" w:rsidP="000C487F">
            <w:pPr>
              <w:jc w:val="center"/>
              <w:rPr>
                <w:color w:val="000000"/>
                <w:sz w:val="20"/>
                <w:szCs w:val="20"/>
              </w:rPr>
            </w:pPr>
            <w:r w:rsidRPr="000C487F">
              <w:rPr>
                <w:color w:val="000000"/>
                <w:sz w:val="20"/>
                <w:szCs w:val="20"/>
              </w:rPr>
              <w:t>380</w:t>
            </w:r>
          </w:p>
        </w:tc>
        <w:tc>
          <w:tcPr>
            <w:tcW w:w="850" w:type="dxa"/>
            <w:vAlign w:val="bottom"/>
          </w:tcPr>
          <w:p w:rsidR="00742D4A" w:rsidRPr="000C487F" w:rsidRDefault="00742D4A" w:rsidP="000C487F">
            <w:pPr>
              <w:jc w:val="center"/>
              <w:rPr>
                <w:b/>
                <w:color w:val="000000"/>
                <w:sz w:val="20"/>
                <w:szCs w:val="20"/>
              </w:rPr>
            </w:pPr>
            <w:r w:rsidRPr="000C487F">
              <w:rPr>
                <w:b/>
                <w:color w:val="000000"/>
                <w:sz w:val="20"/>
                <w:szCs w:val="20"/>
              </w:rPr>
              <w:t>98</w:t>
            </w:r>
          </w:p>
        </w:tc>
        <w:tc>
          <w:tcPr>
            <w:tcW w:w="945" w:type="dxa"/>
            <w:vAlign w:val="bottom"/>
          </w:tcPr>
          <w:p w:rsidR="00742D4A" w:rsidRPr="000C487F" w:rsidRDefault="00742D4A" w:rsidP="000C487F">
            <w:pPr>
              <w:jc w:val="center"/>
              <w:rPr>
                <w:b/>
                <w:bCs/>
                <w:color w:val="000000"/>
                <w:sz w:val="20"/>
                <w:szCs w:val="20"/>
              </w:rPr>
            </w:pPr>
            <w:r w:rsidRPr="000C487F">
              <w:rPr>
                <w:b/>
                <w:bCs/>
                <w:color w:val="000000"/>
                <w:sz w:val="20"/>
                <w:szCs w:val="20"/>
              </w:rPr>
              <w:t>263</w:t>
            </w:r>
          </w:p>
        </w:tc>
        <w:tc>
          <w:tcPr>
            <w:tcW w:w="1021" w:type="dxa"/>
            <w:vAlign w:val="bottom"/>
          </w:tcPr>
          <w:p w:rsidR="00742D4A" w:rsidRPr="000C487F" w:rsidRDefault="00742D4A" w:rsidP="000C487F">
            <w:pPr>
              <w:jc w:val="center"/>
              <w:rPr>
                <w:b/>
                <w:bCs/>
                <w:color w:val="000000"/>
                <w:sz w:val="20"/>
                <w:szCs w:val="20"/>
              </w:rPr>
            </w:pPr>
            <w:r w:rsidRPr="000C487F">
              <w:rPr>
                <w:b/>
                <w:bCs/>
                <w:color w:val="000000"/>
                <w:sz w:val="20"/>
                <w:szCs w:val="20"/>
              </w:rPr>
              <w:t>&gt;456</w:t>
            </w:r>
          </w:p>
        </w:tc>
      </w:tr>
      <w:tr w:rsidR="00742D4A" w:rsidRPr="00304821" w:rsidTr="000C487F">
        <w:trPr>
          <w:trHeight w:hRule="exact" w:val="144"/>
        </w:trPr>
        <w:tc>
          <w:tcPr>
            <w:tcW w:w="1273" w:type="dxa"/>
            <w:shd w:val="clear" w:color="auto" w:fill="auto"/>
            <w:noWrap/>
            <w:vAlign w:val="bottom"/>
          </w:tcPr>
          <w:p w:rsidR="00742D4A" w:rsidRPr="000C487F" w:rsidRDefault="00742D4A" w:rsidP="000C487F">
            <w:pPr>
              <w:jc w:val="center"/>
              <w:rPr>
                <w:color w:val="000000"/>
                <w:sz w:val="20"/>
                <w:szCs w:val="20"/>
              </w:rPr>
            </w:pPr>
          </w:p>
        </w:tc>
        <w:tc>
          <w:tcPr>
            <w:tcW w:w="871" w:type="dxa"/>
            <w:shd w:val="clear" w:color="auto" w:fill="auto"/>
            <w:noWrap/>
            <w:vAlign w:val="bottom"/>
          </w:tcPr>
          <w:p w:rsidR="00742D4A" w:rsidRPr="000C487F" w:rsidRDefault="00742D4A" w:rsidP="000C487F">
            <w:pPr>
              <w:jc w:val="center"/>
              <w:rPr>
                <w:color w:val="000000"/>
                <w:sz w:val="20"/>
                <w:szCs w:val="20"/>
              </w:rPr>
            </w:pPr>
          </w:p>
        </w:tc>
        <w:tc>
          <w:tcPr>
            <w:tcW w:w="913" w:type="dxa"/>
            <w:vAlign w:val="bottom"/>
          </w:tcPr>
          <w:p w:rsidR="00742D4A" w:rsidRPr="000C487F" w:rsidRDefault="00742D4A" w:rsidP="000C487F">
            <w:pPr>
              <w:jc w:val="center"/>
              <w:rPr>
                <w:b/>
                <w:bCs/>
                <w:color w:val="000000"/>
                <w:sz w:val="20"/>
                <w:szCs w:val="20"/>
              </w:rPr>
            </w:pPr>
          </w:p>
        </w:tc>
        <w:tc>
          <w:tcPr>
            <w:tcW w:w="709" w:type="dxa"/>
            <w:vAlign w:val="bottom"/>
          </w:tcPr>
          <w:p w:rsidR="00742D4A" w:rsidRPr="000C487F" w:rsidRDefault="00742D4A" w:rsidP="000C487F">
            <w:pPr>
              <w:jc w:val="center"/>
              <w:rPr>
                <w:color w:val="000000"/>
                <w:sz w:val="20"/>
                <w:szCs w:val="20"/>
              </w:rPr>
            </w:pPr>
          </w:p>
        </w:tc>
        <w:tc>
          <w:tcPr>
            <w:tcW w:w="709" w:type="dxa"/>
            <w:vAlign w:val="bottom"/>
          </w:tcPr>
          <w:p w:rsidR="00742D4A" w:rsidRPr="000C487F" w:rsidRDefault="00742D4A" w:rsidP="000C487F">
            <w:pPr>
              <w:jc w:val="center"/>
              <w:rPr>
                <w:color w:val="000000"/>
                <w:sz w:val="20"/>
                <w:szCs w:val="20"/>
              </w:rPr>
            </w:pPr>
          </w:p>
        </w:tc>
        <w:tc>
          <w:tcPr>
            <w:tcW w:w="850" w:type="dxa"/>
            <w:vAlign w:val="bottom"/>
          </w:tcPr>
          <w:p w:rsidR="00742D4A" w:rsidRPr="000C487F" w:rsidRDefault="00742D4A" w:rsidP="000C487F">
            <w:pPr>
              <w:jc w:val="center"/>
              <w:rPr>
                <w:color w:val="000000"/>
                <w:sz w:val="20"/>
                <w:szCs w:val="20"/>
              </w:rPr>
            </w:pPr>
          </w:p>
        </w:tc>
        <w:tc>
          <w:tcPr>
            <w:tcW w:w="709" w:type="dxa"/>
            <w:vAlign w:val="bottom"/>
          </w:tcPr>
          <w:p w:rsidR="00742D4A" w:rsidRPr="000C487F" w:rsidRDefault="00742D4A" w:rsidP="000C487F">
            <w:pPr>
              <w:jc w:val="center"/>
              <w:rPr>
                <w:color w:val="000000"/>
                <w:sz w:val="20"/>
                <w:szCs w:val="20"/>
              </w:rPr>
            </w:pPr>
          </w:p>
        </w:tc>
        <w:tc>
          <w:tcPr>
            <w:tcW w:w="709" w:type="dxa"/>
            <w:vAlign w:val="bottom"/>
          </w:tcPr>
          <w:p w:rsidR="00742D4A" w:rsidRPr="000C487F" w:rsidRDefault="00742D4A" w:rsidP="000C487F">
            <w:pPr>
              <w:jc w:val="center"/>
              <w:rPr>
                <w:color w:val="000000"/>
                <w:sz w:val="20"/>
                <w:szCs w:val="20"/>
              </w:rPr>
            </w:pPr>
          </w:p>
        </w:tc>
        <w:tc>
          <w:tcPr>
            <w:tcW w:w="850" w:type="dxa"/>
            <w:vAlign w:val="bottom"/>
          </w:tcPr>
          <w:p w:rsidR="00742D4A" w:rsidRPr="000C487F" w:rsidRDefault="00742D4A" w:rsidP="000C487F">
            <w:pPr>
              <w:jc w:val="center"/>
              <w:rPr>
                <w:color w:val="000000"/>
                <w:sz w:val="20"/>
                <w:szCs w:val="20"/>
              </w:rPr>
            </w:pPr>
          </w:p>
        </w:tc>
        <w:tc>
          <w:tcPr>
            <w:tcW w:w="945" w:type="dxa"/>
            <w:vAlign w:val="bottom"/>
          </w:tcPr>
          <w:p w:rsidR="00742D4A" w:rsidRPr="000C487F" w:rsidRDefault="00742D4A" w:rsidP="000C487F">
            <w:pPr>
              <w:jc w:val="center"/>
              <w:rPr>
                <w:color w:val="000000"/>
                <w:sz w:val="20"/>
                <w:szCs w:val="20"/>
              </w:rPr>
            </w:pPr>
          </w:p>
        </w:tc>
        <w:tc>
          <w:tcPr>
            <w:tcW w:w="1021" w:type="dxa"/>
            <w:vAlign w:val="bottom"/>
          </w:tcPr>
          <w:p w:rsidR="00742D4A" w:rsidRPr="000C487F" w:rsidRDefault="00742D4A" w:rsidP="000C487F">
            <w:pPr>
              <w:jc w:val="center"/>
              <w:rPr>
                <w:color w:val="000000"/>
                <w:sz w:val="20"/>
                <w:szCs w:val="20"/>
              </w:rPr>
            </w:pPr>
          </w:p>
        </w:tc>
      </w:tr>
      <w:tr w:rsidR="00742D4A" w:rsidRPr="00304821" w:rsidTr="000C487F">
        <w:trPr>
          <w:trHeight w:val="315"/>
        </w:trPr>
        <w:tc>
          <w:tcPr>
            <w:tcW w:w="1273" w:type="dxa"/>
            <w:shd w:val="clear" w:color="auto" w:fill="auto"/>
            <w:noWrap/>
            <w:vAlign w:val="bottom"/>
          </w:tcPr>
          <w:p w:rsidR="000C487F" w:rsidRDefault="00742D4A" w:rsidP="000C487F">
            <w:pPr>
              <w:jc w:val="center"/>
              <w:rPr>
                <w:b/>
                <w:bCs/>
                <w:color w:val="000000"/>
                <w:sz w:val="20"/>
                <w:szCs w:val="20"/>
              </w:rPr>
            </w:pPr>
            <w:r w:rsidRPr="000C487F">
              <w:rPr>
                <w:b/>
                <w:bCs/>
                <w:color w:val="000000"/>
                <w:sz w:val="20"/>
                <w:szCs w:val="20"/>
              </w:rPr>
              <w:t>2-Nitro</w:t>
            </w:r>
          </w:p>
          <w:p w:rsidR="00742D4A" w:rsidRPr="000C487F" w:rsidRDefault="00742D4A" w:rsidP="000C487F">
            <w:pPr>
              <w:jc w:val="center"/>
              <w:rPr>
                <w:b/>
                <w:bCs/>
                <w:color w:val="000000"/>
                <w:sz w:val="20"/>
                <w:szCs w:val="20"/>
              </w:rPr>
            </w:pPr>
            <w:r w:rsidRPr="000C487F">
              <w:rPr>
                <w:b/>
                <w:bCs/>
                <w:color w:val="000000"/>
                <w:sz w:val="20"/>
                <w:szCs w:val="20"/>
              </w:rPr>
              <w:t>propane</w:t>
            </w:r>
          </w:p>
        </w:tc>
        <w:tc>
          <w:tcPr>
            <w:tcW w:w="871" w:type="dxa"/>
            <w:shd w:val="clear" w:color="auto" w:fill="auto"/>
            <w:noWrap/>
            <w:vAlign w:val="bottom"/>
          </w:tcPr>
          <w:p w:rsidR="00742D4A" w:rsidRPr="000C487F" w:rsidRDefault="00742D4A" w:rsidP="000C487F">
            <w:pPr>
              <w:jc w:val="center"/>
              <w:rPr>
                <w:b/>
                <w:bCs/>
                <w:color w:val="000000"/>
                <w:sz w:val="20"/>
                <w:szCs w:val="20"/>
              </w:rPr>
            </w:pPr>
            <w:r w:rsidRPr="000C487F">
              <w:rPr>
                <w:b/>
                <w:bCs/>
                <w:color w:val="000000"/>
                <w:sz w:val="20"/>
                <w:szCs w:val="20"/>
              </w:rPr>
              <w:t>89.1</w:t>
            </w:r>
          </w:p>
        </w:tc>
        <w:tc>
          <w:tcPr>
            <w:tcW w:w="913" w:type="dxa"/>
            <w:vAlign w:val="bottom"/>
          </w:tcPr>
          <w:p w:rsidR="00742D4A" w:rsidRPr="000C487F" w:rsidRDefault="00742D4A" w:rsidP="000C487F">
            <w:pPr>
              <w:jc w:val="center"/>
              <w:rPr>
                <w:b/>
                <w:bCs/>
                <w:color w:val="000000"/>
                <w:sz w:val="20"/>
                <w:szCs w:val="20"/>
              </w:rPr>
            </w:pPr>
            <w:r w:rsidRPr="000C487F">
              <w:rPr>
                <w:b/>
                <w:bCs/>
                <w:color w:val="000000"/>
                <w:sz w:val="20"/>
                <w:szCs w:val="20"/>
              </w:rPr>
              <w:t>620</w:t>
            </w:r>
          </w:p>
        </w:tc>
        <w:tc>
          <w:tcPr>
            <w:tcW w:w="709" w:type="dxa"/>
            <w:vAlign w:val="bottom"/>
          </w:tcPr>
          <w:p w:rsidR="00742D4A" w:rsidRPr="000C487F" w:rsidRDefault="00742D4A" w:rsidP="000C487F">
            <w:pPr>
              <w:jc w:val="center"/>
              <w:rPr>
                <w:b/>
                <w:bCs/>
                <w:color w:val="000000"/>
                <w:sz w:val="20"/>
                <w:szCs w:val="20"/>
              </w:rPr>
            </w:pPr>
            <w:r w:rsidRPr="000C487F">
              <w:rPr>
                <w:color w:val="000000"/>
                <w:sz w:val="20"/>
                <w:szCs w:val="20"/>
              </w:rPr>
              <w:t>----</w:t>
            </w:r>
          </w:p>
        </w:tc>
        <w:tc>
          <w:tcPr>
            <w:tcW w:w="709" w:type="dxa"/>
            <w:vAlign w:val="bottom"/>
          </w:tcPr>
          <w:p w:rsidR="00742D4A" w:rsidRPr="000C487F" w:rsidRDefault="00742D4A" w:rsidP="000C487F">
            <w:pPr>
              <w:jc w:val="center"/>
              <w:rPr>
                <w:color w:val="000000"/>
                <w:sz w:val="20"/>
                <w:szCs w:val="20"/>
              </w:rPr>
            </w:pPr>
            <w:r w:rsidRPr="000C487F">
              <w:rPr>
                <w:color w:val="000000"/>
                <w:sz w:val="20"/>
                <w:szCs w:val="20"/>
              </w:rPr>
              <w:t>----</w:t>
            </w:r>
            <w:r w:rsidRPr="000C487F">
              <w:rPr>
                <w:color w:val="000000"/>
                <w:sz w:val="20"/>
                <w:szCs w:val="20"/>
                <w:vertAlign w:val="superscript"/>
              </w:rPr>
              <w:t>5</w:t>
            </w:r>
          </w:p>
        </w:tc>
        <w:tc>
          <w:tcPr>
            <w:tcW w:w="850" w:type="dxa"/>
            <w:vAlign w:val="bottom"/>
          </w:tcPr>
          <w:p w:rsidR="00742D4A" w:rsidRPr="000C487F" w:rsidRDefault="00742D4A" w:rsidP="000C487F">
            <w:pPr>
              <w:jc w:val="center"/>
              <w:rPr>
                <w:b/>
                <w:bCs/>
                <w:color w:val="000000"/>
                <w:sz w:val="20"/>
                <w:szCs w:val="20"/>
              </w:rPr>
            </w:pPr>
            <w:r w:rsidRPr="000C487F">
              <w:rPr>
                <w:b/>
                <w:bCs/>
                <w:color w:val="000000"/>
                <w:sz w:val="20"/>
                <w:szCs w:val="20"/>
              </w:rPr>
              <w:t>290</w:t>
            </w:r>
          </w:p>
        </w:tc>
        <w:tc>
          <w:tcPr>
            <w:tcW w:w="709" w:type="dxa"/>
            <w:vAlign w:val="bottom"/>
          </w:tcPr>
          <w:p w:rsidR="00742D4A" w:rsidRPr="000C487F" w:rsidRDefault="00742D4A" w:rsidP="000C487F">
            <w:pPr>
              <w:jc w:val="center"/>
              <w:rPr>
                <w:b/>
                <w:bCs/>
                <w:color w:val="000000"/>
                <w:sz w:val="20"/>
                <w:szCs w:val="20"/>
              </w:rPr>
            </w:pPr>
            <w:r w:rsidRPr="000C487F">
              <w:rPr>
                <w:b/>
                <w:bCs/>
                <w:color w:val="000000"/>
                <w:sz w:val="20"/>
                <w:szCs w:val="20"/>
              </w:rPr>
              <w:t>&gt;168</w:t>
            </w:r>
          </w:p>
        </w:tc>
        <w:tc>
          <w:tcPr>
            <w:tcW w:w="709" w:type="dxa"/>
            <w:vAlign w:val="bottom"/>
          </w:tcPr>
          <w:p w:rsidR="00742D4A" w:rsidRPr="000C487F" w:rsidRDefault="00742D4A" w:rsidP="000C487F">
            <w:pPr>
              <w:jc w:val="center"/>
              <w:rPr>
                <w:color w:val="000000"/>
                <w:sz w:val="20"/>
                <w:szCs w:val="20"/>
              </w:rPr>
            </w:pPr>
            <w:r w:rsidRPr="000C487F">
              <w:rPr>
                <w:color w:val="000000"/>
                <w:sz w:val="20"/>
                <w:szCs w:val="20"/>
              </w:rPr>
              <w:t>19</w:t>
            </w:r>
          </w:p>
        </w:tc>
        <w:tc>
          <w:tcPr>
            <w:tcW w:w="850" w:type="dxa"/>
            <w:vAlign w:val="bottom"/>
          </w:tcPr>
          <w:p w:rsidR="00742D4A" w:rsidRPr="000C487F" w:rsidRDefault="00742D4A" w:rsidP="000C487F">
            <w:pPr>
              <w:jc w:val="center"/>
              <w:rPr>
                <w:b/>
                <w:bCs/>
                <w:color w:val="000000"/>
                <w:sz w:val="20"/>
                <w:szCs w:val="20"/>
              </w:rPr>
            </w:pPr>
            <w:r w:rsidRPr="000C487F">
              <w:rPr>
                <w:b/>
                <w:bCs/>
                <w:color w:val="000000"/>
                <w:sz w:val="20"/>
                <w:szCs w:val="20"/>
              </w:rPr>
              <w:t>1088</w:t>
            </w:r>
          </w:p>
        </w:tc>
        <w:tc>
          <w:tcPr>
            <w:tcW w:w="945" w:type="dxa"/>
            <w:vAlign w:val="bottom"/>
          </w:tcPr>
          <w:p w:rsidR="00742D4A" w:rsidRPr="000C487F" w:rsidRDefault="00742D4A" w:rsidP="000C487F">
            <w:pPr>
              <w:jc w:val="center"/>
              <w:rPr>
                <w:b/>
                <w:bCs/>
                <w:color w:val="000000"/>
                <w:sz w:val="20"/>
                <w:szCs w:val="20"/>
              </w:rPr>
            </w:pPr>
            <w:r w:rsidRPr="000C487F">
              <w:rPr>
                <w:b/>
                <w:bCs/>
                <w:color w:val="000000"/>
                <w:sz w:val="20"/>
                <w:szCs w:val="20"/>
              </w:rPr>
              <w:t>419</w:t>
            </w:r>
          </w:p>
        </w:tc>
        <w:tc>
          <w:tcPr>
            <w:tcW w:w="1021" w:type="dxa"/>
            <w:vAlign w:val="bottom"/>
          </w:tcPr>
          <w:p w:rsidR="00742D4A" w:rsidRPr="000C487F" w:rsidRDefault="00742D4A" w:rsidP="000C487F">
            <w:pPr>
              <w:jc w:val="center"/>
              <w:rPr>
                <w:b/>
                <w:bCs/>
                <w:color w:val="000000"/>
                <w:sz w:val="20"/>
                <w:szCs w:val="20"/>
              </w:rPr>
            </w:pPr>
            <w:r w:rsidRPr="000C487F">
              <w:rPr>
                <w:b/>
                <w:bCs/>
                <w:color w:val="000000"/>
                <w:sz w:val="20"/>
                <w:szCs w:val="20"/>
              </w:rPr>
              <w:t>&gt;1000</w:t>
            </w:r>
          </w:p>
        </w:tc>
      </w:tr>
    </w:tbl>
    <w:p w:rsidR="00742D4A" w:rsidRPr="000C487F" w:rsidRDefault="00742D4A" w:rsidP="00F37C80">
      <w:pPr>
        <w:jc w:val="both"/>
        <w:rPr>
          <w:color w:val="000000"/>
          <w:sz w:val="20"/>
          <w:szCs w:val="20"/>
        </w:rPr>
      </w:pPr>
      <w:r w:rsidRPr="000C487F">
        <w:rPr>
          <w:color w:val="000000"/>
          <w:sz w:val="20"/>
          <w:szCs w:val="20"/>
          <w:vertAlign w:val="superscript"/>
        </w:rPr>
        <w:t>1</w:t>
      </w:r>
      <w:r w:rsidRPr="000C487F">
        <w:rPr>
          <w:color w:val="000000"/>
          <w:sz w:val="20"/>
          <w:szCs w:val="20"/>
        </w:rPr>
        <w:t xml:space="preserve"> </w:t>
      </w:r>
      <w:bookmarkStart w:id="118" w:name="OLE_LINK32"/>
      <w:r w:rsidRPr="000C487F">
        <w:rPr>
          <w:color w:val="000000"/>
          <w:sz w:val="20"/>
          <w:szCs w:val="20"/>
        </w:rPr>
        <w:t xml:space="preserve">Note that the </w:t>
      </w:r>
      <w:r w:rsidR="009836BA" w:rsidRPr="000C487F">
        <w:rPr>
          <w:color w:val="000000"/>
          <w:sz w:val="20"/>
          <w:szCs w:val="20"/>
        </w:rPr>
        <w:t>Freitag</w:t>
      </w:r>
      <w:r w:rsidRPr="000C487F">
        <w:rPr>
          <w:color w:val="000000"/>
          <w:sz w:val="20"/>
          <w:szCs w:val="20"/>
        </w:rPr>
        <w:t xml:space="preserve"> fish tests were conducted with the Zebra fish and the new study was conducted with the Fathead minnow.</w:t>
      </w:r>
      <w:bookmarkEnd w:id="118"/>
    </w:p>
    <w:p w:rsidR="00742D4A" w:rsidRPr="000C487F" w:rsidRDefault="00742D4A" w:rsidP="00F37C80">
      <w:pPr>
        <w:jc w:val="both"/>
        <w:rPr>
          <w:color w:val="000000"/>
          <w:sz w:val="20"/>
          <w:szCs w:val="20"/>
        </w:rPr>
      </w:pPr>
      <w:r w:rsidRPr="000C487F">
        <w:rPr>
          <w:color w:val="000000"/>
          <w:sz w:val="20"/>
          <w:szCs w:val="20"/>
          <w:vertAlign w:val="superscript"/>
        </w:rPr>
        <w:t>2</w:t>
      </w:r>
      <w:r w:rsidRPr="000C487F">
        <w:rPr>
          <w:color w:val="000000"/>
          <w:sz w:val="20"/>
          <w:szCs w:val="20"/>
        </w:rPr>
        <w:t xml:space="preserve"> Note that the </w:t>
      </w:r>
      <w:r w:rsidR="009836BA" w:rsidRPr="000C487F">
        <w:rPr>
          <w:color w:val="000000"/>
          <w:sz w:val="20"/>
          <w:szCs w:val="20"/>
        </w:rPr>
        <w:t>Freitag</w:t>
      </w:r>
      <w:r w:rsidRPr="000C487F">
        <w:rPr>
          <w:color w:val="000000"/>
          <w:sz w:val="20"/>
          <w:szCs w:val="20"/>
        </w:rPr>
        <w:t xml:space="preserve"> algal tests were conducted with the </w:t>
      </w:r>
      <w:r w:rsidRPr="000C487F">
        <w:rPr>
          <w:i/>
          <w:color w:val="000000"/>
          <w:sz w:val="20"/>
          <w:szCs w:val="20"/>
        </w:rPr>
        <w:t>Scenedesmus subspicatus</w:t>
      </w:r>
      <w:r w:rsidRPr="000C487F">
        <w:rPr>
          <w:color w:val="000000"/>
          <w:sz w:val="20"/>
          <w:szCs w:val="20"/>
        </w:rPr>
        <w:t xml:space="preserve"> and the new studies were conducted with the </w:t>
      </w:r>
      <w:r w:rsidRPr="000C487F">
        <w:rPr>
          <w:i/>
          <w:color w:val="000000"/>
          <w:sz w:val="20"/>
          <w:szCs w:val="20"/>
        </w:rPr>
        <w:t>Pseudokirchneriella subcapitata</w:t>
      </w:r>
      <w:r w:rsidRPr="000C487F">
        <w:rPr>
          <w:color w:val="000000"/>
          <w:sz w:val="20"/>
          <w:szCs w:val="20"/>
        </w:rPr>
        <w:t xml:space="preserve">.  Also note that the </w:t>
      </w:r>
      <w:r w:rsidR="009836BA" w:rsidRPr="000C487F">
        <w:rPr>
          <w:color w:val="000000"/>
          <w:sz w:val="20"/>
          <w:szCs w:val="20"/>
        </w:rPr>
        <w:t>Freitag</w:t>
      </w:r>
      <w:r w:rsidRPr="000C487F">
        <w:rPr>
          <w:color w:val="000000"/>
          <w:sz w:val="20"/>
          <w:szCs w:val="20"/>
        </w:rPr>
        <w:t xml:space="preserve"> values presented were assumed (based on the report) to be the cell density EC50 values and the cell density values from the new studies were presented for comparative purposes.  In addition, the growth rate endpoints from the new studies are presented as this is the standard EU algal endpoint. </w:t>
      </w:r>
    </w:p>
    <w:p w:rsidR="00742D4A" w:rsidRPr="000C487F" w:rsidRDefault="00742D4A" w:rsidP="00F37C80">
      <w:pPr>
        <w:jc w:val="both"/>
        <w:rPr>
          <w:color w:val="000000"/>
          <w:sz w:val="20"/>
          <w:szCs w:val="20"/>
        </w:rPr>
      </w:pPr>
      <w:r w:rsidRPr="000C487F">
        <w:rPr>
          <w:color w:val="000000"/>
          <w:sz w:val="20"/>
          <w:szCs w:val="20"/>
          <w:vertAlign w:val="superscript"/>
        </w:rPr>
        <w:t>3</w:t>
      </w:r>
      <w:r w:rsidRPr="000C487F">
        <w:rPr>
          <w:color w:val="000000"/>
          <w:sz w:val="20"/>
          <w:szCs w:val="20"/>
        </w:rPr>
        <w:t xml:space="preserve"> New = results from </w:t>
      </w:r>
      <w:bookmarkStart w:id="119" w:name="OLE_LINK29"/>
      <w:r w:rsidRPr="000C487F">
        <w:rPr>
          <w:color w:val="000000"/>
          <w:sz w:val="20"/>
          <w:szCs w:val="20"/>
        </w:rPr>
        <w:t>GLP compliant tests conducted in 2009 under current OECD guidelines with analytical confirmation of exposure concentrations and measures to maximize exposure concentrations (flow-through for fish and daphnid tests; sealed vessels supplemented with sodium bicarbonate to provide carbon source for algal test)</w:t>
      </w:r>
      <w:bookmarkEnd w:id="119"/>
      <w:r w:rsidRPr="000C487F">
        <w:rPr>
          <w:color w:val="000000"/>
          <w:sz w:val="20"/>
          <w:szCs w:val="20"/>
        </w:rPr>
        <w:t xml:space="preserve">. </w:t>
      </w:r>
    </w:p>
    <w:p w:rsidR="00742D4A" w:rsidRPr="000C487F" w:rsidRDefault="00742D4A" w:rsidP="00F37C80">
      <w:pPr>
        <w:jc w:val="both"/>
        <w:rPr>
          <w:color w:val="000000"/>
          <w:sz w:val="20"/>
          <w:szCs w:val="20"/>
        </w:rPr>
      </w:pPr>
      <w:r w:rsidRPr="000C487F">
        <w:rPr>
          <w:color w:val="000000"/>
          <w:sz w:val="20"/>
          <w:szCs w:val="20"/>
          <w:vertAlign w:val="superscript"/>
        </w:rPr>
        <w:t>4</w:t>
      </w:r>
      <w:r w:rsidRPr="000C487F">
        <w:rPr>
          <w:color w:val="000000"/>
          <w:sz w:val="20"/>
          <w:szCs w:val="20"/>
        </w:rPr>
        <w:t xml:space="preserve"> ---- = no new study was conducted.</w:t>
      </w:r>
    </w:p>
    <w:p w:rsidR="00742D4A" w:rsidRPr="000C487F" w:rsidRDefault="00742D4A" w:rsidP="00F37C80">
      <w:pPr>
        <w:jc w:val="both"/>
        <w:rPr>
          <w:color w:val="000000"/>
          <w:sz w:val="20"/>
          <w:szCs w:val="20"/>
        </w:rPr>
      </w:pPr>
      <w:r w:rsidRPr="000C487F">
        <w:rPr>
          <w:color w:val="000000"/>
          <w:sz w:val="20"/>
          <w:szCs w:val="20"/>
          <w:vertAlign w:val="superscript"/>
        </w:rPr>
        <w:t>5</w:t>
      </w:r>
      <w:r w:rsidRPr="000C487F">
        <w:rPr>
          <w:color w:val="000000"/>
          <w:sz w:val="20"/>
          <w:szCs w:val="20"/>
        </w:rPr>
        <w:t xml:space="preserve"> ---- = a new study was not conducted but a second fish acute data point with the fathead minnow does exist for 2-nitropropane; this LC50 was determined to be &gt;613 mg/L, a lower toxicity than the zebra fish value generated by the </w:t>
      </w:r>
      <w:r w:rsidR="009836BA" w:rsidRPr="000C487F">
        <w:rPr>
          <w:color w:val="000000"/>
          <w:sz w:val="20"/>
          <w:szCs w:val="20"/>
        </w:rPr>
        <w:t>Freitag</w:t>
      </w:r>
      <w:r w:rsidRPr="000C487F">
        <w:rPr>
          <w:color w:val="000000"/>
          <w:sz w:val="20"/>
          <w:szCs w:val="20"/>
        </w:rPr>
        <w:t xml:space="preserve"> study.</w:t>
      </w:r>
    </w:p>
    <w:p w:rsidR="00742D4A" w:rsidRPr="00304821" w:rsidRDefault="00742D4A" w:rsidP="00F37C80">
      <w:pPr>
        <w:jc w:val="both"/>
        <w:rPr>
          <w:color w:val="000000"/>
        </w:rPr>
      </w:pPr>
    </w:p>
    <w:p w:rsidR="00742D4A" w:rsidRPr="00304821" w:rsidRDefault="009836BA" w:rsidP="00F37C80">
      <w:pPr>
        <w:jc w:val="both"/>
        <w:rPr>
          <w:color w:val="000000"/>
        </w:rPr>
      </w:pPr>
      <w:r w:rsidRPr="00304821">
        <w:rPr>
          <w:color w:val="000000"/>
        </w:rPr>
        <w:t xml:space="preserve">The results </w:t>
      </w:r>
      <w:r w:rsidR="005A5F33" w:rsidRPr="00304821">
        <w:rPr>
          <w:color w:val="000000"/>
        </w:rPr>
        <w:t xml:space="preserve">from the most recent tests were within 2- to 3-fold of the original endpoints with the exception of the algal results.  However, the Freitag report does not indicate which algal endpoint is presented (cell density, area under the curve, or growth rate).  From the report it is assumed that the cell density endpoint is presented.  Thus, the cell density endpoint from the most recent study was presented for comparison and this is within 3-fold of the Freitag value.  </w:t>
      </w:r>
      <w:r w:rsidR="00DC6D38" w:rsidRPr="00304821">
        <w:rPr>
          <w:color w:val="000000"/>
        </w:rPr>
        <w:t xml:space="preserve">Based on </w:t>
      </w:r>
      <w:r w:rsidRPr="00304821">
        <w:rPr>
          <w:color w:val="000000"/>
        </w:rPr>
        <w:t>the above comparisons, it can reasonably be concluded that the data from the Freitag report is representative of the toxicity of all the chemicals, including nitroethane and nitromethane and provides a reasonable data set by which to regulate these chemicals.</w:t>
      </w:r>
    </w:p>
    <w:p w:rsidR="00204A39" w:rsidRPr="00304821" w:rsidRDefault="00204A39" w:rsidP="00D93802">
      <w:pPr>
        <w:pStyle w:val="Heading8"/>
        <w:spacing w:before="240"/>
        <w:jc w:val="both"/>
        <w:rPr>
          <w:color w:val="000000"/>
        </w:rPr>
      </w:pPr>
      <w:r w:rsidRPr="00304821">
        <w:rPr>
          <w:color w:val="000000"/>
        </w:rPr>
        <w:t>Chronic Toxicity Test Results</w:t>
      </w:r>
    </w:p>
    <w:p w:rsidR="00204A39" w:rsidRPr="00304821" w:rsidRDefault="003746A5" w:rsidP="00F37C80">
      <w:pPr>
        <w:pStyle w:val="MSDS-TZeile"/>
        <w:ind w:left="0"/>
        <w:jc w:val="both"/>
        <w:rPr>
          <w:rFonts w:ascii="Times New Roman" w:hAnsi="Times New Roman" w:cs="Times New Roman"/>
          <w:color w:val="000000"/>
          <w:sz w:val="24"/>
          <w:lang w:val="en-US"/>
        </w:rPr>
      </w:pPr>
      <w:r w:rsidRPr="00304821">
        <w:rPr>
          <w:rFonts w:ascii="Times New Roman" w:hAnsi="Times New Roman" w:cs="Times New Roman"/>
          <w:color w:val="000000"/>
          <w:sz w:val="24"/>
          <w:lang w:val="en-US"/>
        </w:rPr>
        <w:t>No data available.</w:t>
      </w:r>
    </w:p>
    <w:p w:rsidR="00204A39" w:rsidRPr="00304821" w:rsidRDefault="00204A39" w:rsidP="00D93802">
      <w:pPr>
        <w:pStyle w:val="Heading8"/>
        <w:spacing w:before="240"/>
        <w:jc w:val="both"/>
        <w:rPr>
          <w:color w:val="000000"/>
        </w:rPr>
      </w:pPr>
      <w:r w:rsidRPr="00304821">
        <w:rPr>
          <w:color w:val="000000"/>
        </w:rPr>
        <w:t>Toxicity to Microorganisms</w:t>
      </w:r>
    </w:p>
    <w:p w:rsidR="00204A39" w:rsidRPr="00304821" w:rsidRDefault="00204A39" w:rsidP="00F37C80">
      <w:pPr>
        <w:pStyle w:val="BodyText"/>
        <w:rPr>
          <w:color w:val="000000"/>
        </w:rPr>
      </w:pPr>
      <w:r w:rsidRPr="00304821">
        <w:rPr>
          <w:color w:val="000000"/>
        </w:rPr>
        <w:t>No data available.</w:t>
      </w:r>
    </w:p>
    <w:p w:rsidR="00204A39" w:rsidRPr="00304821" w:rsidRDefault="00D8614C" w:rsidP="00D8614C">
      <w:pPr>
        <w:pStyle w:val="Heading2"/>
        <w:numPr>
          <w:ilvl w:val="0"/>
          <w:numId w:val="0"/>
        </w:numPr>
        <w:ind w:left="839" w:hanging="839"/>
        <w:rPr>
          <w:color w:val="000000"/>
        </w:rPr>
      </w:pPr>
      <w:bookmarkStart w:id="120" w:name="_Toc32726040"/>
      <w:bookmarkStart w:id="121" w:name="_Toc32727223"/>
      <w:bookmarkStart w:id="122" w:name="_Toc147824553"/>
      <w:r>
        <w:rPr>
          <w:color w:val="000000"/>
        </w:rPr>
        <w:t>4.2</w:t>
      </w:r>
      <w:r>
        <w:rPr>
          <w:color w:val="000000"/>
        </w:rPr>
        <w:tab/>
      </w:r>
      <w:r w:rsidR="00204A39" w:rsidRPr="00304821">
        <w:rPr>
          <w:color w:val="000000"/>
        </w:rPr>
        <w:t>Terrestrial Effects</w:t>
      </w:r>
      <w:bookmarkEnd w:id="120"/>
      <w:bookmarkEnd w:id="121"/>
      <w:bookmarkEnd w:id="122"/>
    </w:p>
    <w:p w:rsidR="00204A39" w:rsidRPr="00304821" w:rsidRDefault="00204A39" w:rsidP="00F37C80">
      <w:pPr>
        <w:pStyle w:val="BodyText"/>
        <w:rPr>
          <w:color w:val="000000"/>
        </w:rPr>
      </w:pPr>
      <w:r w:rsidRPr="00304821">
        <w:rPr>
          <w:color w:val="000000"/>
        </w:rPr>
        <w:t>No data available.</w:t>
      </w:r>
    </w:p>
    <w:p w:rsidR="00204A39" w:rsidRPr="00304821" w:rsidRDefault="00D8614C" w:rsidP="00D8614C">
      <w:pPr>
        <w:pStyle w:val="Heading2"/>
        <w:numPr>
          <w:ilvl w:val="0"/>
          <w:numId w:val="0"/>
        </w:numPr>
        <w:ind w:left="839" w:hanging="839"/>
        <w:rPr>
          <w:color w:val="000000"/>
        </w:rPr>
      </w:pPr>
      <w:bookmarkStart w:id="123" w:name="_Toc32726041"/>
      <w:bookmarkStart w:id="124" w:name="_Toc32727224"/>
      <w:bookmarkStart w:id="125" w:name="_Toc147824554"/>
      <w:r>
        <w:rPr>
          <w:color w:val="000000"/>
        </w:rPr>
        <w:t>4.3</w:t>
      </w:r>
      <w:r>
        <w:rPr>
          <w:color w:val="000000"/>
        </w:rPr>
        <w:tab/>
      </w:r>
      <w:r w:rsidR="00204A39" w:rsidRPr="00304821">
        <w:rPr>
          <w:color w:val="000000"/>
        </w:rPr>
        <w:t>Other Environmental Effects</w:t>
      </w:r>
      <w:bookmarkEnd w:id="123"/>
      <w:bookmarkEnd w:id="124"/>
      <w:bookmarkEnd w:id="125"/>
    </w:p>
    <w:p w:rsidR="00204A39" w:rsidRPr="00304821" w:rsidRDefault="00204A39" w:rsidP="00F37C80">
      <w:pPr>
        <w:pStyle w:val="BodyText"/>
        <w:rPr>
          <w:color w:val="000000"/>
        </w:rPr>
      </w:pPr>
      <w:r w:rsidRPr="00304821">
        <w:rPr>
          <w:color w:val="000000"/>
        </w:rPr>
        <w:t>No data available.</w:t>
      </w:r>
    </w:p>
    <w:p w:rsidR="00204A39" w:rsidRPr="00304821" w:rsidRDefault="00204A39" w:rsidP="00F37C80">
      <w:pPr>
        <w:pStyle w:val="Heading1"/>
        <w:jc w:val="both"/>
        <w:rPr>
          <w:color w:val="000000"/>
        </w:rPr>
        <w:sectPr w:rsidR="00204A39" w:rsidRPr="00304821" w:rsidSect="00DF2879">
          <w:pgSz w:w="11907" w:h="16840" w:code="9"/>
          <w:pgMar w:top="1418" w:right="1134" w:bottom="1134" w:left="1134" w:header="737" w:footer="737" w:gutter="0"/>
          <w:cols w:space="720"/>
          <w:docGrid w:linePitch="360"/>
        </w:sectPr>
      </w:pPr>
      <w:bookmarkStart w:id="126" w:name="_Toc32726044"/>
      <w:bookmarkStart w:id="127" w:name="_Toc32727227"/>
    </w:p>
    <w:p w:rsidR="00204A39" w:rsidRPr="00304821" w:rsidRDefault="00D8614C" w:rsidP="00D8614C">
      <w:pPr>
        <w:pStyle w:val="Heading1"/>
        <w:numPr>
          <w:ilvl w:val="0"/>
          <w:numId w:val="0"/>
        </w:numPr>
        <w:spacing w:before="0"/>
        <w:jc w:val="both"/>
        <w:rPr>
          <w:color w:val="000000"/>
        </w:rPr>
      </w:pPr>
      <w:bookmarkStart w:id="128" w:name="_Toc147824556"/>
      <w:r>
        <w:rPr>
          <w:color w:val="000000"/>
        </w:rPr>
        <w:t>5</w:t>
      </w:r>
      <w:r>
        <w:rPr>
          <w:color w:val="000000"/>
        </w:rPr>
        <w:tab/>
      </w:r>
      <w:r w:rsidR="00204A39" w:rsidRPr="00304821">
        <w:rPr>
          <w:color w:val="000000"/>
        </w:rPr>
        <w:t>references</w:t>
      </w:r>
      <w:bookmarkEnd w:id="126"/>
      <w:bookmarkEnd w:id="127"/>
      <w:bookmarkEnd w:id="128"/>
    </w:p>
    <w:p w:rsidR="00CD0326" w:rsidRDefault="00B320DF" w:rsidP="001F5DDA">
      <w:pPr>
        <w:pStyle w:val="MSDS-TUZeile"/>
        <w:jc w:val="both"/>
        <w:rPr>
          <w:rFonts w:ascii="Times New Roman" w:hAnsi="Times New Roman" w:cs="Times New Roman"/>
          <w:sz w:val="24"/>
        </w:rPr>
      </w:pPr>
      <w:r w:rsidRPr="00F37C80">
        <w:rPr>
          <w:rFonts w:ascii="Times New Roman" w:hAnsi="Times New Roman" w:cs="Times New Roman"/>
          <w:sz w:val="24"/>
        </w:rPr>
        <w:t>AEIPS Prediction (Artificial Intelligence Expert Predictive System. 2003-2007. Version 2.05. Ottawa (ON): Environment Canada, Existing Substances Division, New Substances Division. Model developed by Stephen Niculescu. Available from: Environment Canada, Existing Substances Division, New Substances Division, Ottawa, K1A 0H3)</w:t>
      </w:r>
    </w:p>
    <w:p w:rsidR="001F5DDA" w:rsidRPr="00F37C80" w:rsidRDefault="001F5DDA" w:rsidP="001F5DDA">
      <w:pPr>
        <w:pStyle w:val="MSDS-TUZeile"/>
        <w:jc w:val="both"/>
        <w:rPr>
          <w:rFonts w:ascii="Times New Roman" w:hAnsi="Times New Roman" w:cs="Times New Roman"/>
          <w:sz w:val="24"/>
        </w:rPr>
      </w:pPr>
    </w:p>
    <w:p w:rsidR="00AC0B97" w:rsidRPr="00304821" w:rsidRDefault="00AC0B97" w:rsidP="00F37C80">
      <w:pPr>
        <w:pStyle w:val="MSDS-TZeile"/>
        <w:ind w:left="0"/>
        <w:jc w:val="both"/>
        <w:rPr>
          <w:rFonts w:ascii="Times New Roman" w:hAnsi="Times New Roman" w:cs="Times New Roman"/>
          <w:color w:val="000000"/>
          <w:sz w:val="24"/>
          <w:lang w:val="en-US"/>
        </w:rPr>
      </w:pPr>
      <w:proofErr w:type="gramStart"/>
      <w:r w:rsidRPr="00304821">
        <w:rPr>
          <w:rFonts w:ascii="Times New Roman" w:hAnsi="Times New Roman" w:cs="Times New Roman"/>
          <w:snapToGrid w:val="0"/>
          <w:color w:val="000000"/>
          <w:sz w:val="24"/>
          <w:lang w:val="en-US"/>
        </w:rPr>
        <w:t>Altech Laboratories, Inc. 1974.</w:t>
      </w:r>
      <w:proofErr w:type="gramEnd"/>
      <w:r w:rsidRPr="00304821">
        <w:rPr>
          <w:rFonts w:ascii="Times New Roman" w:hAnsi="Times New Roman" w:cs="Times New Roman"/>
          <w:snapToGrid w:val="0"/>
          <w:color w:val="000000"/>
          <w:sz w:val="24"/>
          <w:lang w:val="en-US"/>
        </w:rPr>
        <w:t xml:space="preserve"> </w:t>
      </w:r>
      <w:proofErr w:type="gramStart"/>
      <w:r w:rsidRPr="00304821">
        <w:rPr>
          <w:rFonts w:ascii="Times New Roman" w:hAnsi="Times New Roman" w:cs="Times New Roman"/>
          <w:snapToGrid w:val="0"/>
          <w:color w:val="000000"/>
          <w:sz w:val="24"/>
          <w:lang w:val="en-US"/>
        </w:rPr>
        <w:t>Testing of materials for eye irritation in rabbits.</w:t>
      </w:r>
      <w:proofErr w:type="gramEnd"/>
      <w:r w:rsidRPr="00304821">
        <w:rPr>
          <w:rFonts w:ascii="Times New Roman" w:hAnsi="Times New Roman" w:cs="Times New Roman"/>
          <w:snapToGrid w:val="0"/>
          <w:color w:val="000000"/>
          <w:sz w:val="24"/>
          <w:lang w:val="en-US"/>
        </w:rPr>
        <w:t xml:space="preserve"> Report No. AL-1-112, dated June 12, 1974 (unpublished study).</w:t>
      </w:r>
    </w:p>
    <w:p w:rsidR="00AC0B97" w:rsidRDefault="00AC0B97" w:rsidP="00F37C80">
      <w:pPr>
        <w:pStyle w:val="MSDS-TZeile"/>
        <w:ind w:left="0"/>
        <w:jc w:val="both"/>
        <w:rPr>
          <w:rFonts w:ascii="Times New Roman" w:hAnsi="Times New Roman" w:cs="Times New Roman"/>
          <w:snapToGrid w:val="0"/>
          <w:color w:val="000000"/>
          <w:sz w:val="24"/>
          <w:lang w:val="en-US"/>
        </w:rPr>
      </w:pPr>
    </w:p>
    <w:p w:rsidR="006333FB" w:rsidRPr="00DD7585" w:rsidRDefault="006333FB" w:rsidP="00F37C80">
      <w:pPr>
        <w:pStyle w:val="MSDS-TZeile"/>
        <w:ind w:left="0"/>
        <w:jc w:val="both"/>
        <w:rPr>
          <w:rFonts w:ascii="Times New Roman" w:hAnsi="Times New Roman" w:cs="Times New Roman"/>
          <w:snapToGrid w:val="0"/>
          <w:sz w:val="24"/>
          <w:lang w:val="en-US"/>
        </w:rPr>
      </w:pPr>
      <w:proofErr w:type="gramStart"/>
      <w:r w:rsidRPr="00304821">
        <w:rPr>
          <w:rStyle w:val="HTMLCode"/>
          <w:rFonts w:ascii="Times New Roman" w:hAnsi="Times New Roman"/>
          <w:color w:val="000000"/>
          <w:sz w:val="24"/>
          <w:lang w:val="en-US"/>
        </w:rPr>
        <w:t>American C</w:t>
      </w:r>
      <w:r w:rsidRPr="00DD7585">
        <w:rPr>
          <w:rStyle w:val="HTMLCode"/>
          <w:rFonts w:ascii="Times New Roman" w:hAnsi="Times New Roman"/>
          <w:sz w:val="24"/>
          <w:lang w:val="en-US"/>
        </w:rPr>
        <w:t>onference of Governmental Industrial Hygienists (ACGIH).</w:t>
      </w:r>
      <w:proofErr w:type="gramEnd"/>
      <w:r w:rsidRPr="00DD7585">
        <w:rPr>
          <w:rStyle w:val="HTMLCode"/>
          <w:rFonts w:ascii="Times New Roman" w:hAnsi="Times New Roman"/>
          <w:sz w:val="24"/>
          <w:lang w:val="en-US"/>
        </w:rPr>
        <w:t xml:space="preserve"> 1986. Documentation of the Threshold Limit Values and Biological Exposure Indices. </w:t>
      </w:r>
      <w:proofErr w:type="gramStart"/>
      <w:r w:rsidRPr="00DD7585">
        <w:rPr>
          <w:rStyle w:val="HTMLCode"/>
          <w:rFonts w:ascii="Times New Roman" w:hAnsi="Times New Roman"/>
          <w:sz w:val="24"/>
          <w:lang w:val="en-US"/>
        </w:rPr>
        <w:t>5th ed. Cincinnati, OH, American Conference of Governmental Industrial Hygienists, p.434.</w:t>
      </w:r>
      <w:proofErr w:type="gramEnd"/>
    </w:p>
    <w:p w:rsidR="006333FB" w:rsidRPr="00DD7585" w:rsidRDefault="006333FB" w:rsidP="00F37C80">
      <w:pPr>
        <w:pStyle w:val="MSDS-TZeile"/>
        <w:ind w:left="0"/>
        <w:jc w:val="both"/>
        <w:rPr>
          <w:rFonts w:ascii="Times New Roman" w:hAnsi="Times New Roman" w:cs="Times New Roman"/>
          <w:snapToGrid w:val="0"/>
          <w:sz w:val="24"/>
          <w:lang w:val="en-US"/>
        </w:rPr>
      </w:pPr>
    </w:p>
    <w:p w:rsidR="006333FB" w:rsidRPr="00DD7585" w:rsidRDefault="006333FB" w:rsidP="00F37C80">
      <w:pPr>
        <w:pStyle w:val="MSDS-TZeile"/>
        <w:ind w:left="0"/>
        <w:jc w:val="both"/>
        <w:rPr>
          <w:rFonts w:ascii="Times New Roman" w:hAnsi="Times New Roman" w:cs="Times New Roman"/>
          <w:sz w:val="24"/>
          <w:lang w:val="en-US"/>
        </w:rPr>
      </w:pPr>
      <w:r w:rsidRPr="00DD7585">
        <w:rPr>
          <w:rFonts w:ascii="Times New Roman" w:hAnsi="Times New Roman" w:cs="Times New Roman"/>
          <w:snapToGrid w:val="0"/>
          <w:sz w:val="24"/>
          <w:lang w:val="en-US"/>
        </w:rPr>
        <w:t>Bailey RE. 1978. Evaluation of nitroethane in the aquatic environment. Unpublished Dow Chemical USA Environmental Sciences Research Report ES-239, dated June 5, 1978.</w:t>
      </w:r>
    </w:p>
    <w:p w:rsidR="00CE20DB" w:rsidRPr="00F37C80" w:rsidRDefault="00CE20DB" w:rsidP="00F37C80">
      <w:pPr>
        <w:pStyle w:val="MSDS-TUZeile"/>
        <w:ind w:left="0"/>
        <w:jc w:val="both"/>
        <w:rPr>
          <w:szCs w:val="20"/>
          <w:lang w:val="en-US"/>
        </w:rPr>
      </w:pPr>
    </w:p>
    <w:p w:rsidR="00AC0B97" w:rsidRPr="00DD7585" w:rsidRDefault="00AC0B97" w:rsidP="00F37C80">
      <w:pPr>
        <w:pStyle w:val="MSDS-TZeile"/>
        <w:ind w:left="0"/>
        <w:jc w:val="both"/>
        <w:rPr>
          <w:rFonts w:ascii="Times New Roman" w:hAnsi="Times New Roman" w:cs="Times New Roman"/>
          <w:snapToGrid w:val="0"/>
          <w:sz w:val="24"/>
          <w:lang w:val="en-US"/>
        </w:rPr>
      </w:pPr>
      <w:proofErr w:type="gramStart"/>
      <w:r w:rsidRPr="00DD7585">
        <w:rPr>
          <w:rFonts w:ascii="Times New Roman" w:hAnsi="Times New Roman" w:cs="Times New Roman"/>
          <w:snapToGrid w:val="0"/>
          <w:sz w:val="24"/>
          <w:lang w:val="en-US"/>
        </w:rPr>
        <w:t>Baldwin RS.</w:t>
      </w:r>
      <w:proofErr w:type="gramEnd"/>
      <w:r w:rsidRPr="00DD7585">
        <w:rPr>
          <w:rFonts w:ascii="Times New Roman" w:hAnsi="Times New Roman" w:cs="Times New Roman"/>
          <w:snapToGrid w:val="0"/>
          <w:sz w:val="24"/>
          <w:lang w:val="en-US"/>
        </w:rPr>
        <w:t xml:space="preserve"> 1956. Nitroparaffin toxicity studies.  CSC report number RDM-6757, dated May 1, 1956 (unpublished study).</w:t>
      </w:r>
    </w:p>
    <w:p w:rsidR="00AA22B0" w:rsidRPr="002D1503" w:rsidRDefault="00AA22B0" w:rsidP="00F37C80">
      <w:pPr>
        <w:jc w:val="both"/>
      </w:pPr>
    </w:p>
    <w:p w:rsidR="004D42BE" w:rsidRPr="00F37C80" w:rsidRDefault="00B320DF" w:rsidP="00F37C80">
      <w:pPr>
        <w:pStyle w:val="MSDS-TZeile"/>
        <w:jc w:val="both"/>
        <w:rPr>
          <w:rFonts w:ascii="Times New Roman" w:hAnsi="Times New Roman" w:cs="Times New Roman"/>
          <w:color w:val="000000"/>
          <w:sz w:val="24"/>
        </w:rPr>
      </w:pPr>
      <w:r w:rsidRPr="00F37C80">
        <w:rPr>
          <w:rFonts w:ascii="Times New Roman" w:hAnsi="Times New Roman" w:cs="Times New Roman"/>
          <w:snapToGrid w:val="0"/>
          <w:color w:val="000000"/>
          <w:sz w:val="24"/>
        </w:rPr>
        <w:t xml:space="preserve">Barnes, L.E. (1974) Testing of Materials for Eye Irritation in Rabbits.  Report T2.02.000.000.108 of The Dow Chemical Company, Midland, MI. </w:t>
      </w:r>
    </w:p>
    <w:p w:rsidR="004D42BE" w:rsidRDefault="004D42BE" w:rsidP="00F37C80">
      <w:pPr>
        <w:pStyle w:val="MSDS-TZeile"/>
        <w:ind w:left="0"/>
        <w:jc w:val="both"/>
        <w:rPr>
          <w:rFonts w:ascii="Times New Roman" w:hAnsi="Times New Roman" w:cs="Times New Roman"/>
          <w:snapToGrid w:val="0"/>
          <w:sz w:val="24"/>
          <w:lang w:val="da-DK"/>
        </w:rPr>
      </w:pPr>
    </w:p>
    <w:p w:rsidR="006333FB" w:rsidRPr="00DD7585" w:rsidRDefault="006333FB" w:rsidP="00F37C80">
      <w:pPr>
        <w:pStyle w:val="MSDS-TZeile"/>
        <w:ind w:left="0"/>
        <w:jc w:val="both"/>
        <w:rPr>
          <w:rFonts w:ascii="Times New Roman" w:hAnsi="Times New Roman" w:cs="Times New Roman"/>
          <w:sz w:val="24"/>
          <w:lang w:val="en-US"/>
        </w:rPr>
      </w:pPr>
      <w:r w:rsidRPr="00E430D0">
        <w:rPr>
          <w:rFonts w:ascii="Times New Roman" w:hAnsi="Times New Roman" w:cs="Times New Roman"/>
          <w:snapToGrid w:val="0"/>
          <w:sz w:val="24"/>
          <w:lang w:val="da-DK"/>
        </w:rPr>
        <w:t xml:space="preserve">Beliles RP, Makris SL, Ferguson F, et al. 1978. </w:t>
      </w:r>
      <w:r w:rsidRPr="00DD7585">
        <w:rPr>
          <w:rFonts w:ascii="Times New Roman" w:hAnsi="Times New Roman" w:cs="Times New Roman"/>
          <w:snapToGrid w:val="0"/>
          <w:sz w:val="24"/>
          <w:lang w:val="en-US"/>
        </w:rPr>
        <w:t>Teratology study in mice subjected to inhalation of diethylhydroxylamine, nitroethane and diethylamine hydrogen sulfite. Environ Res 17:165-176.</w:t>
      </w:r>
    </w:p>
    <w:p w:rsidR="006333FB" w:rsidRPr="00DD7585" w:rsidRDefault="006333FB" w:rsidP="00F37C80">
      <w:pPr>
        <w:widowControl w:val="0"/>
        <w:spacing w:line="304" w:lineRule="atLeast"/>
        <w:jc w:val="both"/>
      </w:pPr>
    </w:p>
    <w:p w:rsidR="008A1E52" w:rsidRPr="00DD7585" w:rsidRDefault="008A1E52" w:rsidP="00F37C80">
      <w:pPr>
        <w:pStyle w:val="MSDS-TZeile"/>
        <w:ind w:left="0"/>
        <w:jc w:val="both"/>
        <w:rPr>
          <w:rFonts w:ascii="Times New Roman" w:hAnsi="Times New Roman" w:cs="Times New Roman"/>
          <w:snapToGrid w:val="0"/>
          <w:sz w:val="24"/>
          <w:lang w:val="en-US"/>
        </w:rPr>
      </w:pPr>
      <w:proofErr w:type="gramStart"/>
      <w:r w:rsidRPr="00DD7585">
        <w:rPr>
          <w:rFonts w:ascii="Times New Roman" w:hAnsi="Times New Roman" w:cs="Times New Roman"/>
          <w:snapToGrid w:val="0"/>
          <w:sz w:val="24"/>
          <w:lang w:val="en-US"/>
        </w:rPr>
        <w:t>Brusick DJ and Weir</w:t>
      </w:r>
      <w:r>
        <w:rPr>
          <w:rFonts w:ascii="Times New Roman" w:hAnsi="Times New Roman" w:cs="Times New Roman"/>
          <w:snapToGrid w:val="0"/>
          <w:sz w:val="24"/>
          <w:lang w:val="en-US"/>
        </w:rPr>
        <w:t xml:space="preserve"> R</w:t>
      </w:r>
      <w:r w:rsidRPr="00DD7585">
        <w:rPr>
          <w:rFonts w:ascii="Times New Roman" w:hAnsi="Times New Roman" w:cs="Times New Roman"/>
          <w:snapToGrid w:val="0"/>
          <w:sz w:val="24"/>
          <w:lang w:val="en-US"/>
        </w:rPr>
        <w:t>J</w:t>
      </w:r>
      <w:r>
        <w:rPr>
          <w:rFonts w:ascii="Times New Roman" w:hAnsi="Times New Roman" w:cs="Times New Roman"/>
          <w:snapToGrid w:val="0"/>
          <w:sz w:val="24"/>
          <w:lang w:val="en-US"/>
        </w:rPr>
        <w:t>.</w:t>
      </w:r>
      <w:proofErr w:type="gramEnd"/>
      <w:r w:rsidRPr="00DD7585">
        <w:rPr>
          <w:rFonts w:ascii="Times New Roman" w:hAnsi="Times New Roman" w:cs="Times New Roman"/>
          <w:snapToGrid w:val="0"/>
          <w:sz w:val="24"/>
          <w:lang w:val="en-US"/>
        </w:rPr>
        <w:t xml:space="preserve"> 1977</w:t>
      </w:r>
      <w:r>
        <w:rPr>
          <w:rFonts w:ascii="Times New Roman" w:hAnsi="Times New Roman" w:cs="Times New Roman"/>
          <w:snapToGrid w:val="0"/>
          <w:sz w:val="24"/>
          <w:lang w:val="en-US"/>
        </w:rPr>
        <w:t>.</w:t>
      </w:r>
      <w:r w:rsidRPr="00DD7585">
        <w:rPr>
          <w:rFonts w:ascii="Times New Roman" w:hAnsi="Times New Roman" w:cs="Times New Roman"/>
          <w:snapToGrid w:val="0"/>
          <w:sz w:val="24"/>
          <w:lang w:val="en-US"/>
        </w:rPr>
        <w:t xml:space="preserve"> Mutagenicity Evaluation of MCTR-184-77, Final Report 1-Nitropropane, Lot 146.  Report 2683 of Litton Bionetics, INC, Kensington, MD for </w:t>
      </w:r>
      <w:proofErr w:type="gramStart"/>
      <w:r w:rsidRPr="00DD7585">
        <w:rPr>
          <w:rFonts w:ascii="Times New Roman" w:hAnsi="Times New Roman" w:cs="Times New Roman"/>
          <w:snapToGrid w:val="0"/>
          <w:sz w:val="24"/>
          <w:lang w:val="en-US"/>
        </w:rPr>
        <w:t>The</w:t>
      </w:r>
      <w:proofErr w:type="gramEnd"/>
      <w:r w:rsidRPr="00DD7585">
        <w:rPr>
          <w:rFonts w:ascii="Times New Roman" w:hAnsi="Times New Roman" w:cs="Times New Roman"/>
          <w:snapToGrid w:val="0"/>
          <w:sz w:val="24"/>
          <w:lang w:val="en-US"/>
        </w:rPr>
        <w:t xml:space="preserve"> Dow Chemical Company, Midland, MI. </w:t>
      </w:r>
    </w:p>
    <w:p w:rsidR="008A1E52" w:rsidRPr="00DD7585" w:rsidRDefault="008A1E52" w:rsidP="00F37C80">
      <w:pPr>
        <w:pStyle w:val="MSDS-TZeile"/>
        <w:ind w:left="0"/>
        <w:jc w:val="both"/>
        <w:rPr>
          <w:rFonts w:ascii="Times New Roman" w:hAnsi="Times New Roman" w:cs="Times New Roman"/>
          <w:snapToGrid w:val="0"/>
          <w:sz w:val="24"/>
          <w:lang w:val="en-US"/>
        </w:rPr>
      </w:pPr>
    </w:p>
    <w:p w:rsidR="008A1E52" w:rsidRPr="00DD7585" w:rsidRDefault="008A1E52" w:rsidP="00F37C80">
      <w:pPr>
        <w:pStyle w:val="MSDS-TZeile"/>
        <w:ind w:left="0"/>
        <w:jc w:val="both"/>
        <w:rPr>
          <w:rFonts w:ascii="Times New Roman" w:hAnsi="Times New Roman" w:cs="Times New Roman"/>
          <w:snapToGrid w:val="0"/>
          <w:sz w:val="24"/>
          <w:lang w:val="en-US"/>
        </w:rPr>
      </w:pPr>
      <w:r w:rsidRPr="00DD7585">
        <w:rPr>
          <w:rFonts w:ascii="Times New Roman" w:hAnsi="Times New Roman" w:cs="Times New Roman"/>
          <w:snapToGrid w:val="0"/>
          <w:sz w:val="24"/>
          <w:lang w:val="en-US"/>
        </w:rPr>
        <w:t>Budavari, S. (</w:t>
      </w:r>
      <w:proofErr w:type="gramStart"/>
      <w:r w:rsidRPr="00DD7585">
        <w:rPr>
          <w:rFonts w:ascii="Times New Roman" w:hAnsi="Times New Roman" w:cs="Times New Roman"/>
          <w:snapToGrid w:val="0"/>
          <w:sz w:val="24"/>
          <w:lang w:val="en-US"/>
        </w:rPr>
        <w:t>ed</w:t>
      </w:r>
      <w:proofErr w:type="gramEnd"/>
      <w:r w:rsidRPr="00DD7585">
        <w:rPr>
          <w:rFonts w:ascii="Times New Roman" w:hAnsi="Times New Roman" w:cs="Times New Roman"/>
          <w:snapToGrid w:val="0"/>
          <w:sz w:val="24"/>
          <w:lang w:val="en-US"/>
        </w:rPr>
        <w:t>.). 1996. The Merck Index - An Encyclopedia of Chemicals, Drugs, and Biologicals. Whitehouse Station, NJ: Merck and Co., Inc., p. 1134.</w:t>
      </w:r>
    </w:p>
    <w:p w:rsidR="008A1E52" w:rsidRDefault="008A1E52" w:rsidP="00F37C80">
      <w:pPr>
        <w:jc w:val="both"/>
      </w:pPr>
    </w:p>
    <w:p w:rsidR="008A1E52" w:rsidRPr="00DD7585" w:rsidRDefault="008A1E52" w:rsidP="00F37C80">
      <w:pPr>
        <w:jc w:val="both"/>
      </w:pPr>
      <w:proofErr w:type="gramStart"/>
      <w:r w:rsidRPr="00DD7585">
        <w:t>Bureau of National Affairs, Inc. 1995.</w:t>
      </w:r>
      <w:proofErr w:type="gramEnd"/>
      <w:r w:rsidRPr="00DD7585">
        <w:t xml:space="preserve"> Chemical Regulation Reporter, Volume 19, Number 36, dated Dec. 8, 1995.</w:t>
      </w:r>
    </w:p>
    <w:p w:rsidR="008A1E52" w:rsidRDefault="008A1E52" w:rsidP="00F37C80">
      <w:pPr>
        <w:pStyle w:val="MSDS-TZeile"/>
        <w:ind w:left="0"/>
        <w:jc w:val="both"/>
        <w:rPr>
          <w:rFonts w:ascii="Times New Roman" w:hAnsi="Times New Roman" w:cs="Times New Roman"/>
          <w:snapToGrid w:val="0"/>
          <w:sz w:val="24"/>
          <w:lang w:val="en-US"/>
        </w:rPr>
      </w:pPr>
    </w:p>
    <w:p w:rsidR="008A1E52" w:rsidRPr="00DD7585" w:rsidRDefault="008A1E52" w:rsidP="00F37C80">
      <w:pPr>
        <w:pStyle w:val="MSDS-TZeile"/>
        <w:ind w:left="0"/>
        <w:jc w:val="both"/>
        <w:rPr>
          <w:rFonts w:ascii="Times New Roman" w:hAnsi="Times New Roman" w:cs="Times New Roman"/>
          <w:sz w:val="24"/>
          <w:lang w:val="en-US"/>
        </w:rPr>
      </w:pPr>
      <w:proofErr w:type="gramStart"/>
      <w:r w:rsidRPr="00DD7585">
        <w:rPr>
          <w:rFonts w:ascii="Times New Roman" w:hAnsi="Times New Roman" w:cs="Times New Roman"/>
          <w:snapToGrid w:val="0"/>
          <w:sz w:val="24"/>
          <w:lang w:val="en-US"/>
        </w:rPr>
        <w:t>Carney EW, Zablotny CL, Andrus AK, Krieger SM, and Stebbins KE.</w:t>
      </w:r>
      <w:proofErr w:type="gramEnd"/>
      <w:r w:rsidRPr="00DD7585">
        <w:rPr>
          <w:rFonts w:ascii="Times New Roman" w:hAnsi="Times New Roman" w:cs="Times New Roman"/>
          <w:snapToGrid w:val="0"/>
          <w:sz w:val="24"/>
          <w:lang w:val="en-US"/>
        </w:rPr>
        <w:t xml:space="preserve"> 2003. 1-Nitropropane: A combined repeated inhalation exposure study with the reproduction/developmental toxicity screening test in CD rats. </w:t>
      </w:r>
      <w:proofErr w:type="gramStart"/>
      <w:r w:rsidRPr="00DD7585">
        <w:rPr>
          <w:rFonts w:ascii="Times New Roman" w:hAnsi="Times New Roman" w:cs="Times New Roman"/>
          <w:snapToGrid w:val="0"/>
          <w:sz w:val="24"/>
          <w:lang w:val="en-US"/>
        </w:rPr>
        <w:t>Dow Chemical Company, Toxicology &amp; Environmental Research and Consulting Study ID 021127 (unpublished draft report).</w:t>
      </w:r>
      <w:proofErr w:type="gramEnd"/>
    </w:p>
    <w:p w:rsidR="008A1E52" w:rsidRPr="00DD7585" w:rsidRDefault="008A1E52" w:rsidP="00F37C80">
      <w:pPr>
        <w:jc w:val="both"/>
      </w:pPr>
    </w:p>
    <w:p w:rsidR="008A1E52" w:rsidRPr="00DD7585" w:rsidRDefault="008A1E52" w:rsidP="00F37C80">
      <w:pPr>
        <w:pStyle w:val="MSDS-TZeile"/>
        <w:ind w:left="0"/>
        <w:jc w:val="both"/>
        <w:rPr>
          <w:rFonts w:ascii="Times New Roman" w:hAnsi="Times New Roman" w:cs="Times New Roman"/>
          <w:sz w:val="24"/>
          <w:lang w:val="en-US"/>
        </w:rPr>
      </w:pPr>
      <w:proofErr w:type="gramStart"/>
      <w:r w:rsidRPr="00DD7585">
        <w:rPr>
          <w:rFonts w:ascii="Times New Roman" w:hAnsi="Times New Roman" w:cs="Times New Roman"/>
          <w:snapToGrid w:val="0"/>
          <w:sz w:val="24"/>
          <w:lang w:val="en-US"/>
        </w:rPr>
        <w:t>Coles LJ and Brooks PN.</w:t>
      </w:r>
      <w:proofErr w:type="gramEnd"/>
      <w:r w:rsidRPr="00DD7585">
        <w:rPr>
          <w:rFonts w:ascii="Times New Roman" w:hAnsi="Times New Roman" w:cs="Times New Roman"/>
          <w:snapToGrid w:val="0"/>
          <w:sz w:val="24"/>
          <w:lang w:val="en-US"/>
        </w:rPr>
        <w:t xml:space="preserve"> 1994. 1-Nitropropane: Twenty-eight day sub-acute oral (gavage) toxicity study in the rat. Safepharm Laboratories Limited Project Number 630/1, dated December 8, 1994.</w:t>
      </w:r>
    </w:p>
    <w:p w:rsidR="00AC0B97" w:rsidRPr="00DD7585" w:rsidRDefault="00AC0B97" w:rsidP="00F37C80">
      <w:pPr>
        <w:jc w:val="both"/>
        <w:rPr>
          <w:snapToGrid w:val="0"/>
        </w:rPr>
      </w:pPr>
    </w:p>
    <w:p w:rsidR="006333FB" w:rsidRPr="00DD7585" w:rsidRDefault="006333FB" w:rsidP="00F37C80">
      <w:pPr>
        <w:pStyle w:val="BodyText"/>
        <w:rPr>
          <w:bCs/>
        </w:rPr>
      </w:pPr>
      <w:proofErr w:type="gramStart"/>
      <w:r w:rsidRPr="00DD7585">
        <w:rPr>
          <w:bCs/>
          <w:snapToGrid w:val="0"/>
        </w:rPr>
        <w:t>Coulston F and Korte SW. 1987.</w:t>
      </w:r>
      <w:proofErr w:type="gramEnd"/>
      <w:r w:rsidRPr="00DD7585">
        <w:rPr>
          <w:bCs/>
          <w:snapToGrid w:val="0"/>
        </w:rPr>
        <w:t xml:space="preserve">  Ecotoxicological profile analysis of nitroparaffins according to OECD guidelines with 14C-labeled compounds. Coulston International Corporation, Report Number 8, Annual Report 1986, dated March 5 1987 (unpublished).</w:t>
      </w:r>
    </w:p>
    <w:p w:rsidR="00AC0B97" w:rsidRPr="00F37C80" w:rsidRDefault="00AC0B97" w:rsidP="00F37C80">
      <w:pPr>
        <w:jc w:val="both"/>
        <w:rPr>
          <w:lang w:val="en-GB"/>
        </w:rPr>
      </w:pPr>
      <w:r w:rsidRPr="00DD7585">
        <w:rPr>
          <w:snapToGrid w:val="0"/>
        </w:rPr>
        <w:t xml:space="preserve">Curtis MW and Ward CH. 1981. Aquatic toxicity of forty industrial chemicals:  testing in support of hazardous substance spill prevention regulation. </w:t>
      </w:r>
      <w:proofErr w:type="gramStart"/>
      <w:r w:rsidRPr="00F37C80">
        <w:rPr>
          <w:snapToGrid w:val="0"/>
          <w:lang w:val="en-GB"/>
        </w:rPr>
        <w:t>J Hydrol 51: 359 -367.</w:t>
      </w:r>
      <w:proofErr w:type="gramEnd"/>
    </w:p>
    <w:p w:rsidR="00AC0B97" w:rsidRPr="00F37C80" w:rsidRDefault="00AC0B97" w:rsidP="00F37C80">
      <w:pPr>
        <w:jc w:val="both"/>
        <w:rPr>
          <w:lang w:val="en-GB"/>
        </w:rPr>
      </w:pPr>
    </w:p>
    <w:p w:rsidR="006333FB" w:rsidRPr="00F37C80" w:rsidRDefault="006333FB" w:rsidP="00F37C80">
      <w:pPr>
        <w:pStyle w:val="MSDS-TZeile"/>
        <w:ind w:left="0"/>
        <w:jc w:val="both"/>
        <w:rPr>
          <w:rFonts w:ascii="Times New Roman" w:hAnsi="Times New Roman" w:cs="Times New Roman"/>
          <w:sz w:val="24"/>
          <w:lang w:val="fr-FR"/>
        </w:rPr>
      </w:pPr>
      <w:proofErr w:type="gramStart"/>
      <w:r w:rsidRPr="00630D1F">
        <w:rPr>
          <w:rFonts w:ascii="Times New Roman" w:hAnsi="Times New Roman" w:cs="Times New Roman"/>
          <w:snapToGrid w:val="0"/>
          <w:sz w:val="24"/>
          <w:lang w:val="en-US"/>
        </w:rPr>
        <w:t>Daubert TE and Danner RP.</w:t>
      </w:r>
      <w:proofErr w:type="gramEnd"/>
      <w:r w:rsidRPr="00630D1F">
        <w:rPr>
          <w:rFonts w:ascii="Times New Roman" w:hAnsi="Times New Roman" w:cs="Times New Roman"/>
          <w:snapToGrid w:val="0"/>
          <w:sz w:val="24"/>
          <w:lang w:val="en-US"/>
        </w:rPr>
        <w:t xml:space="preserve"> 1989. Physical and Thermodynamic Properties of Pure Chemicals Data Compilation. </w:t>
      </w:r>
      <w:r w:rsidRPr="00F37C80">
        <w:rPr>
          <w:rFonts w:ascii="Times New Roman" w:hAnsi="Times New Roman" w:cs="Times New Roman"/>
          <w:snapToGrid w:val="0"/>
          <w:sz w:val="24"/>
          <w:lang w:val="fr-FR"/>
        </w:rPr>
        <w:t>Washington, D.C.: Taylor and Francis, p. 434.</w:t>
      </w:r>
    </w:p>
    <w:p w:rsidR="006333FB" w:rsidRPr="00630D1F" w:rsidRDefault="006333FB" w:rsidP="00F37C80">
      <w:pPr>
        <w:pStyle w:val="MSDS-TZeile"/>
        <w:ind w:left="0"/>
        <w:jc w:val="both"/>
        <w:rPr>
          <w:rFonts w:ascii="Times New Roman" w:hAnsi="Times New Roman" w:cs="Times New Roman"/>
          <w:snapToGrid w:val="0"/>
          <w:sz w:val="24"/>
          <w:lang w:val="fr-FR"/>
        </w:rPr>
      </w:pPr>
    </w:p>
    <w:p w:rsidR="00D84FAA" w:rsidRPr="00F37C80" w:rsidRDefault="00D84FAA" w:rsidP="00F37C80">
      <w:pPr>
        <w:pStyle w:val="MSDS-TZeile"/>
        <w:ind w:left="0"/>
        <w:jc w:val="both"/>
        <w:rPr>
          <w:rFonts w:ascii="Times New Roman" w:hAnsi="Times New Roman" w:cs="Times New Roman"/>
          <w:snapToGrid w:val="0"/>
          <w:sz w:val="24"/>
          <w:lang w:val="en-GB"/>
        </w:rPr>
      </w:pPr>
      <w:r w:rsidRPr="00630D1F">
        <w:rPr>
          <w:rFonts w:ascii="Times New Roman" w:eastAsia="MS Mincho" w:hAnsi="Times New Roman" w:cs="Times New Roman"/>
          <w:sz w:val="24"/>
          <w:lang w:val="fr-FR" w:eastAsia="ja-JP"/>
        </w:rPr>
        <w:t>Dequidt, J., Vasseur, P. &amp; Potencier, J. 1972a</w:t>
      </w:r>
      <w:proofErr w:type="gramStart"/>
      <w:r w:rsidRPr="00630D1F">
        <w:rPr>
          <w:rFonts w:ascii="Times New Roman" w:eastAsia="MS Mincho" w:hAnsi="Times New Roman" w:cs="Times New Roman"/>
          <w:sz w:val="24"/>
          <w:lang w:val="fr-FR" w:eastAsia="ja-JP"/>
        </w:rPr>
        <w:t>..</w:t>
      </w:r>
      <w:proofErr w:type="gramEnd"/>
      <w:r w:rsidRPr="00630D1F">
        <w:rPr>
          <w:rFonts w:ascii="Times New Roman" w:eastAsia="MS Mincho" w:hAnsi="Times New Roman" w:cs="Times New Roman"/>
          <w:sz w:val="24"/>
          <w:lang w:val="fr-FR" w:eastAsia="ja-JP"/>
        </w:rPr>
        <w:t xml:space="preserve"> Etude toxicologique experimentale de quelques Nitroparaffines</w:t>
      </w:r>
      <w:proofErr w:type="gramStart"/>
      <w:r w:rsidRPr="00630D1F">
        <w:rPr>
          <w:rFonts w:ascii="Times New Roman" w:eastAsia="MS Mincho" w:hAnsi="Times New Roman" w:cs="Times New Roman"/>
          <w:sz w:val="24"/>
          <w:lang w:val="fr-FR" w:eastAsia="ja-JP"/>
        </w:rPr>
        <w:t>,.</w:t>
      </w:r>
      <w:proofErr w:type="gramEnd"/>
      <w:r w:rsidRPr="00630D1F">
        <w:rPr>
          <w:rFonts w:ascii="Times New Roman" w:eastAsia="MS Mincho" w:hAnsi="Times New Roman" w:cs="Times New Roman"/>
          <w:sz w:val="24"/>
          <w:lang w:val="fr-FR" w:eastAsia="ja-JP"/>
        </w:rPr>
        <w:t xml:space="preserve">  </w:t>
      </w:r>
      <w:r w:rsidRPr="00F37C80">
        <w:rPr>
          <w:rFonts w:ascii="Times New Roman" w:eastAsia="MS Mincho" w:hAnsi="Times New Roman" w:cs="Times New Roman"/>
          <w:sz w:val="24"/>
          <w:lang w:val="en-GB" w:eastAsia="ja-JP"/>
        </w:rPr>
        <w:t xml:space="preserve">3. Etude du nitro-ethane.  </w:t>
      </w:r>
      <w:r w:rsidRPr="00F37C80">
        <w:rPr>
          <w:rFonts w:ascii="Times New Roman" w:eastAsia="MS Mincho" w:hAnsi="Times New Roman" w:cs="Times New Roman"/>
          <w:sz w:val="24"/>
          <w:u w:val="single"/>
          <w:lang w:val="en-GB" w:eastAsia="ja-JP"/>
        </w:rPr>
        <w:t>Bull. Soc. Pharma.</w:t>
      </w:r>
      <w:r w:rsidRPr="00F37C80">
        <w:rPr>
          <w:rFonts w:ascii="Times New Roman" w:eastAsia="MS Mincho" w:hAnsi="Times New Roman" w:cs="Times New Roman"/>
          <w:sz w:val="24"/>
          <w:lang w:val="en-GB" w:eastAsia="ja-JP"/>
        </w:rPr>
        <w:t xml:space="preserve"> </w:t>
      </w:r>
      <w:proofErr w:type="gramStart"/>
      <w:r w:rsidRPr="00F37C80">
        <w:rPr>
          <w:rFonts w:ascii="Times New Roman" w:eastAsia="MS Mincho" w:hAnsi="Times New Roman" w:cs="Times New Roman"/>
          <w:sz w:val="24"/>
          <w:u w:val="single"/>
          <w:lang w:val="en-GB" w:eastAsia="ja-JP"/>
        </w:rPr>
        <w:t>Lille</w:t>
      </w:r>
      <w:r w:rsidRPr="00F37C80">
        <w:rPr>
          <w:rFonts w:ascii="Times New Roman" w:eastAsia="MS Mincho" w:hAnsi="Times New Roman" w:cs="Times New Roman"/>
          <w:sz w:val="24"/>
          <w:lang w:val="en-GB" w:eastAsia="ja-JP"/>
        </w:rPr>
        <w:t xml:space="preserve">, 137-141; </w:t>
      </w:r>
      <w:r w:rsidRPr="00F37C80">
        <w:rPr>
          <w:rFonts w:ascii="Times New Roman" w:hAnsi="Times New Roman" w:cs="Times New Roman"/>
          <w:snapToGrid w:val="0"/>
          <w:sz w:val="24"/>
          <w:lang w:val="en-GB"/>
        </w:rPr>
        <w:t>English translation by Dr. PJ Baker Jr., IMC Chemical Group, Inc.</w:t>
      </w:r>
      <w:proofErr w:type="gramEnd"/>
    </w:p>
    <w:p w:rsidR="00D84FAA" w:rsidRPr="00F37C80" w:rsidRDefault="00D84FAA" w:rsidP="00F37C80">
      <w:pPr>
        <w:pStyle w:val="MSDS-TUZeile"/>
        <w:jc w:val="both"/>
        <w:rPr>
          <w:rFonts w:ascii="Times New Roman" w:hAnsi="Times New Roman" w:cs="Times New Roman"/>
          <w:sz w:val="24"/>
          <w:lang w:val="en-GB"/>
        </w:rPr>
      </w:pPr>
    </w:p>
    <w:p w:rsidR="00D84FAA" w:rsidRPr="00F37C80" w:rsidRDefault="00D84FAA" w:rsidP="00F37C80">
      <w:pPr>
        <w:pStyle w:val="MSDS-TZeile"/>
        <w:ind w:left="0"/>
        <w:jc w:val="both"/>
        <w:rPr>
          <w:rFonts w:ascii="Times New Roman" w:hAnsi="Times New Roman" w:cs="Times New Roman"/>
          <w:sz w:val="24"/>
          <w:lang w:val="en-GB"/>
        </w:rPr>
      </w:pPr>
      <w:r w:rsidRPr="00630D1F">
        <w:rPr>
          <w:rFonts w:ascii="Times New Roman" w:eastAsia="MS Mincho" w:hAnsi="Times New Roman" w:cs="Times New Roman"/>
          <w:sz w:val="24"/>
          <w:lang w:val="fr-FR" w:eastAsia="ja-JP"/>
        </w:rPr>
        <w:t xml:space="preserve">Dequidt, J., Vasseur, P. &amp; Potencier, J. 1972b. Etude toxicologique experimentale de quelques Nitroparaffines, 2. </w:t>
      </w:r>
      <w:proofErr w:type="gramStart"/>
      <w:r w:rsidRPr="00F37C80">
        <w:rPr>
          <w:rFonts w:ascii="Times New Roman" w:eastAsia="MS Mincho" w:hAnsi="Times New Roman" w:cs="Times New Roman"/>
          <w:sz w:val="24"/>
          <w:lang w:val="en-GB" w:eastAsia="ja-JP"/>
        </w:rPr>
        <w:t>Etude du 1-nitro-propane.</w:t>
      </w:r>
      <w:proofErr w:type="gramEnd"/>
      <w:r w:rsidRPr="00F37C80">
        <w:rPr>
          <w:rFonts w:ascii="Times New Roman" w:eastAsia="MS Mincho" w:hAnsi="Times New Roman" w:cs="Times New Roman"/>
          <w:sz w:val="24"/>
          <w:lang w:val="en-GB" w:eastAsia="ja-JP"/>
        </w:rPr>
        <w:t xml:space="preserve"> </w:t>
      </w:r>
      <w:r w:rsidRPr="00F37C80">
        <w:rPr>
          <w:rFonts w:ascii="Times New Roman" w:eastAsia="MS Mincho" w:hAnsi="Times New Roman" w:cs="Times New Roman"/>
          <w:sz w:val="24"/>
          <w:u w:val="single"/>
          <w:lang w:val="en-GB" w:eastAsia="ja-JP"/>
        </w:rPr>
        <w:t>Bull. Soc. Pharma.</w:t>
      </w:r>
      <w:r w:rsidRPr="00F37C80">
        <w:rPr>
          <w:rFonts w:ascii="Times New Roman" w:eastAsia="MS Mincho" w:hAnsi="Times New Roman" w:cs="Times New Roman"/>
          <w:sz w:val="24"/>
          <w:lang w:val="en-GB" w:eastAsia="ja-JP"/>
        </w:rPr>
        <w:t xml:space="preserve"> </w:t>
      </w:r>
      <w:proofErr w:type="gramStart"/>
      <w:r w:rsidRPr="00F37C80">
        <w:rPr>
          <w:rFonts w:ascii="Times New Roman" w:eastAsia="MS Mincho" w:hAnsi="Times New Roman" w:cs="Times New Roman"/>
          <w:sz w:val="24"/>
          <w:u w:val="single"/>
          <w:lang w:val="en-GB" w:eastAsia="ja-JP"/>
        </w:rPr>
        <w:t>Lille</w:t>
      </w:r>
      <w:r w:rsidRPr="00F37C80">
        <w:rPr>
          <w:rFonts w:ascii="Times New Roman" w:eastAsia="MS Mincho" w:hAnsi="Times New Roman" w:cs="Times New Roman"/>
          <w:sz w:val="24"/>
          <w:lang w:val="en-GB" w:eastAsia="ja-JP"/>
        </w:rPr>
        <w:t xml:space="preserve">, 131-136; </w:t>
      </w:r>
      <w:r w:rsidRPr="00F37C80">
        <w:rPr>
          <w:rFonts w:ascii="Times New Roman" w:hAnsi="Times New Roman" w:cs="Times New Roman"/>
          <w:snapToGrid w:val="0"/>
          <w:sz w:val="24"/>
          <w:lang w:val="en-GB"/>
        </w:rPr>
        <w:t>English translation by Dr. PJ Baker Jr., IMC Chemical Group, Inc.</w:t>
      </w:r>
      <w:proofErr w:type="gramEnd"/>
    </w:p>
    <w:p w:rsidR="00D84FAA" w:rsidRPr="00F37C80" w:rsidRDefault="00D84FAA" w:rsidP="00F37C80">
      <w:pPr>
        <w:pStyle w:val="MSDS-TUZeile"/>
        <w:jc w:val="both"/>
        <w:rPr>
          <w:rFonts w:ascii="Times New Roman" w:hAnsi="Times New Roman" w:cs="Times New Roman"/>
          <w:sz w:val="24"/>
          <w:lang w:val="en-GB"/>
        </w:rPr>
      </w:pPr>
    </w:p>
    <w:p w:rsidR="00AC0B97" w:rsidRPr="00F37C80" w:rsidRDefault="00AC0B97" w:rsidP="00F37C80">
      <w:pPr>
        <w:pStyle w:val="MSDS-TZeile"/>
        <w:ind w:left="0"/>
        <w:jc w:val="both"/>
        <w:rPr>
          <w:rFonts w:ascii="Times New Roman" w:hAnsi="Times New Roman" w:cs="Times New Roman"/>
          <w:sz w:val="24"/>
          <w:lang w:val="en-GB"/>
        </w:rPr>
      </w:pPr>
      <w:r w:rsidRPr="00630D1F">
        <w:rPr>
          <w:rFonts w:ascii="Times New Roman" w:hAnsi="Times New Roman" w:cs="Times New Roman"/>
          <w:snapToGrid w:val="0"/>
          <w:sz w:val="24"/>
          <w:lang w:val="fr-FR"/>
        </w:rPr>
        <w:t xml:space="preserve">Dequidt J, Vasseur P and Potencier J. 1973. Etude toxicologique experimentale de quelques Nitroparaffines. </w:t>
      </w:r>
      <w:r w:rsidRPr="00F37C80">
        <w:rPr>
          <w:rFonts w:ascii="Times New Roman" w:hAnsi="Times New Roman" w:cs="Times New Roman"/>
          <w:snapToGrid w:val="0"/>
          <w:sz w:val="24"/>
          <w:lang w:val="en-GB"/>
        </w:rPr>
        <w:t xml:space="preserve">4. Etude du nitromethane. Bull Soc Pharm Lille, 29-35. </w:t>
      </w:r>
      <w:proofErr w:type="gramStart"/>
      <w:r w:rsidRPr="00F37C80">
        <w:rPr>
          <w:rFonts w:ascii="Times New Roman" w:hAnsi="Times New Roman" w:cs="Times New Roman"/>
          <w:snapToGrid w:val="0"/>
          <w:sz w:val="24"/>
          <w:lang w:val="en-GB"/>
        </w:rPr>
        <w:t>English translation by Dr. PJ Baker Jr., IMC Chemical Group, Inc.</w:t>
      </w:r>
      <w:proofErr w:type="gramEnd"/>
    </w:p>
    <w:p w:rsidR="00AC0B97" w:rsidRPr="00F37C80" w:rsidRDefault="00AC0B97" w:rsidP="00F37C80">
      <w:pPr>
        <w:jc w:val="both"/>
        <w:rPr>
          <w:lang w:val="en-GB"/>
        </w:rPr>
      </w:pPr>
    </w:p>
    <w:p w:rsidR="00AC0B97" w:rsidRPr="00DD7585" w:rsidRDefault="00AC0B97" w:rsidP="00F37C80">
      <w:pPr>
        <w:pStyle w:val="MSDS-TZeile"/>
        <w:ind w:left="0"/>
        <w:jc w:val="both"/>
        <w:rPr>
          <w:rFonts w:ascii="Times New Roman" w:hAnsi="Times New Roman" w:cs="Times New Roman"/>
          <w:snapToGrid w:val="0"/>
          <w:sz w:val="24"/>
          <w:lang w:val="en-US"/>
        </w:rPr>
      </w:pPr>
      <w:r w:rsidRPr="00DD7585">
        <w:rPr>
          <w:rFonts w:ascii="Times New Roman" w:hAnsi="Times New Roman" w:cs="Times New Roman"/>
          <w:snapToGrid w:val="0"/>
          <w:sz w:val="24"/>
          <w:lang w:val="en-US"/>
        </w:rPr>
        <w:t>Domoradzki JY. 1980. Evaluation of chlorothene VG solvent and its components in the Ames' Salmonella/mammalian microsome mutagenicity assay.  Dow Chemical USA R &amp; D Report HET-K-1716-(71), dated June 18, 1980 (unpublished study).</w:t>
      </w:r>
    </w:p>
    <w:p w:rsidR="00AC0B97" w:rsidRPr="00DD7585" w:rsidRDefault="00AC0B97" w:rsidP="00F37C80">
      <w:pPr>
        <w:jc w:val="both"/>
      </w:pPr>
    </w:p>
    <w:p w:rsidR="008A1E52" w:rsidRPr="00DD7585" w:rsidRDefault="008A1E52" w:rsidP="00F37C80">
      <w:pPr>
        <w:pStyle w:val="MSDS-TZeile"/>
        <w:ind w:left="0"/>
        <w:jc w:val="both"/>
        <w:rPr>
          <w:rFonts w:ascii="Times New Roman" w:hAnsi="Times New Roman" w:cs="Times New Roman"/>
          <w:sz w:val="24"/>
        </w:rPr>
      </w:pPr>
      <w:proofErr w:type="gramStart"/>
      <w:r w:rsidRPr="00DD7585">
        <w:rPr>
          <w:rFonts w:ascii="Times New Roman" w:hAnsi="Times New Roman" w:cs="Times New Roman"/>
          <w:snapToGrid w:val="0"/>
          <w:sz w:val="24"/>
          <w:lang w:val="en-US"/>
        </w:rPr>
        <w:t>Fiala ES, Czerniak R, Catonguay A, Conaway CC and Rivenson A. 1987.</w:t>
      </w:r>
      <w:proofErr w:type="gramEnd"/>
      <w:r w:rsidRPr="00DD7585">
        <w:rPr>
          <w:rFonts w:ascii="Times New Roman" w:hAnsi="Times New Roman" w:cs="Times New Roman"/>
          <w:snapToGrid w:val="0"/>
          <w:sz w:val="24"/>
          <w:lang w:val="en-US"/>
        </w:rPr>
        <w:t xml:space="preserve">  Assay of 1-nitropropane, 2-nitropropane, 1-azoxypropane and 2-azoxypropane for carcinogenicity by gavage in Sprague-Dawley rats. </w:t>
      </w:r>
      <w:r w:rsidRPr="00DD7585">
        <w:rPr>
          <w:rFonts w:ascii="Times New Roman" w:hAnsi="Times New Roman" w:cs="Times New Roman"/>
          <w:snapToGrid w:val="0"/>
          <w:sz w:val="24"/>
        </w:rPr>
        <w:t>Carcinogenesis 8:1947-1949.</w:t>
      </w:r>
    </w:p>
    <w:p w:rsidR="008A1E52" w:rsidRDefault="008A1E52" w:rsidP="00F37C80">
      <w:pPr>
        <w:pStyle w:val="MSDS-TZeile"/>
        <w:ind w:left="0"/>
        <w:jc w:val="both"/>
        <w:rPr>
          <w:rFonts w:ascii="Times New Roman" w:hAnsi="Times New Roman" w:cs="Times New Roman"/>
          <w:snapToGrid w:val="0"/>
          <w:sz w:val="24"/>
        </w:rPr>
      </w:pPr>
    </w:p>
    <w:p w:rsidR="00AC0B97" w:rsidRPr="00DD7585" w:rsidRDefault="00AC0B97" w:rsidP="00F37C80">
      <w:pPr>
        <w:pStyle w:val="MSDS-TZeile"/>
        <w:ind w:left="0"/>
        <w:jc w:val="both"/>
        <w:rPr>
          <w:rFonts w:ascii="Times New Roman" w:hAnsi="Times New Roman" w:cs="Times New Roman"/>
          <w:snapToGrid w:val="0"/>
          <w:sz w:val="24"/>
          <w:lang w:val="en-US"/>
        </w:rPr>
      </w:pPr>
      <w:r w:rsidRPr="00DD7585">
        <w:rPr>
          <w:rFonts w:ascii="Times New Roman" w:hAnsi="Times New Roman" w:cs="Times New Roman"/>
          <w:snapToGrid w:val="0"/>
          <w:sz w:val="24"/>
        </w:rPr>
        <w:t xml:space="preserve">Freitag D, Ballhorn L, Korte S and Korte F. 1990. </w:t>
      </w:r>
      <w:proofErr w:type="gramStart"/>
      <w:r w:rsidRPr="00DD7585">
        <w:rPr>
          <w:rFonts w:ascii="Times New Roman" w:hAnsi="Times New Roman" w:cs="Times New Roman"/>
          <w:snapToGrid w:val="0"/>
          <w:sz w:val="24"/>
          <w:lang w:val="en-US"/>
        </w:rPr>
        <w:t>Bioaccumulation and degradation of some nitroalkanes.</w:t>
      </w:r>
      <w:proofErr w:type="gramEnd"/>
      <w:r w:rsidRPr="00DD7585">
        <w:rPr>
          <w:rFonts w:ascii="Times New Roman" w:hAnsi="Times New Roman" w:cs="Times New Roman"/>
          <w:snapToGrid w:val="0"/>
          <w:sz w:val="24"/>
          <w:lang w:val="en-US"/>
        </w:rPr>
        <w:t xml:space="preserve"> In "Practical Applications of Quantitative Structure-Activity Relationships (QSAR) in Environmental Chemistry and Toxicology", W. Karcher and J Devillers (</w:t>
      </w:r>
      <w:proofErr w:type="gramStart"/>
      <w:r w:rsidRPr="00DD7585">
        <w:rPr>
          <w:rFonts w:ascii="Times New Roman" w:hAnsi="Times New Roman" w:cs="Times New Roman"/>
          <w:snapToGrid w:val="0"/>
          <w:sz w:val="24"/>
          <w:lang w:val="en-US"/>
        </w:rPr>
        <w:t>eds</w:t>
      </w:r>
      <w:proofErr w:type="gramEnd"/>
      <w:r w:rsidRPr="00DD7585">
        <w:rPr>
          <w:rFonts w:ascii="Times New Roman" w:hAnsi="Times New Roman" w:cs="Times New Roman"/>
          <w:snapToGrid w:val="0"/>
          <w:sz w:val="24"/>
          <w:lang w:val="en-US"/>
        </w:rPr>
        <w:t xml:space="preserve">). </w:t>
      </w:r>
      <w:proofErr w:type="gramStart"/>
      <w:r w:rsidRPr="00DD7585">
        <w:rPr>
          <w:rFonts w:ascii="Times New Roman" w:hAnsi="Times New Roman" w:cs="Times New Roman"/>
          <w:snapToGrid w:val="0"/>
          <w:sz w:val="24"/>
          <w:lang w:val="en-US"/>
        </w:rPr>
        <w:t>ECSC, EEC and EAEC, Brussels and Luxembourg, 1990.</w:t>
      </w:r>
      <w:proofErr w:type="gramEnd"/>
    </w:p>
    <w:p w:rsidR="00AC0B97" w:rsidRPr="00DD7585" w:rsidRDefault="00AC0B97" w:rsidP="00F37C80">
      <w:pPr>
        <w:jc w:val="both"/>
      </w:pPr>
    </w:p>
    <w:p w:rsidR="00D9351D" w:rsidRDefault="00D9351D" w:rsidP="00F37C80">
      <w:pPr>
        <w:pStyle w:val="MSDS-TZeile"/>
        <w:ind w:left="0"/>
        <w:jc w:val="both"/>
        <w:rPr>
          <w:rFonts w:ascii="Times New Roman" w:hAnsi="Times New Roman" w:cs="Times New Roman"/>
          <w:snapToGrid w:val="0"/>
          <w:sz w:val="24"/>
          <w:lang w:val="en-US"/>
        </w:rPr>
      </w:pPr>
      <w:proofErr w:type="gramStart"/>
      <w:r w:rsidRPr="00D9351D">
        <w:rPr>
          <w:rFonts w:ascii="Times New Roman" w:hAnsi="Times New Roman" w:cs="Times New Roman"/>
          <w:snapToGrid w:val="0"/>
          <w:sz w:val="24"/>
          <w:lang w:val="en-US"/>
        </w:rPr>
        <w:t>Freitag, D., Korte, S. and Korte, F. (1988) Ecotoxicological Profile Analysis of Nitroparaffins According to OECD Guidelines with 14-C labelled Compounds.</w:t>
      </w:r>
      <w:proofErr w:type="gramEnd"/>
      <w:r w:rsidRPr="00D9351D">
        <w:rPr>
          <w:rFonts w:ascii="Times New Roman" w:hAnsi="Times New Roman" w:cs="Times New Roman"/>
          <w:snapToGrid w:val="0"/>
          <w:sz w:val="24"/>
          <w:lang w:val="en-US"/>
        </w:rPr>
        <w:t xml:space="preserve">  Coulston International Corp. Report for Angus Chemical Company, a subsidiary of The Dow Chemical Company, Midland, MI.</w:t>
      </w:r>
    </w:p>
    <w:p w:rsidR="00D9351D" w:rsidRDefault="00D9351D" w:rsidP="00F37C80">
      <w:pPr>
        <w:pStyle w:val="MSDS-TZeile"/>
        <w:ind w:left="0"/>
        <w:jc w:val="both"/>
        <w:rPr>
          <w:rFonts w:ascii="Times New Roman" w:hAnsi="Times New Roman" w:cs="Times New Roman"/>
          <w:snapToGrid w:val="0"/>
          <w:sz w:val="24"/>
          <w:lang w:val="en-US"/>
        </w:rPr>
      </w:pPr>
    </w:p>
    <w:p w:rsidR="000B5E58" w:rsidRPr="00DD7585" w:rsidRDefault="000B5E58" w:rsidP="00F37C80">
      <w:pPr>
        <w:pStyle w:val="MSDS-TZeile"/>
        <w:ind w:left="0"/>
        <w:jc w:val="both"/>
        <w:rPr>
          <w:rFonts w:ascii="Times New Roman" w:hAnsi="Times New Roman" w:cs="Times New Roman"/>
          <w:snapToGrid w:val="0"/>
          <w:sz w:val="24"/>
          <w:lang w:val="en-US"/>
        </w:rPr>
      </w:pPr>
      <w:proofErr w:type="gramStart"/>
      <w:r w:rsidRPr="00DD7585">
        <w:rPr>
          <w:rFonts w:ascii="Times New Roman" w:hAnsi="Times New Roman" w:cs="Times New Roman"/>
          <w:snapToGrid w:val="0"/>
          <w:sz w:val="24"/>
          <w:lang w:val="en-US"/>
        </w:rPr>
        <w:t>Gadda G and Fitzpatrick PF. 2000.</w:t>
      </w:r>
      <w:proofErr w:type="gramEnd"/>
      <w:r w:rsidRPr="00DD7585">
        <w:rPr>
          <w:rFonts w:ascii="Times New Roman" w:hAnsi="Times New Roman" w:cs="Times New Roman"/>
          <w:snapToGrid w:val="0"/>
          <w:sz w:val="24"/>
          <w:lang w:val="en-US"/>
        </w:rPr>
        <w:t xml:space="preserve"> Iso-mechanism of nitroalkane oxidase: 1. Inhibition studies and activation by imidazole. Biochemistry 39: 1400-1405.</w:t>
      </w:r>
    </w:p>
    <w:p w:rsidR="000B5E58" w:rsidRPr="00DD7585" w:rsidRDefault="000B5E58" w:rsidP="00F37C80">
      <w:pPr>
        <w:jc w:val="both"/>
      </w:pPr>
    </w:p>
    <w:p w:rsidR="000B5E58" w:rsidRPr="00DD7585" w:rsidRDefault="000B5E58" w:rsidP="00F37C80">
      <w:pPr>
        <w:pStyle w:val="MSDS-TZeile"/>
        <w:ind w:left="0"/>
        <w:jc w:val="both"/>
        <w:rPr>
          <w:rFonts w:ascii="Times New Roman" w:hAnsi="Times New Roman" w:cs="Times New Roman"/>
          <w:snapToGrid w:val="0"/>
          <w:sz w:val="24"/>
          <w:lang w:val="en-US"/>
        </w:rPr>
      </w:pPr>
      <w:proofErr w:type="gramStart"/>
      <w:r w:rsidRPr="00DD7585">
        <w:rPr>
          <w:rFonts w:ascii="Times New Roman" w:hAnsi="Times New Roman" w:cs="Times New Roman"/>
          <w:snapToGrid w:val="0"/>
          <w:sz w:val="24"/>
          <w:lang w:val="en-US"/>
        </w:rPr>
        <w:t>Gadda G and Fitzpatrick PF. 2000.</w:t>
      </w:r>
      <w:proofErr w:type="gramEnd"/>
      <w:r w:rsidRPr="00DD7585">
        <w:rPr>
          <w:rFonts w:ascii="Times New Roman" w:hAnsi="Times New Roman" w:cs="Times New Roman"/>
          <w:snapToGrid w:val="0"/>
          <w:sz w:val="24"/>
          <w:lang w:val="en-US"/>
        </w:rPr>
        <w:t xml:space="preserve"> Mechanism of nitroalkane oxidase: 2. pH and kinetic isotope effects. Biochemistry 39: 1406-1410.</w:t>
      </w:r>
    </w:p>
    <w:p w:rsidR="000B5E58" w:rsidRPr="00DD7585" w:rsidRDefault="000B5E58" w:rsidP="00F37C80">
      <w:pPr>
        <w:jc w:val="both"/>
      </w:pPr>
    </w:p>
    <w:p w:rsidR="008A1E52" w:rsidRPr="00DD7585" w:rsidRDefault="008A1E52" w:rsidP="00F37C80">
      <w:pPr>
        <w:pStyle w:val="MSDS-TZeile"/>
        <w:ind w:left="0"/>
        <w:jc w:val="both"/>
        <w:rPr>
          <w:rFonts w:ascii="Times New Roman" w:hAnsi="Times New Roman" w:cs="Times New Roman"/>
          <w:sz w:val="24"/>
          <w:lang w:val="en-US"/>
        </w:rPr>
      </w:pPr>
      <w:proofErr w:type="gramStart"/>
      <w:r w:rsidRPr="00DD7585">
        <w:rPr>
          <w:rFonts w:ascii="Times New Roman" w:hAnsi="Times New Roman" w:cs="Times New Roman"/>
          <w:snapToGrid w:val="0"/>
          <w:sz w:val="24"/>
          <w:lang w:val="en-US"/>
        </w:rPr>
        <w:t>George E, Burlinson B and Gatehouse D. 1989.</w:t>
      </w:r>
      <w:proofErr w:type="gramEnd"/>
      <w:r w:rsidRPr="00DD7585">
        <w:rPr>
          <w:rFonts w:ascii="Times New Roman" w:hAnsi="Times New Roman" w:cs="Times New Roman"/>
          <w:snapToGrid w:val="0"/>
          <w:sz w:val="24"/>
          <w:lang w:val="en-US"/>
        </w:rPr>
        <w:t xml:space="preserve">  </w:t>
      </w:r>
      <w:proofErr w:type="gramStart"/>
      <w:r w:rsidRPr="00DD7585">
        <w:rPr>
          <w:rFonts w:ascii="Times New Roman" w:hAnsi="Times New Roman" w:cs="Times New Roman"/>
          <w:snapToGrid w:val="0"/>
          <w:sz w:val="24"/>
          <w:lang w:val="en-US"/>
        </w:rPr>
        <w:t>Genotoxicity of 1- and 2-nitropropane in the rat.</w:t>
      </w:r>
      <w:proofErr w:type="gramEnd"/>
      <w:r w:rsidRPr="00DD7585">
        <w:rPr>
          <w:rFonts w:ascii="Times New Roman" w:hAnsi="Times New Roman" w:cs="Times New Roman"/>
          <w:snapToGrid w:val="0"/>
          <w:sz w:val="24"/>
          <w:lang w:val="en-US"/>
        </w:rPr>
        <w:t xml:space="preserve"> Carcinogenesis 10:2329-2334.</w:t>
      </w:r>
    </w:p>
    <w:p w:rsidR="008A1E52" w:rsidRDefault="008A1E52" w:rsidP="00F37C80">
      <w:pPr>
        <w:jc w:val="both"/>
      </w:pPr>
    </w:p>
    <w:p w:rsidR="00A63FE7" w:rsidRPr="00DD7585" w:rsidRDefault="00A63FE7" w:rsidP="00F37C80">
      <w:pPr>
        <w:pStyle w:val="MSDS-TZeile"/>
        <w:ind w:left="0"/>
        <w:jc w:val="both"/>
        <w:rPr>
          <w:rFonts w:ascii="Times New Roman" w:hAnsi="Times New Roman" w:cs="Times New Roman"/>
          <w:sz w:val="24"/>
          <w:lang w:val="en-US"/>
        </w:rPr>
      </w:pPr>
      <w:proofErr w:type="gramStart"/>
      <w:r w:rsidRPr="00DD7585">
        <w:rPr>
          <w:rFonts w:ascii="Times New Roman" w:hAnsi="Times New Roman" w:cs="Times New Roman"/>
          <w:snapToGrid w:val="0"/>
          <w:sz w:val="24"/>
          <w:lang w:val="en-US"/>
        </w:rPr>
        <w:t>Griffin T, Coulston F and Stein AA.</w:t>
      </w:r>
      <w:proofErr w:type="gramEnd"/>
      <w:r w:rsidRPr="00DD7585">
        <w:rPr>
          <w:rFonts w:ascii="Times New Roman" w:hAnsi="Times New Roman" w:cs="Times New Roman"/>
          <w:snapToGrid w:val="0"/>
          <w:sz w:val="24"/>
          <w:lang w:val="en-US"/>
        </w:rPr>
        <w:t xml:space="preserve"> 19</w:t>
      </w:r>
      <w:r>
        <w:rPr>
          <w:rFonts w:ascii="Times New Roman" w:hAnsi="Times New Roman" w:cs="Times New Roman"/>
          <w:snapToGrid w:val="0"/>
          <w:sz w:val="24"/>
          <w:lang w:val="en-US"/>
        </w:rPr>
        <w:t>90</w:t>
      </w:r>
      <w:r w:rsidRPr="00DD7585">
        <w:rPr>
          <w:rFonts w:ascii="Times New Roman" w:hAnsi="Times New Roman" w:cs="Times New Roman"/>
          <w:snapToGrid w:val="0"/>
          <w:sz w:val="24"/>
          <w:lang w:val="en-US"/>
        </w:rPr>
        <w:t xml:space="preserve">. </w:t>
      </w:r>
      <w:r>
        <w:rPr>
          <w:rFonts w:ascii="Times New Roman" w:hAnsi="Times New Roman" w:cs="Times New Roman"/>
          <w:snapToGrid w:val="0"/>
          <w:sz w:val="24"/>
          <w:lang w:val="en-US"/>
        </w:rPr>
        <w:t xml:space="preserve">Nitromethane:  </w:t>
      </w:r>
      <w:r w:rsidRPr="00DD7585">
        <w:rPr>
          <w:rFonts w:ascii="Times New Roman" w:hAnsi="Times New Roman" w:cs="Times New Roman"/>
          <w:snapToGrid w:val="0"/>
          <w:sz w:val="24"/>
          <w:lang w:val="en-US"/>
        </w:rPr>
        <w:t xml:space="preserve">Chronic </w:t>
      </w:r>
      <w:r>
        <w:rPr>
          <w:rFonts w:ascii="Times New Roman" w:hAnsi="Times New Roman" w:cs="Times New Roman"/>
          <w:snapToGrid w:val="0"/>
          <w:sz w:val="24"/>
          <w:lang w:val="en-US"/>
        </w:rPr>
        <w:t>I</w:t>
      </w:r>
      <w:r w:rsidRPr="00DD7585">
        <w:rPr>
          <w:rFonts w:ascii="Times New Roman" w:hAnsi="Times New Roman" w:cs="Times New Roman"/>
          <w:snapToGrid w:val="0"/>
          <w:sz w:val="24"/>
          <w:lang w:val="en-US"/>
        </w:rPr>
        <w:t>nhalat</w:t>
      </w:r>
      <w:r>
        <w:rPr>
          <w:rFonts w:ascii="Times New Roman" w:hAnsi="Times New Roman" w:cs="Times New Roman"/>
          <w:snapToGrid w:val="0"/>
          <w:sz w:val="24"/>
          <w:lang w:val="en-US"/>
        </w:rPr>
        <w:t>ion. Study No. 85</w:t>
      </w:r>
      <w:r w:rsidRPr="00DD7585">
        <w:rPr>
          <w:rFonts w:ascii="Times New Roman" w:hAnsi="Times New Roman" w:cs="Times New Roman"/>
          <w:snapToGrid w:val="0"/>
          <w:sz w:val="24"/>
          <w:lang w:val="en-US"/>
        </w:rPr>
        <w:t>0</w:t>
      </w:r>
      <w:r>
        <w:rPr>
          <w:rFonts w:ascii="Times New Roman" w:hAnsi="Times New Roman" w:cs="Times New Roman"/>
          <w:snapToGrid w:val="0"/>
          <w:sz w:val="24"/>
          <w:lang w:val="en-US"/>
        </w:rPr>
        <w:t>9</w:t>
      </w:r>
      <w:r w:rsidRPr="00DD7585">
        <w:rPr>
          <w:rFonts w:ascii="Times New Roman" w:hAnsi="Times New Roman" w:cs="Times New Roman"/>
          <w:snapToGrid w:val="0"/>
          <w:sz w:val="24"/>
          <w:lang w:val="en-US"/>
        </w:rPr>
        <w:t>02, Coulston Interna</w:t>
      </w:r>
      <w:r>
        <w:rPr>
          <w:rFonts w:ascii="Times New Roman" w:hAnsi="Times New Roman" w:cs="Times New Roman"/>
          <w:snapToGrid w:val="0"/>
          <w:sz w:val="24"/>
          <w:lang w:val="en-US"/>
        </w:rPr>
        <w:t>tional Corporation, dated June 6</w:t>
      </w:r>
      <w:r w:rsidRPr="00DD7585">
        <w:rPr>
          <w:rFonts w:ascii="Times New Roman" w:hAnsi="Times New Roman" w:cs="Times New Roman"/>
          <w:snapToGrid w:val="0"/>
          <w:sz w:val="24"/>
          <w:lang w:val="en-US"/>
        </w:rPr>
        <w:t>, 19</w:t>
      </w:r>
      <w:r>
        <w:rPr>
          <w:rFonts w:ascii="Times New Roman" w:hAnsi="Times New Roman" w:cs="Times New Roman"/>
          <w:snapToGrid w:val="0"/>
          <w:sz w:val="24"/>
          <w:lang w:val="en-US"/>
        </w:rPr>
        <w:t>90</w:t>
      </w:r>
      <w:r w:rsidRPr="00DD7585">
        <w:rPr>
          <w:rFonts w:ascii="Times New Roman" w:hAnsi="Times New Roman" w:cs="Times New Roman"/>
          <w:snapToGrid w:val="0"/>
          <w:sz w:val="24"/>
          <w:lang w:val="en-US"/>
        </w:rPr>
        <w:t xml:space="preserve"> (unpublished).</w:t>
      </w:r>
    </w:p>
    <w:p w:rsidR="00A63FE7" w:rsidRPr="00DD7585" w:rsidRDefault="00A63FE7" w:rsidP="00F37C80">
      <w:pPr>
        <w:jc w:val="both"/>
      </w:pPr>
    </w:p>
    <w:p w:rsidR="000B5E58" w:rsidRPr="00DD7585" w:rsidRDefault="000B5E58" w:rsidP="00F37C80">
      <w:pPr>
        <w:pStyle w:val="MSDS-TZeile"/>
        <w:ind w:left="0"/>
        <w:jc w:val="both"/>
        <w:rPr>
          <w:rFonts w:ascii="Times New Roman" w:hAnsi="Times New Roman" w:cs="Times New Roman"/>
          <w:sz w:val="24"/>
          <w:lang w:val="en-US"/>
        </w:rPr>
      </w:pPr>
      <w:proofErr w:type="gramStart"/>
      <w:r w:rsidRPr="00DD7585">
        <w:rPr>
          <w:rFonts w:ascii="Times New Roman" w:hAnsi="Times New Roman" w:cs="Times New Roman"/>
          <w:snapToGrid w:val="0"/>
          <w:sz w:val="24"/>
          <w:lang w:val="en-US"/>
        </w:rPr>
        <w:t>Griffin T, Coulston F and Stein AA.</w:t>
      </w:r>
      <w:proofErr w:type="gramEnd"/>
      <w:r w:rsidRPr="00DD7585">
        <w:rPr>
          <w:rFonts w:ascii="Times New Roman" w:hAnsi="Times New Roman" w:cs="Times New Roman"/>
          <w:snapToGrid w:val="0"/>
          <w:sz w:val="24"/>
          <w:lang w:val="en-US"/>
        </w:rPr>
        <w:t xml:space="preserve"> 1986. Final Report.  </w:t>
      </w:r>
      <w:proofErr w:type="gramStart"/>
      <w:r w:rsidRPr="00DD7585">
        <w:rPr>
          <w:rFonts w:ascii="Times New Roman" w:hAnsi="Times New Roman" w:cs="Times New Roman"/>
          <w:snapToGrid w:val="0"/>
          <w:sz w:val="24"/>
          <w:lang w:val="en-US"/>
        </w:rPr>
        <w:t>Chronic inhalation of nitroethane.</w:t>
      </w:r>
      <w:proofErr w:type="gramEnd"/>
      <w:r w:rsidRPr="00DD7585">
        <w:rPr>
          <w:rFonts w:ascii="Times New Roman" w:hAnsi="Times New Roman" w:cs="Times New Roman"/>
          <w:snapToGrid w:val="0"/>
          <w:sz w:val="24"/>
          <w:lang w:val="en-US"/>
        </w:rPr>
        <w:t xml:space="preserve"> Study No. 820302, Coulston International Corporation, dated June 9, 1986 (unpublished).</w:t>
      </w:r>
    </w:p>
    <w:p w:rsidR="000B5E58" w:rsidRPr="00DD7585" w:rsidRDefault="000B5E58" w:rsidP="00F37C80">
      <w:pPr>
        <w:jc w:val="both"/>
      </w:pPr>
    </w:p>
    <w:p w:rsidR="000B5E58" w:rsidRDefault="000B5E58" w:rsidP="00F37C80">
      <w:pPr>
        <w:pStyle w:val="MSDS-TZeile"/>
        <w:ind w:left="0"/>
        <w:jc w:val="both"/>
        <w:rPr>
          <w:rFonts w:ascii="Times New Roman" w:hAnsi="Times New Roman" w:cs="Times New Roman"/>
          <w:snapToGrid w:val="0"/>
          <w:sz w:val="24"/>
          <w:lang w:val="en-US"/>
        </w:rPr>
      </w:pPr>
      <w:proofErr w:type="gramStart"/>
      <w:r w:rsidRPr="00DD7585">
        <w:rPr>
          <w:rFonts w:ascii="Times New Roman" w:hAnsi="Times New Roman" w:cs="Times New Roman"/>
          <w:snapToGrid w:val="0"/>
          <w:sz w:val="24"/>
          <w:lang w:val="en-US"/>
        </w:rPr>
        <w:t>Griffin TB, Stein AA and Coulston F. 1982.</w:t>
      </w:r>
      <w:proofErr w:type="gramEnd"/>
      <w:r w:rsidRPr="00DD7585">
        <w:rPr>
          <w:rFonts w:ascii="Times New Roman" w:hAnsi="Times New Roman" w:cs="Times New Roman"/>
          <w:snapToGrid w:val="0"/>
          <w:sz w:val="24"/>
          <w:lang w:val="en-US"/>
        </w:rPr>
        <w:t xml:space="preserve">  </w:t>
      </w:r>
      <w:proofErr w:type="gramStart"/>
      <w:r w:rsidRPr="00DD7585">
        <w:rPr>
          <w:rFonts w:ascii="Times New Roman" w:hAnsi="Times New Roman" w:cs="Times New Roman"/>
          <w:snapToGrid w:val="0"/>
          <w:sz w:val="24"/>
          <w:lang w:val="en-US"/>
        </w:rPr>
        <w:t>Inhalation exposure of rats to vapors of 1-nitropropane at 100 ppm.</w:t>
      </w:r>
      <w:proofErr w:type="gramEnd"/>
      <w:r w:rsidRPr="00DD7585">
        <w:rPr>
          <w:rFonts w:ascii="Times New Roman" w:hAnsi="Times New Roman" w:cs="Times New Roman"/>
          <w:snapToGrid w:val="0"/>
          <w:sz w:val="24"/>
          <w:lang w:val="en-US"/>
        </w:rPr>
        <w:t xml:space="preserve"> Ecotox Environ Safety 6:268-282.</w:t>
      </w:r>
    </w:p>
    <w:p w:rsidR="001F5DDA" w:rsidRPr="001F5DDA" w:rsidRDefault="001F5DDA" w:rsidP="001F5DDA">
      <w:pPr>
        <w:pStyle w:val="MSDS-TUZeile"/>
        <w:rPr>
          <w:lang w:val="en-US"/>
        </w:rPr>
      </w:pPr>
    </w:p>
    <w:p w:rsidR="000B5E58" w:rsidRPr="00DD7585" w:rsidRDefault="000B5E58" w:rsidP="00F37C80">
      <w:pPr>
        <w:pStyle w:val="MSDS-TZeile"/>
        <w:ind w:left="0"/>
        <w:jc w:val="both"/>
        <w:rPr>
          <w:rFonts w:ascii="Times New Roman" w:hAnsi="Times New Roman" w:cs="Times New Roman"/>
          <w:sz w:val="24"/>
          <w:lang w:val="en-US"/>
        </w:rPr>
      </w:pPr>
      <w:proofErr w:type="gramStart"/>
      <w:r w:rsidRPr="00DD7585">
        <w:rPr>
          <w:rFonts w:ascii="Times New Roman" w:hAnsi="Times New Roman" w:cs="Times New Roman"/>
          <w:snapToGrid w:val="0"/>
          <w:sz w:val="24"/>
          <w:lang w:val="en-US"/>
        </w:rPr>
        <w:t>Griffin TB, Stein AA and Coulston F. 1988.</w:t>
      </w:r>
      <w:proofErr w:type="gramEnd"/>
      <w:r w:rsidRPr="00DD7585">
        <w:rPr>
          <w:rFonts w:ascii="Times New Roman" w:hAnsi="Times New Roman" w:cs="Times New Roman"/>
          <w:snapToGrid w:val="0"/>
          <w:sz w:val="24"/>
          <w:lang w:val="en-US"/>
        </w:rPr>
        <w:t xml:space="preserve"> </w:t>
      </w:r>
      <w:proofErr w:type="gramStart"/>
      <w:r w:rsidRPr="00DD7585">
        <w:rPr>
          <w:rFonts w:ascii="Times New Roman" w:hAnsi="Times New Roman" w:cs="Times New Roman"/>
          <w:snapToGrid w:val="0"/>
          <w:sz w:val="24"/>
          <w:lang w:val="en-US"/>
        </w:rPr>
        <w:t>Chronic inhalation exposure of rats to vapors of nitroethane.</w:t>
      </w:r>
      <w:proofErr w:type="gramEnd"/>
      <w:r w:rsidRPr="00DD7585">
        <w:rPr>
          <w:rFonts w:ascii="Times New Roman" w:hAnsi="Times New Roman" w:cs="Times New Roman"/>
          <w:snapToGrid w:val="0"/>
          <w:sz w:val="24"/>
          <w:lang w:val="en-US"/>
        </w:rPr>
        <w:t xml:space="preserve"> Ecotox Environ Safety 12:11-24.</w:t>
      </w:r>
    </w:p>
    <w:p w:rsidR="000B5E58" w:rsidRPr="00DD7585" w:rsidRDefault="000B5E58" w:rsidP="00F37C80">
      <w:pPr>
        <w:pStyle w:val="MSDS-TZeile"/>
        <w:ind w:left="0"/>
        <w:jc w:val="both"/>
        <w:rPr>
          <w:rFonts w:ascii="Times New Roman" w:hAnsi="Times New Roman" w:cs="Times New Roman"/>
          <w:snapToGrid w:val="0"/>
          <w:sz w:val="24"/>
          <w:lang w:val="en-US"/>
        </w:rPr>
      </w:pPr>
    </w:p>
    <w:p w:rsidR="000B5E58" w:rsidRPr="00DD7585" w:rsidRDefault="000B5E58" w:rsidP="00F37C80">
      <w:pPr>
        <w:pStyle w:val="MSDS-TZeile"/>
        <w:ind w:left="0"/>
        <w:jc w:val="both"/>
        <w:rPr>
          <w:rFonts w:ascii="Times New Roman" w:hAnsi="Times New Roman" w:cs="Times New Roman"/>
          <w:sz w:val="24"/>
          <w:lang w:val="en-US"/>
        </w:rPr>
      </w:pPr>
      <w:r w:rsidRPr="00DD7585">
        <w:rPr>
          <w:rFonts w:ascii="Times New Roman" w:hAnsi="Times New Roman" w:cs="Times New Roman"/>
          <w:snapToGrid w:val="0"/>
          <w:sz w:val="24"/>
          <w:lang w:val="en-US"/>
        </w:rPr>
        <w:t>Gushow TS, Bell TJ, Burek JD et al. 1982.  Nitroethane: a 4-day and 13-week inhalation study in rats and mice. Dow Chemical USA R &amp; D Report HET-K-4567-2, dated February 9, 1982.</w:t>
      </w:r>
    </w:p>
    <w:p w:rsidR="000B5E58" w:rsidRDefault="000B5E58" w:rsidP="00F37C80">
      <w:pPr>
        <w:pStyle w:val="MSDS-TUZeile"/>
        <w:ind w:left="0"/>
        <w:jc w:val="both"/>
        <w:rPr>
          <w:rFonts w:ascii="Times New Roman" w:hAnsi="Times New Roman" w:cs="Times New Roman"/>
          <w:sz w:val="24"/>
          <w:lang w:val="en-US"/>
        </w:rPr>
      </w:pPr>
    </w:p>
    <w:p w:rsidR="000B5E58" w:rsidRPr="00DD7585" w:rsidRDefault="000B5E58" w:rsidP="00F37C80">
      <w:pPr>
        <w:pStyle w:val="MSDS-TZeile"/>
        <w:ind w:left="0"/>
        <w:jc w:val="both"/>
        <w:rPr>
          <w:rFonts w:ascii="Times New Roman" w:hAnsi="Times New Roman" w:cs="Times New Roman"/>
          <w:sz w:val="24"/>
          <w:lang w:val="en-US"/>
        </w:rPr>
      </w:pPr>
      <w:r w:rsidRPr="00DD7585">
        <w:rPr>
          <w:rFonts w:ascii="Times New Roman" w:hAnsi="Times New Roman" w:cs="Times New Roman"/>
          <w:sz w:val="24"/>
        </w:rPr>
        <w:t xml:space="preserve">Haas-Jobelius, M. 1988. Untersuchungen mit 1- und 2-nitropropan zur pharmakokinetik und zum metabolismus in ratten und primaten. Dissertation for the Institut fur Okologische Chemie der Technischen Universitat Munchen in Weihenstephan/Freising. </w:t>
      </w:r>
      <w:proofErr w:type="gramStart"/>
      <w:r w:rsidRPr="00DD7585">
        <w:rPr>
          <w:rFonts w:ascii="Times New Roman" w:hAnsi="Times New Roman" w:cs="Times New Roman"/>
          <w:sz w:val="24"/>
          <w:lang w:val="en-US"/>
        </w:rPr>
        <w:t>English translation.</w:t>
      </w:r>
      <w:proofErr w:type="gramEnd"/>
    </w:p>
    <w:p w:rsidR="000B5E58" w:rsidRDefault="000B5E58" w:rsidP="00F37C80">
      <w:pPr>
        <w:jc w:val="both"/>
      </w:pPr>
    </w:p>
    <w:p w:rsidR="00023B8A" w:rsidRPr="00F37C80" w:rsidRDefault="00B320DF" w:rsidP="00F37C80">
      <w:pPr>
        <w:pStyle w:val="MSDS-Zeile"/>
        <w:jc w:val="both"/>
        <w:rPr>
          <w:sz w:val="24"/>
          <w:szCs w:val="24"/>
        </w:rPr>
      </w:pPr>
      <w:r w:rsidRPr="00F37C80">
        <w:rPr>
          <w:sz w:val="24"/>
          <w:szCs w:val="24"/>
        </w:rPr>
        <w:t>Haas-Jobelius, M. Coulston, F. And Korte, F. (1992). Effects of Short-Term Inhalation Exposure to 1-Nitropropane and 2-Nitropropane on Rat Liver Enzymes.  Ecotoxicology and Environmental Safety 23: 253-259.</w:t>
      </w:r>
    </w:p>
    <w:p w:rsidR="00023B8A" w:rsidRPr="00DD7585" w:rsidRDefault="00023B8A" w:rsidP="00F37C80">
      <w:pPr>
        <w:jc w:val="both"/>
      </w:pPr>
    </w:p>
    <w:p w:rsidR="000B5E58" w:rsidRPr="00DD7585" w:rsidRDefault="000B5E58" w:rsidP="00F37C80">
      <w:pPr>
        <w:pStyle w:val="MSDS-TZeile"/>
        <w:ind w:left="0"/>
        <w:jc w:val="both"/>
        <w:rPr>
          <w:rFonts w:ascii="Times New Roman" w:hAnsi="Times New Roman" w:cs="Times New Roman"/>
          <w:snapToGrid w:val="0"/>
          <w:sz w:val="24"/>
          <w:lang w:val="en-US"/>
        </w:rPr>
      </w:pPr>
      <w:proofErr w:type="gramStart"/>
      <w:r w:rsidRPr="00DD7585">
        <w:rPr>
          <w:rFonts w:ascii="Times New Roman" w:hAnsi="Times New Roman" w:cs="Times New Roman"/>
          <w:snapToGrid w:val="0"/>
          <w:sz w:val="24"/>
          <w:lang w:val="en-US"/>
        </w:rPr>
        <w:t>Haworth S, Lawlor T, Mortelmans K, Speck W and Zeiger E. 1983.</w:t>
      </w:r>
      <w:proofErr w:type="gramEnd"/>
      <w:r w:rsidRPr="00DD7585">
        <w:rPr>
          <w:rFonts w:ascii="Times New Roman" w:hAnsi="Times New Roman" w:cs="Times New Roman"/>
          <w:snapToGrid w:val="0"/>
          <w:sz w:val="24"/>
          <w:lang w:val="en-US"/>
        </w:rPr>
        <w:t xml:space="preserve"> Environ Mutagen (suppl. 1):3-142.</w:t>
      </w:r>
    </w:p>
    <w:p w:rsidR="000B5E58" w:rsidRPr="00DD7585" w:rsidRDefault="000B5E58" w:rsidP="00F37C80">
      <w:pPr>
        <w:pStyle w:val="MSDS-TZeile"/>
        <w:ind w:left="0"/>
        <w:jc w:val="both"/>
        <w:rPr>
          <w:rFonts w:ascii="Times New Roman" w:hAnsi="Times New Roman" w:cs="Times New Roman"/>
          <w:snapToGrid w:val="0"/>
          <w:sz w:val="24"/>
          <w:lang w:val="en-US"/>
        </w:rPr>
      </w:pPr>
    </w:p>
    <w:p w:rsidR="000B5E58" w:rsidRPr="00DD7585" w:rsidRDefault="000B5E58" w:rsidP="00F37C80">
      <w:pPr>
        <w:pStyle w:val="MSDS-TZeile"/>
        <w:ind w:left="0"/>
        <w:jc w:val="both"/>
        <w:rPr>
          <w:rFonts w:ascii="Times New Roman" w:hAnsi="Times New Roman" w:cs="Times New Roman"/>
          <w:sz w:val="24"/>
          <w:lang w:val="en-US"/>
        </w:rPr>
      </w:pPr>
      <w:proofErr w:type="gramStart"/>
      <w:r w:rsidRPr="00DD7585">
        <w:rPr>
          <w:rFonts w:ascii="Times New Roman" w:hAnsi="Times New Roman" w:cs="Times New Roman"/>
          <w:snapToGrid w:val="0"/>
          <w:sz w:val="24"/>
          <w:lang w:val="en-US"/>
        </w:rPr>
        <w:t>Heicklen J, Partymiller K and Kelly N. 1979.</w:t>
      </w:r>
      <w:proofErr w:type="gramEnd"/>
      <w:r w:rsidRPr="00DD7585">
        <w:rPr>
          <w:rFonts w:ascii="Times New Roman" w:hAnsi="Times New Roman" w:cs="Times New Roman"/>
          <w:snapToGrid w:val="0"/>
          <w:sz w:val="24"/>
          <w:lang w:val="en-US"/>
        </w:rPr>
        <w:t xml:space="preserve"> Teratology study in mice subjected to inhalation of diethylhydroxylamine, nitroethane and diethylamine hydrogen sulfite.  Environ Res 20:450-454.</w:t>
      </w:r>
    </w:p>
    <w:p w:rsidR="000B5E58" w:rsidRPr="00DD7585" w:rsidRDefault="000B5E58" w:rsidP="00F37C80">
      <w:pPr>
        <w:jc w:val="both"/>
      </w:pPr>
    </w:p>
    <w:p w:rsidR="000B5E58" w:rsidRPr="00DD7585" w:rsidRDefault="000B5E58" w:rsidP="00F37C80">
      <w:pPr>
        <w:pStyle w:val="MSDS-TZeile"/>
        <w:ind w:left="0"/>
        <w:jc w:val="both"/>
        <w:rPr>
          <w:rFonts w:ascii="Times New Roman" w:hAnsi="Times New Roman" w:cs="Times New Roman"/>
          <w:snapToGrid w:val="0"/>
          <w:sz w:val="24"/>
          <w:lang w:val="en-US"/>
        </w:rPr>
      </w:pPr>
      <w:proofErr w:type="gramStart"/>
      <w:r w:rsidRPr="00DD7585">
        <w:rPr>
          <w:rFonts w:ascii="Times New Roman" w:hAnsi="Times New Roman" w:cs="Times New Roman"/>
          <w:snapToGrid w:val="0"/>
          <w:sz w:val="24"/>
          <w:lang w:val="en-US"/>
        </w:rPr>
        <w:t>Hite M and Skeggs H. 1979.</w:t>
      </w:r>
      <w:proofErr w:type="gramEnd"/>
      <w:r w:rsidRPr="00DD7585">
        <w:rPr>
          <w:rFonts w:ascii="Times New Roman" w:hAnsi="Times New Roman" w:cs="Times New Roman"/>
          <w:snapToGrid w:val="0"/>
          <w:sz w:val="24"/>
          <w:lang w:val="en-US"/>
        </w:rPr>
        <w:t xml:space="preserve"> </w:t>
      </w:r>
      <w:proofErr w:type="gramStart"/>
      <w:r w:rsidRPr="00DD7585">
        <w:rPr>
          <w:rFonts w:ascii="Times New Roman" w:hAnsi="Times New Roman" w:cs="Times New Roman"/>
          <w:snapToGrid w:val="0"/>
          <w:sz w:val="24"/>
          <w:lang w:val="en-US"/>
        </w:rPr>
        <w:t>Mutagenic evalu</w:t>
      </w:r>
      <w:r>
        <w:rPr>
          <w:rFonts w:ascii="Times New Roman" w:hAnsi="Times New Roman" w:cs="Times New Roman"/>
          <w:snapToGrid w:val="0"/>
          <w:sz w:val="24"/>
          <w:lang w:val="en-US"/>
        </w:rPr>
        <w:t xml:space="preserve">ation of nitroparaffins in the </w:t>
      </w:r>
      <w:r w:rsidRPr="00DD7585">
        <w:rPr>
          <w:rFonts w:ascii="Times New Roman" w:hAnsi="Times New Roman" w:cs="Times New Roman"/>
          <w:snapToGrid w:val="0"/>
          <w:sz w:val="24"/>
          <w:lang w:val="en-US"/>
        </w:rPr>
        <w:t>Salmonella typhimurium/mammalian-microsome test and the micronucleus test.</w:t>
      </w:r>
      <w:proofErr w:type="gramEnd"/>
      <w:r w:rsidRPr="00DD7585">
        <w:rPr>
          <w:rFonts w:ascii="Times New Roman" w:hAnsi="Times New Roman" w:cs="Times New Roman"/>
          <w:snapToGrid w:val="0"/>
          <w:sz w:val="24"/>
          <w:lang w:val="en-US"/>
        </w:rPr>
        <w:t xml:space="preserve"> Environ Mutagen 1:383-389.</w:t>
      </w:r>
    </w:p>
    <w:p w:rsidR="000B5E58" w:rsidRDefault="000B5E58" w:rsidP="00F37C80">
      <w:pPr>
        <w:pStyle w:val="MSDS-TUZeile"/>
        <w:ind w:left="0"/>
        <w:jc w:val="both"/>
        <w:rPr>
          <w:rFonts w:ascii="Times New Roman" w:hAnsi="Times New Roman" w:cs="Times New Roman"/>
          <w:sz w:val="24"/>
          <w:lang w:val="en-US"/>
        </w:rPr>
      </w:pPr>
    </w:p>
    <w:p w:rsidR="00DD7585" w:rsidRPr="00DD7585" w:rsidRDefault="00DD7585" w:rsidP="00F37C80">
      <w:pPr>
        <w:pStyle w:val="MSDS-TUZeile"/>
        <w:ind w:left="0"/>
        <w:jc w:val="both"/>
        <w:rPr>
          <w:rFonts w:ascii="Times New Roman" w:hAnsi="Times New Roman" w:cs="Times New Roman"/>
          <w:sz w:val="24"/>
          <w:lang w:val="en-US"/>
        </w:rPr>
      </w:pPr>
      <w:proofErr w:type="gramStart"/>
      <w:r w:rsidRPr="00A508E9">
        <w:rPr>
          <w:rFonts w:ascii="Times New Roman" w:hAnsi="Times New Roman" w:cs="Times New Roman"/>
          <w:sz w:val="24"/>
          <w:lang w:val="en-US"/>
        </w:rPr>
        <w:t>HSDB (2005) Hazardous Substances Databank.</w:t>
      </w:r>
      <w:proofErr w:type="gramEnd"/>
      <w:r w:rsidRPr="00A508E9">
        <w:rPr>
          <w:rFonts w:ascii="Times New Roman" w:hAnsi="Times New Roman" w:cs="Times New Roman"/>
          <w:sz w:val="24"/>
          <w:lang w:val="en-US"/>
        </w:rPr>
        <w:t xml:space="preserve">  </w:t>
      </w:r>
      <w:hyperlink r:id="rId16" w:history="1">
        <w:r w:rsidRPr="00DD7585">
          <w:rPr>
            <w:rStyle w:val="Hyperlink"/>
            <w:rFonts w:cs="Times New Roman"/>
            <w:sz w:val="24"/>
            <w:lang w:val="en-US"/>
          </w:rPr>
          <w:t>http://toxnet.nlm.nih.gov/cgi-bin/sis/htmlgen?HSDB</w:t>
        </w:r>
      </w:hyperlink>
    </w:p>
    <w:p w:rsidR="00DD7585" w:rsidRDefault="00DD7585" w:rsidP="00F37C80">
      <w:pPr>
        <w:pStyle w:val="MSDS-TZeile"/>
        <w:ind w:left="0"/>
        <w:jc w:val="both"/>
        <w:rPr>
          <w:rFonts w:ascii="Times New Roman" w:hAnsi="Times New Roman" w:cs="Times New Roman"/>
          <w:snapToGrid w:val="0"/>
          <w:sz w:val="24"/>
          <w:lang w:val="en-US"/>
        </w:rPr>
      </w:pPr>
    </w:p>
    <w:p w:rsidR="00DD7585" w:rsidRPr="00DD7585" w:rsidRDefault="00DD7585" w:rsidP="00F37C80">
      <w:pPr>
        <w:pStyle w:val="MSDS-TUZeile"/>
        <w:ind w:left="0"/>
        <w:jc w:val="both"/>
        <w:rPr>
          <w:rFonts w:ascii="Times New Roman" w:hAnsi="Times New Roman" w:cs="Times New Roman"/>
          <w:sz w:val="24"/>
          <w:lang w:val="en-US"/>
        </w:rPr>
      </w:pPr>
      <w:proofErr w:type="gramStart"/>
      <w:r w:rsidRPr="00DD7585">
        <w:rPr>
          <w:rFonts w:ascii="Times New Roman" w:hAnsi="Times New Roman" w:cs="Times New Roman"/>
          <w:sz w:val="24"/>
          <w:lang w:val="en-US"/>
        </w:rPr>
        <w:t>IMC (1979) International Minerals &amp; Chemical Company.</w:t>
      </w:r>
      <w:proofErr w:type="gramEnd"/>
      <w:r w:rsidRPr="00DD7585">
        <w:rPr>
          <w:rFonts w:ascii="Times New Roman" w:hAnsi="Times New Roman" w:cs="Times New Roman"/>
          <w:sz w:val="24"/>
          <w:lang w:val="en-US"/>
        </w:rPr>
        <w:t xml:space="preserve"> </w:t>
      </w:r>
      <w:proofErr w:type="gramStart"/>
      <w:r w:rsidRPr="00DD7585">
        <w:rPr>
          <w:rFonts w:ascii="Times New Roman" w:hAnsi="Times New Roman" w:cs="Times New Roman"/>
          <w:sz w:val="24"/>
          <w:lang w:val="en-US"/>
        </w:rPr>
        <w:t>Sensitization Test #</w:t>
      </w:r>
      <w:r w:rsidR="00DD07A2" w:rsidRPr="00DD7585">
        <w:rPr>
          <w:rFonts w:ascii="Times New Roman" w:hAnsi="Times New Roman" w:cs="Times New Roman"/>
          <w:sz w:val="24"/>
          <w:lang w:val="en-US"/>
        </w:rPr>
        <w:t>79</w:t>
      </w:r>
      <w:r w:rsidR="00DD07A2">
        <w:rPr>
          <w:rFonts w:ascii="Times New Roman" w:hAnsi="Times New Roman" w:cs="Times New Roman"/>
          <w:sz w:val="24"/>
          <w:lang w:val="en-US"/>
        </w:rPr>
        <w:t>T</w:t>
      </w:r>
      <w:r w:rsidR="00DD07A2" w:rsidRPr="00DD7585">
        <w:rPr>
          <w:rFonts w:ascii="Times New Roman" w:hAnsi="Times New Roman" w:cs="Times New Roman"/>
          <w:sz w:val="24"/>
          <w:lang w:val="en-US"/>
        </w:rPr>
        <w:t>09</w:t>
      </w:r>
      <w:r w:rsidR="00DD07A2">
        <w:rPr>
          <w:rFonts w:ascii="Times New Roman" w:hAnsi="Times New Roman" w:cs="Times New Roman"/>
          <w:sz w:val="24"/>
          <w:lang w:val="en-US"/>
        </w:rPr>
        <w:t>8</w:t>
      </w:r>
      <w:r w:rsidRPr="00DD7585">
        <w:rPr>
          <w:rFonts w:ascii="Times New Roman" w:hAnsi="Times New Roman" w:cs="Times New Roman"/>
          <w:sz w:val="24"/>
          <w:lang w:val="en-US"/>
        </w:rPr>
        <w:t>.</w:t>
      </w:r>
      <w:proofErr w:type="gramEnd"/>
      <w:r w:rsidRPr="00DD7585">
        <w:rPr>
          <w:rFonts w:ascii="Times New Roman" w:hAnsi="Times New Roman" w:cs="Times New Roman"/>
          <w:sz w:val="24"/>
          <w:lang w:val="en-US"/>
        </w:rPr>
        <w:t xml:space="preserve"> </w:t>
      </w:r>
      <w:proofErr w:type="gramStart"/>
      <w:r w:rsidRPr="00DD7585">
        <w:rPr>
          <w:rFonts w:ascii="Times New Roman" w:hAnsi="Times New Roman" w:cs="Times New Roman"/>
          <w:sz w:val="24"/>
          <w:lang w:val="en-US"/>
        </w:rPr>
        <w:t>Notebook reference 188</w:t>
      </w:r>
      <w:r w:rsidR="00DD2630">
        <w:rPr>
          <w:rFonts w:ascii="Times New Roman" w:hAnsi="Times New Roman" w:cs="Times New Roman"/>
          <w:sz w:val="24"/>
          <w:lang w:val="en-US"/>
        </w:rPr>
        <w:t>.</w:t>
      </w:r>
      <w:proofErr w:type="gramEnd"/>
      <w:r w:rsidR="00DD2630">
        <w:rPr>
          <w:rFonts w:ascii="Times New Roman" w:hAnsi="Times New Roman" w:cs="Times New Roman"/>
          <w:sz w:val="24"/>
          <w:lang w:val="en-US"/>
        </w:rPr>
        <w:t xml:space="preserve">  December 31.</w:t>
      </w:r>
      <w:r w:rsidRPr="00DD7585">
        <w:rPr>
          <w:rFonts w:ascii="Times New Roman" w:hAnsi="Times New Roman" w:cs="Times New Roman"/>
          <w:sz w:val="24"/>
          <w:lang w:val="en-US"/>
        </w:rPr>
        <w:t xml:space="preserve"> </w:t>
      </w:r>
      <w:proofErr w:type="gramStart"/>
      <w:r w:rsidRPr="00DD7585">
        <w:rPr>
          <w:rFonts w:ascii="Times New Roman" w:hAnsi="Times New Roman" w:cs="Times New Roman"/>
          <w:sz w:val="24"/>
          <w:lang w:val="en-US"/>
        </w:rPr>
        <w:t>pages</w:t>
      </w:r>
      <w:proofErr w:type="gramEnd"/>
      <w:r w:rsidRPr="00DD7585">
        <w:rPr>
          <w:rFonts w:ascii="Times New Roman" w:hAnsi="Times New Roman" w:cs="Times New Roman"/>
          <w:sz w:val="24"/>
          <w:lang w:val="en-US"/>
        </w:rPr>
        <w:t xml:space="preserve"> 23-33.</w:t>
      </w:r>
      <w:r w:rsidR="00DD2630">
        <w:rPr>
          <w:rFonts w:ascii="Times New Roman" w:hAnsi="Times New Roman" w:cs="Times New Roman"/>
          <w:sz w:val="24"/>
          <w:lang w:val="en-US"/>
        </w:rPr>
        <w:t xml:space="preserve"> </w:t>
      </w:r>
    </w:p>
    <w:p w:rsidR="00DD7585" w:rsidRDefault="00DD7585" w:rsidP="00F37C80">
      <w:pPr>
        <w:pStyle w:val="MSDS-TZeile"/>
        <w:ind w:left="0"/>
        <w:jc w:val="both"/>
        <w:rPr>
          <w:rFonts w:ascii="Times New Roman" w:hAnsi="Times New Roman" w:cs="Times New Roman"/>
          <w:snapToGrid w:val="0"/>
          <w:sz w:val="24"/>
          <w:lang w:val="en-US"/>
        </w:rPr>
      </w:pPr>
    </w:p>
    <w:p w:rsidR="00AC0B97" w:rsidRPr="00DD7585" w:rsidRDefault="00DD7585" w:rsidP="00F37C80">
      <w:pPr>
        <w:pStyle w:val="MSDS-TZeile"/>
        <w:ind w:left="0"/>
        <w:jc w:val="both"/>
        <w:rPr>
          <w:rFonts w:ascii="Times New Roman" w:hAnsi="Times New Roman" w:cs="Times New Roman"/>
          <w:snapToGrid w:val="0"/>
          <w:sz w:val="24"/>
          <w:lang w:val="en-US"/>
        </w:rPr>
      </w:pPr>
      <w:proofErr w:type="gramStart"/>
      <w:r>
        <w:rPr>
          <w:rFonts w:ascii="Times New Roman" w:hAnsi="Times New Roman" w:cs="Times New Roman"/>
          <w:snapToGrid w:val="0"/>
          <w:sz w:val="24"/>
          <w:lang w:val="en-US"/>
        </w:rPr>
        <w:t>IMC (1980</w:t>
      </w:r>
      <w:r w:rsidR="00963E84">
        <w:rPr>
          <w:rFonts w:ascii="Times New Roman" w:hAnsi="Times New Roman" w:cs="Times New Roman"/>
          <w:snapToGrid w:val="0"/>
          <w:sz w:val="24"/>
          <w:lang w:val="en-US"/>
        </w:rPr>
        <w:t>a</w:t>
      </w:r>
      <w:r>
        <w:rPr>
          <w:rFonts w:ascii="Times New Roman" w:hAnsi="Times New Roman" w:cs="Times New Roman"/>
          <w:snapToGrid w:val="0"/>
          <w:sz w:val="24"/>
          <w:lang w:val="en-US"/>
        </w:rPr>
        <w:t xml:space="preserve">) </w:t>
      </w:r>
      <w:r w:rsidR="00AC0B97" w:rsidRPr="00DD7585">
        <w:rPr>
          <w:rFonts w:ascii="Times New Roman" w:hAnsi="Times New Roman" w:cs="Times New Roman"/>
          <w:snapToGrid w:val="0"/>
          <w:sz w:val="24"/>
          <w:lang w:val="en-US"/>
        </w:rPr>
        <w:t>International Minerals and Chemical Corporation.</w:t>
      </w:r>
      <w:proofErr w:type="gramEnd"/>
      <w:r w:rsidR="00AC0B97" w:rsidRPr="00DD7585">
        <w:rPr>
          <w:rFonts w:ascii="Times New Roman" w:hAnsi="Times New Roman" w:cs="Times New Roman"/>
          <w:snapToGrid w:val="0"/>
          <w:sz w:val="24"/>
          <w:lang w:val="en-US"/>
        </w:rPr>
        <w:t xml:space="preserve"> Toxicology protocol No. 1 to evaluate acute oral toxicity of chemicals or products: Procedure for determining oral toxicity or oral LD50 in rats, test material P-1354 (nitromethane).  Study Number 80T116, dated October 15, 1980 (unpublished study).</w:t>
      </w:r>
    </w:p>
    <w:p w:rsidR="00AC0B97" w:rsidRPr="00DD7585" w:rsidRDefault="00AC0B97" w:rsidP="00F37C80">
      <w:pPr>
        <w:jc w:val="both"/>
      </w:pPr>
    </w:p>
    <w:p w:rsidR="00AC0B97" w:rsidRPr="00DD7585" w:rsidRDefault="00AC0B97" w:rsidP="00F37C80">
      <w:pPr>
        <w:pStyle w:val="MSDS-TZeile"/>
        <w:ind w:left="0"/>
        <w:jc w:val="both"/>
        <w:rPr>
          <w:rFonts w:ascii="Times New Roman" w:hAnsi="Times New Roman" w:cs="Times New Roman"/>
          <w:sz w:val="24"/>
          <w:lang w:val="en-US"/>
        </w:rPr>
      </w:pPr>
      <w:proofErr w:type="gramStart"/>
      <w:r w:rsidRPr="00DD7585">
        <w:rPr>
          <w:rFonts w:ascii="Times New Roman" w:hAnsi="Times New Roman" w:cs="Times New Roman"/>
          <w:snapToGrid w:val="0"/>
          <w:sz w:val="24"/>
          <w:lang w:val="en-US"/>
        </w:rPr>
        <w:t>International Minerals and Chemical Corporation (IMC).</w:t>
      </w:r>
      <w:proofErr w:type="gramEnd"/>
      <w:r w:rsidRPr="00DD7585">
        <w:rPr>
          <w:rFonts w:ascii="Times New Roman" w:hAnsi="Times New Roman" w:cs="Times New Roman"/>
          <w:snapToGrid w:val="0"/>
          <w:sz w:val="24"/>
          <w:lang w:val="en-US"/>
        </w:rPr>
        <w:t xml:space="preserve"> 1980b. Toxicology protocol No. 5 to determine acute dermal toxicity of chemicals or products: Procedure for determining dermal toxicity or dermal LD50 in rabbits, test material P-1354 (nitromethane).  Study Number 80T074, dated July 7, 1980 (unpublished study).</w:t>
      </w:r>
    </w:p>
    <w:p w:rsidR="00AC0B97" w:rsidRDefault="00AC0B97" w:rsidP="00F37C80">
      <w:pPr>
        <w:jc w:val="both"/>
      </w:pPr>
    </w:p>
    <w:p w:rsidR="00451B06" w:rsidRDefault="00451B06" w:rsidP="00F37C80">
      <w:pPr>
        <w:jc w:val="both"/>
        <w:rPr>
          <w:snapToGrid w:val="0"/>
          <w:color w:val="000000"/>
        </w:rPr>
      </w:pPr>
      <w:r w:rsidRPr="00F7529D">
        <w:rPr>
          <w:snapToGrid w:val="0"/>
          <w:color w:val="000000"/>
        </w:rPr>
        <w:t>Kliesch, U. and Adler, I.D. (1987) Micronucleus test in bone marrow of mice treated with 1-nitropropane, 2-nitropropane, and cisplatin.  Mutation Research, 192, 181-184.</w:t>
      </w:r>
    </w:p>
    <w:p w:rsidR="00451B06" w:rsidRPr="00DD7585" w:rsidRDefault="00451B06" w:rsidP="00F37C80">
      <w:pPr>
        <w:jc w:val="both"/>
      </w:pPr>
    </w:p>
    <w:p w:rsidR="00AC0B97" w:rsidRPr="00DD7585" w:rsidRDefault="00AC0B97" w:rsidP="00F37C80">
      <w:pPr>
        <w:widowControl w:val="0"/>
        <w:jc w:val="both"/>
      </w:pPr>
      <w:r w:rsidRPr="00E430D0">
        <w:rPr>
          <w:lang w:val="sv-SE"/>
        </w:rPr>
        <w:t xml:space="preserve">Klimisch HJ, Andreae M and Tillmann U. 1997.  </w:t>
      </w:r>
      <w:proofErr w:type="gramStart"/>
      <w:r w:rsidRPr="00DD7585">
        <w:t>A systematic approach for evaluating the quality of experimental toxicological and ecotoxicological data.</w:t>
      </w:r>
      <w:proofErr w:type="gramEnd"/>
      <w:r w:rsidRPr="00DD7585">
        <w:t xml:space="preserve"> Reg Tox Pharm 25:1-5.</w:t>
      </w:r>
    </w:p>
    <w:p w:rsidR="00AC0B97" w:rsidRPr="00DD7585" w:rsidRDefault="00AC0B97" w:rsidP="00F37C80">
      <w:pPr>
        <w:jc w:val="both"/>
      </w:pPr>
    </w:p>
    <w:p w:rsidR="008A1E52" w:rsidRPr="00DD7585" w:rsidRDefault="008A1E52" w:rsidP="00F37C80">
      <w:pPr>
        <w:pStyle w:val="MSDS-TZeile"/>
        <w:ind w:left="0"/>
        <w:jc w:val="both"/>
        <w:rPr>
          <w:rFonts w:ascii="Times New Roman" w:hAnsi="Times New Roman" w:cs="Times New Roman"/>
          <w:sz w:val="24"/>
          <w:lang w:val="en-US"/>
        </w:rPr>
      </w:pPr>
      <w:proofErr w:type="gramStart"/>
      <w:r w:rsidRPr="00DD7585">
        <w:rPr>
          <w:rFonts w:ascii="Times New Roman" w:hAnsi="Times New Roman" w:cs="Times New Roman"/>
          <w:snapToGrid w:val="0"/>
          <w:sz w:val="24"/>
          <w:lang w:val="en-US"/>
        </w:rPr>
        <w:t>Krume Research Laboratories.</w:t>
      </w:r>
      <w:proofErr w:type="gramEnd"/>
      <w:r w:rsidRPr="00DD7585">
        <w:rPr>
          <w:rFonts w:ascii="Times New Roman" w:hAnsi="Times New Roman" w:cs="Times New Roman"/>
          <w:snapToGrid w:val="0"/>
          <w:sz w:val="24"/>
          <w:lang w:val="en-US"/>
        </w:rPr>
        <w:t xml:space="preserve"> 1993. Test on biodegradability of 1-nitropropane by microorganisms.  Test number 12364, dated August 8, 1993 (unpublished study).</w:t>
      </w:r>
    </w:p>
    <w:p w:rsidR="008A1E52" w:rsidRDefault="008A1E52" w:rsidP="00F37C80">
      <w:pPr>
        <w:pStyle w:val="MSDS-TZeile"/>
        <w:ind w:left="0"/>
        <w:jc w:val="both"/>
        <w:rPr>
          <w:rFonts w:ascii="Times New Roman" w:hAnsi="Times New Roman" w:cs="Times New Roman"/>
          <w:sz w:val="24"/>
          <w:lang w:val="en-US"/>
        </w:rPr>
      </w:pPr>
    </w:p>
    <w:p w:rsidR="00AC0B97" w:rsidRPr="00DD7585" w:rsidRDefault="00AC0B97" w:rsidP="00F37C80">
      <w:pPr>
        <w:pStyle w:val="MSDS-TZeile"/>
        <w:ind w:left="0"/>
        <w:jc w:val="both"/>
        <w:rPr>
          <w:rFonts w:ascii="Times New Roman" w:hAnsi="Times New Roman" w:cs="Times New Roman"/>
          <w:sz w:val="24"/>
          <w:lang w:val="en-US"/>
        </w:rPr>
      </w:pPr>
      <w:proofErr w:type="gramStart"/>
      <w:r w:rsidRPr="00DD7585">
        <w:rPr>
          <w:rFonts w:ascii="Times New Roman" w:hAnsi="Times New Roman" w:cs="Times New Roman"/>
          <w:sz w:val="24"/>
          <w:lang w:val="en-US"/>
        </w:rPr>
        <w:t>Lewis TR, Ulrich CE and Busey WM. 1977.</w:t>
      </w:r>
      <w:proofErr w:type="gramEnd"/>
      <w:r w:rsidRPr="00DD7585">
        <w:rPr>
          <w:rFonts w:ascii="Times New Roman" w:hAnsi="Times New Roman" w:cs="Times New Roman"/>
          <w:sz w:val="24"/>
          <w:lang w:val="en-US"/>
        </w:rPr>
        <w:t xml:space="preserve"> </w:t>
      </w:r>
      <w:proofErr w:type="gramStart"/>
      <w:r w:rsidRPr="00DD7585">
        <w:rPr>
          <w:rFonts w:ascii="Times New Roman" w:hAnsi="Times New Roman" w:cs="Times New Roman"/>
          <w:sz w:val="24"/>
          <w:lang w:val="en-US"/>
        </w:rPr>
        <w:t>Subchronic inhalation toxicity of nitromethane and 2-nitropropane.</w:t>
      </w:r>
      <w:proofErr w:type="gramEnd"/>
      <w:r w:rsidRPr="00DD7585">
        <w:rPr>
          <w:rFonts w:ascii="Times New Roman" w:hAnsi="Times New Roman" w:cs="Times New Roman"/>
          <w:sz w:val="24"/>
          <w:lang w:val="en-US"/>
        </w:rPr>
        <w:t xml:space="preserve"> J Environ Pathol Toxicol 2:233-24.</w:t>
      </w:r>
    </w:p>
    <w:p w:rsidR="00AC0B97" w:rsidRPr="00DD7585" w:rsidRDefault="00AC0B97" w:rsidP="00F37C80">
      <w:pPr>
        <w:pStyle w:val="MSDS-TZeile"/>
        <w:ind w:left="0"/>
        <w:jc w:val="both"/>
        <w:rPr>
          <w:rFonts w:ascii="Times New Roman" w:hAnsi="Times New Roman" w:cs="Times New Roman"/>
          <w:sz w:val="24"/>
          <w:lang w:val="en-US"/>
        </w:rPr>
      </w:pPr>
      <w:r w:rsidRPr="00DD7585">
        <w:rPr>
          <w:rFonts w:ascii="Times New Roman" w:hAnsi="Times New Roman" w:cs="Times New Roman"/>
          <w:snapToGrid w:val="0"/>
          <w:sz w:val="24"/>
          <w:lang w:val="en-US"/>
        </w:rPr>
        <w:t>Lide DR (</w:t>
      </w:r>
      <w:proofErr w:type="gramStart"/>
      <w:r w:rsidRPr="00DD7585">
        <w:rPr>
          <w:rFonts w:ascii="Times New Roman" w:hAnsi="Times New Roman" w:cs="Times New Roman"/>
          <w:snapToGrid w:val="0"/>
          <w:sz w:val="24"/>
          <w:lang w:val="en-US"/>
        </w:rPr>
        <w:t>ed</w:t>
      </w:r>
      <w:proofErr w:type="gramEnd"/>
      <w:r w:rsidRPr="00DD7585">
        <w:rPr>
          <w:rFonts w:ascii="Times New Roman" w:hAnsi="Times New Roman" w:cs="Times New Roman"/>
          <w:snapToGrid w:val="0"/>
          <w:sz w:val="24"/>
          <w:lang w:val="en-US"/>
        </w:rPr>
        <w:t>.). 2003. The CRC Handbook of Chemistry and Physics, 84th Ed.  Boca Raton, FL: CRC Press.</w:t>
      </w:r>
    </w:p>
    <w:p w:rsidR="00AC0B97" w:rsidRPr="00DD7585" w:rsidRDefault="00AC0B97" w:rsidP="00F37C80">
      <w:pPr>
        <w:widowControl w:val="0"/>
        <w:spacing w:line="304" w:lineRule="atLeast"/>
        <w:jc w:val="both"/>
      </w:pPr>
    </w:p>
    <w:p w:rsidR="008A1E52" w:rsidRPr="00DD7585" w:rsidRDefault="008A1E52" w:rsidP="00F37C80">
      <w:pPr>
        <w:pStyle w:val="MSDS-TZeile"/>
        <w:ind w:left="0"/>
        <w:jc w:val="both"/>
        <w:rPr>
          <w:rFonts w:ascii="Times New Roman" w:hAnsi="Times New Roman" w:cs="Times New Roman"/>
          <w:sz w:val="24"/>
          <w:lang w:val="en-US"/>
        </w:rPr>
      </w:pPr>
      <w:r w:rsidRPr="00DD7585">
        <w:rPr>
          <w:rFonts w:ascii="Times New Roman" w:hAnsi="Times New Roman" w:cs="Times New Roman"/>
          <w:snapToGrid w:val="0"/>
          <w:sz w:val="24"/>
          <w:lang w:val="en-US"/>
        </w:rPr>
        <w:t>Lumsden AM, Mullee DM, Bartlett AJ. 1994.  SafePharm Laboratories (UK); Determination of Partition Coefficient; Project Number 630/4R, dated Nov.16, 1994 (unpublished study).</w:t>
      </w:r>
    </w:p>
    <w:p w:rsidR="008A1E52" w:rsidRDefault="008A1E52" w:rsidP="00F37C80">
      <w:pPr>
        <w:pStyle w:val="MSDS-TZeile"/>
        <w:ind w:left="0"/>
        <w:jc w:val="both"/>
        <w:rPr>
          <w:rFonts w:ascii="Times New Roman" w:hAnsi="Times New Roman" w:cs="Times New Roman"/>
          <w:sz w:val="24"/>
          <w:lang w:val="en-US"/>
        </w:rPr>
      </w:pPr>
    </w:p>
    <w:p w:rsidR="00EA2572" w:rsidRPr="00DD7585" w:rsidRDefault="00EA2572" w:rsidP="00F37C80">
      <w:pPr>
        <w:pStyle w:val="MSDS-TZeile"/>
        <w:ind w:left="0"/>
        <w:jc w:val="both"/>
        <w:rPr>
          <w:lang w:val="en-US"/>
        </w:rPr>
      </w:pPr>
      <w:proofErr w:type="gramStart"/>
      <w:r w:rsidRPr="00DD7585">
        <w:rPr>
          <w:rFonts w:ascii="Times New Roman" w:hAnsi="Times New Roman" w:cs="Times New Roman"/>
          <w:sz w:val="24"/>
          <w:lang w:val="en-US"/>
        </w:rPr>
        <w:t>Machle W, Scott EW and Treon J. 1942.</w:t>
      </w:r>
      <w:proofErr w:type="gramEnd"/>
      <w:r w:rsidRPr="00DD7585">
        <w:rPr>
          <w:rFonts w:ascii="Times New Roman" w:hAnsi="Times New Roman" w:cs="Times New Roman"/>
          <w:sz w:val="24"/>
          <w:lang w:val="en-US"/>
        </w:rPr>
        <w:t xml:space="preserve"> </w:t>
      </w:r>
      <w:proofErr w:type="gramStart"/>
      <w:r w:rsidRPr="00DD7585">
        <w:rPr>
          <w:rFonts w:ascii="Times New Roman" w:hAnsi="Times New Roman" w:cs="Times New Roman"/>
          <w:sz w:val="24"/>
          <w:lang w:val="en-US"/>
        </w:rPr>
        <w:t>The metabolism of mononitroparaffins.</w:t>
      </w:r>
      <w:proofErr w:type="gramEnd"/>
      <w:r w:rsidRPr="00DD7585">
        <w:rPr>
          <w:rFonts w:ascii="Times New Roman" w:hAnsi="Times New Roman" w:cs="Times New Roman"/>
          <w:sz w:val="24"/>
          <w:lang w:val="en-US"/>
        </w:rPr>
        <w:t xml:space="preserve"> I. Recovery of nitroethane from the animal organism. J. Ind. Hyg. </w:t>
      </w:r>
      <w:proofErr w:type="gramStart"/>
      <w:r w:rsidRPr="00DD7585">
        <w:rPr>
          <w:rFonts w:ascii="Times New Roman" w:hAnsi="Times New Roman" w:cs="Times New Roman"/>
          <w:sz w:val="24"/>
          <w:lang w:val="en-US"/>
        </w:rPr>
        <w:t>Toxicol.</w:t>
      </w:r>
      <w:proofErr w:type="gramEnd"/>
      <w:r w:rsidRPr="00DD7585">
        <w:rPr>
          <w:rFonts w:ascii="Times New Roman" w:hAnsi="Times New Roman" w:cs="Times New Roman"/>
          <w:sz w:val="24"/>
          <w:lang w:val="en-US"/>
        </w:rPr>
        <w:t xml:space="preserve"> 24: 5-9</w:t>
      </w:r>
      <w:r w:rsidRPr="00DD7585">
        <w:rPr>
          <w:lang w:val="en-US"/>
        </w:rPr>
        <w:t>.</w:t>
      </w:r>
    </w:p>
    <w:p w:rsidR="00EA2572" w:rsidRPr="00DD7585" w:rsidRDefault="00EA2572" w:rsidP="00F37C80">
      <w:pPr>
        <w:jc w:val="both"/>
      </w:pPr>
    </w:p>
    <w:p w:rsidR="00AC0B97" w:rsidRPr="00DD7585" w:rsidRDefault="00AC0B97" w:rsidP="00F37C80">
      <w:pPr>
        <w:pStyle w:val="MSDS-TZeile"/>
        <w:ind w:left="0"/>
        <w:jc w:val="both"/>
        <w:rPr>
          <w:rFonts w:ascii="Times New Roman" w:hAnsi="Times New Roman" w:cs="Times New Roman"/>
          <w:snapToGrid w:val="0"/>
          <w:sz w:val="24"/>
          <w:lang w:val="en-US"/>
        </w:rPr>
      </w:pPr>
      <w:proofErr w:type="gramStart"/>
      <w:r w:rsidRPr="00DD7585">
        <w:rPr>
          <w:rFonts w:ascii="Times New Roman" w:hAnsi="Times New Roman" w:cs="Times New Roman"/>
          <w:snapToGrid w:val="0"/>
          <w:sz w:val="24"/>
          <w:lang w:val="en-US"/>
        </w:rPr>
        <w:t>Mortelmans K, Haworth S, Lawlor T, Speck W, Tainer B and Zeiger E. 1986.</w:t>
      </w:r>
      <w:proofErr w:type="gramEnd"/>
      <w:r w:rsidRPr="00DD7585">
        <w:rPr>
          <w:rFonts w:ascii="Times New Roman" w:hAnsi="Times New Roman" w:cs="Times New Roman"/>
          <w:snapToGrid w:val="0"/>
          <w:sz w:val="24"/>
          <w:lang w:val="en-US"/>
        </w:rPr>
        <w:t xml:space="preserve"> </w:t>
      </w:r>
      <w:proofErr w:type="gramStart"/>
      <w:r w:rsidRPr="00DD7585">
        <w:rPr>
          <w:rFonts w:ascii="Times New Roman" w:hAnsi="Times New Roman" w:cs="Times New Roman"/>
          <w:snapToGrid w:val="0"/>
          <w:sz w:val="24"/>
          <w:lang w:val="en-US"/>
        </w:rPr>
        <w:t>Salmonella mutagenicity tests.</w:t>
      </w:r>
      <w:proofErr w:type="gramEnd"/>
      <w:r w:rsidRPr="00DD7585">
        <w:rPr>
          <w:rFonts w:ascii="Times New Roman" w:hAnsi="Times New Roman" w:cs="Times New Roman"/>
          <w:snapToGrid w:val="0"/>
          <w:sz w:val="24"/>
          <w:lang w:val="en-US"/>
        </w:rPr>
        <w:t xml:space="preserve"> II. Results from the testing of 270 chemicals. Environ Mutagen 8(suppl. 7):1-119.</w:t>
      </w:r>
    </w:p>
    <w:p w:rsidR="00AC0B97" w:rsidRPr="00DD7585" w:rsidRDefault="00AC0B97" w:rsidP="00F37C80">
      <w:pPr>
        <w:jc w:val="both"/>
      </w:pPr>
    </w:p>
    <w:p w:rsidR="00EA2572" w:rsidRPr="00DD7585" w:rsidRDefault="00EA2572" w:rsidP="00F37C80">
      <w:pPr>
        <w:jc w:val="both"/>
      </w:pPr>
      <w:proofErr w:type="gramStart"/>
      <w:r w:rsidRPr="00DD7585">
        <w:rPr>
          <w:rStyle w:val="BodyText3Char"/>
        </w:rPr>
        <w:t>National Institute of Health (NIH).</w:t>
      </w:r>
      <w:proofErr w:type="gramEnd"/>
      <w:r w:rsidRPr="00DD7585">
        <w:rPr>
          <w:rStyle w:val="BodyText3Char"/>
        </w:rPr>
        <w:t xml:space="preserve"> 2005.  Household Products Database at </w:t>
      </w:r>
      <w:hyperlink r:id="rId17" w:history="1">
        <w:r w:rsidRPr="000C522D">
          <w:rPr>
            <w:rStyle w:val="Hyperlink"/>
            <w:sz w:val="24"/>
          </w:rPr>
          <w:t>http://householdproducts.nlm.nih.gov/products.htm</w:t>
        </w:r>
      </w:hyperlink>
      <w:r w:rsidRPr="000C522D">
        <w:rPr>
          <w:rStyle w:val="BodyText3Char"/>
        </w:rPr>
        <w:t>.</w:t>
      </w:r>
    </w:p>
    <w:p w:rsidR="00EA2572" w:rsidRPr="00DD7585" w:rsidRDefault="00EA2572" w:rsidP="00F37C80">
      <w:pPr>
        <w:jc w:val="both"/>
      </w:pPr>
    </w:p>
    <w:p w:rsidR="00EA2572" w:rsidRDefault="00EA2572" w:rsidP="00F37C80">
      <w:pPr>
        <w:pStyle w:val="MSDS-TZeile"/>
        <w:ind w:left="0"/>
        <w:jc w:val="both"/>
        <w:rPr>
          <w:rFonts w:ascii="Times New Roman" w:hAnsi="Times New Roman" w:cs="Times New Roman"/>
          <w:sz w:val="24"/>
          <w:lang w:val="en-US"/>
        </w:rPr>
      </w:pPr>
      <w:r w:rsidRPr="00DD7585">
        <w:rPr>
          <w:rFonts w:ascii="Times New Roman" w:hAnsi="Times New Roman" w:cs="Times New Roman"/>
          <w:sz w:val="24"/>
          <w:lang w:val="en-US"/>
        </w:rPr>
        <w:t>Norman S. 1990</w:t>
      </w:r>
      <w:r w:rsidR="002511DD">
        <w:rPr>
          <w:rFonts w:ascii="Times New Roman" w:hAnsi="Times New Roman" w:cs="Times New Roman"/>
          <w:sz w:val="24"/>
          <w:lang w:val="en-US"/>
        </w:rPr>
        <w:t>a</w:t>
      </w:r>
      <w:r w:rsidRPr="00DD7585">
        <w:rPr>
          <w:rFonts w:ascii="Times New Roman" w:hAnsi="Times New Roman" w:cs="Times New Roman"/>
          <w:sz w:val="24"/>
          <w:lang w:val="en-US"/>
        </w:rPr>
        <w:t xml:space="preserve">. Skin absorption and metabolism/toxicokinetic study of </w:t>
      </w:r>
      <w:r w:rsidRPr="002244F2">
        <w:rPr>
          <w:rFonts w:ascii="Times New Roman" w:hAnsi="Times New Roman" w:cs="Times New Roman"/>
          <w:sz w:val="24"/>
          <w:vertAlign w:val="superscript"/>
          <w:lang w:val="en-US"/>
        </w:rPr>
        <w:t>14</w:t>
      </w:r>
      <w:r w:rsidRPr="00DD7585">
        <w:rPr>
          <w:rFonts w:ascii="Times New Roman" w:hAnsi="Times New Roman" w:cs="Times New Roman"/>
          <w:sz w:val="24"/>
          <w:lang w:val="en-US"/>
        </w:rPr>
        <w:t>C-1-nitropropane in female rhesus monkeys. Coulston International, Incorporated Laboratory Project 890208, dated April 30, 1990 (unpublished study).</w:t>
      </w:r>
    </w:p>
    <w:p w:rsidR="002511DD" w:rsidRDefault="002511DD" w:rsidP="00F37C80">
      <w:pPr>
        <w:pStyle w:val="MSDS-TUZeile"/>
        <w:jc w:val="both"/>
        <w:rPr>
          <w:lang w:val="en-US"/>
        </w:rPr>
      </w:pPr>
    </w:p>
    <w:p w:rsidR="002511DD" w:rsidRPr="00DD7585" w:rsidRDefault="002511DD" w:rsidP="00F37C80">
      <w:pPr>
        <w:pStyle w:val="MSDS-TZeile"/>
        <w:ind w:left="0"/>
        <w:jc w:val="both"/>
        <w:rPr>
          <w:rFonts w:ascii="Times New Roman" w:hAnsi="Times New Roman" w:cs="Times New Roman"/>
          <w:sz w:val="24"/>
          <w:lang w:val="en-US"/>
        </w:rPr>
      </w:pPr>
      <w:r w:rsidRPr="00DD7585">
        <w:rPr>
          <w:rFonts w:ascii="Times New Roman" w:hAnsi="Times New Roman" w:cs="Times New Roman"/>
          <w:sz w:val="24"/>
          <w:lang w:val="en-US"/>
        </w:rPr>
        <w:t>Norman S. 1990</w:t>
      </w:r>
      <w:r>
        <w:rPr>
          <w:rFonts w:ascii="Times New Roman" w:hAnsi="Times New Roman" w:cs="Times New Roman"/>
          <w:sz w:val="24"/>
          <w:lang w:val="en-US"/>
        </w:rPr>
        <w:t>b</w:t>
      </w:r>
      <w:r w:rsidRPr="00DD7585">
        <w:rPr>
          <w:rFonts w:ascii="Times New Roman" w:hAnsi="Times New Roman" w:cs="Times New Roman"/>
          <w:sz w:val="24"/>
          <w:lang w:val="en-US"/>
        </w:rPr>
        <w:t xml:space="preserve">. Skin absorption and metabolism/toxicokinetic study of </w:t>
      </w:r>
      <w:r w:rsidRPr="002244F2">
        <w:rPr>
          <w:rFonts w:ascii="Times New Roman" w:hAnsi="Times New Roman" w:cs="Times New Roman"/>
          <w:sz w:val="24"/>
          <w:vertAlign w:val="superscript"/>
          <w:lang w:val="en-US"/>
        </w:rPr>
        <w:t>14</w:t>
      </w:r>
      <w:r w:rsidRPr="00DD7585">
        <w:rPr>
          <w:rFonts w:ascii="Times New Roman" w:hAnsi="Times New Roman" w:cs="Times New Roman"/>
          <w:sz w:val="24"/>
          <w:lang w:val="en-US"/>
        </w:rPr>
        <w:t>C-</w:t>
      </w:r>
      <w:r>
        <w:rPr>
          <w:rFonts w:ascii="Times New Roman" w:hAnsi="Times New Roman" w:cs="Times New Roman"/>
          <w:sz w:val="24"/>
          <w:lang w:val="en-US"/>
        </w:rPr>
        <w:t>Nitroethane</w:t>
      </w:r>
      <w:r w:rsidRPr="00DD7585">
        <w:rPr>
          <w:rFonts w:ascii="Times New Roman" w:hAnsi="Times New Roman" w:cs="Times New Roman"/>
          <w:sz w:val="24"/>
          <w:lang w:val="en-US"/>
        </w:rPr>
        <w:t xml:space="preserve"> in female rhesus monkeys. Coulston International, Incorporated Laboratory Project 890</w:t>
      </w:r>
      <w:r>
        <w:rPr>
          <w:rFonts w:ascii="Times New Roman" w:hAnsi="Times New Roman" w:cs="Times New Roman"/>
          <w:sz w:val="24"/>
          <w:lang w:val="en-US"/>
        </w:rPr>
        <w:t>3</w:t>
      </w:r>
      <w:r w:rsidRPr="00DD7585">
        <w:rPr>
          <w:rFonts w:ascii="Times New Roman" w:hAnsi="Times New Roman" w:cs="Times New Roman"/>
          <w:sz w:val="24"/>
          <w:lang w:val="en-US"/>
        </w:rPr>
        <w:t xml:space="preserve">08, dated April </w:t>
      </w:r>
      <w:r>
        <w:rPr>
          <w:rFonts w:ascii="Times New Roman" w:hAnsi="Times New Roman" w:cs="Times New Roman"/>
          <w:sz w:val="24"/>
          <w:lang w:val="en-US"/>
        </w:rPr>
        <w:t>6</w:t>
      </w:r>
      <w:r w:rsidRPr="00DD7585">
        <w:rPr>
          <w:rFonts w:ascii="Times New Roman" w:hAnsi="Times New Roman" w:cs="Times New Roman"/>
          <w:sz w:val="24"/>
          <w:lang w:val="en-US"/>
        </w:rPr>
        <w:t>, 1990 (unpublished study).</w:t>
      </w:r>
    </w:p>
    <w:p w:rsidR="002511DD" w:rsidRDefault="002511DD" w:rsidP="00F37C80">
      <w:pPr>
        <w:pStyle w:val="MSDS-TUZeile"/>
        <w:jc w:val="both"/>
        <w:rPr>
          <w:lang w:val="en-US"/>
        </w:rPr>
      </w:pPr>
    </w:p>
    <w:p w:rsidR="002511DD" w:rsidRPr="002D1503" w:rsidRDefault="002511DD" w:rsidP="00F37C80">
      <w:pPr>
        <w:pStyle w:val="MSDS-TZeile"/>
        <w:ind w:left="0"/>
        <w:jc w:val="both"/>
        <w:rPr>
          <w:rFonts w:ascii="Times New Roman" w:hAnsi="Times New Roman" w:cs="Times New Roman"/>
          <w:sz w:val="24"/>
          <w:lang w:val="en-US"/>
        </w:rPr>
      </w:pPr>
      <w:r w:rsidRPr="00DD7585">
        <w:rPr>
          <w:rFonts w:ascii="Times New Roman" w:hAnsi="Times New Roman" w:cs="Times New Roman"/>
          <w:sz w:val="24"/>
          <w:lang w:val="en-US"/>
        </w:rPr>
        <w:t>Norman S. 1990</w:t>
      </w:r>
      <w:r>
        <w:rPr>
          <w:rFonts w:ascii="Times New Roman" w:hAnsi="Times New Roman" w:cs="Times New Roman"/>
          <w:sz w:val="24"/>
          <w:lang w:val="en-US"/>
        </w:rPr>
        <w:t>c</w:t>
      </w:r>
      <w:r w:rsidRPr="00DD7585">
        <w:rPr>
          <w:rFonts w:ascii="Times New Roman" w:hAnsi="Times New Roman" w:cs="Times New Roman"/>
          <w:sz w:val="24"/>
          <w:lang w:val="en-US"/>
        </w:rPr>
        <w:t xml:space="preserve">. Skin absorption and metabolism/toxicokinetic study of </w:t>
      </w:r>
      <w:r w:rsidRPr="002244F2">
        <w:rPr>
          <w:rFonts w:ascii="Times New Roman" w:hAnsi="Times New Roman" w:cs="Times New Roman"/>
          <w:sz w:val="24"/>
          <w:vertAlign w:val="superscript"/>
          <w:lang w:val="en-US"/>
        </w:rPr>
        <w:t>14</w:t>
      </w:r>
      <w:r>
        <w:rPr>
          <w:rFonts w:ascii="Times New Roman" w:hAnsi="Times New Roman" w:cs="Times New Roman"/>
          <w:sz w:val="24"/>
          <w:lang w:val="en-US"/>
        </w:rPr>
        <w:t>C-nitrometh</w:t>
      </w:r>
      <w:r w:rsidRPr="00DD7585">
        <w:rPr>
          <w:rFonts w:ascii="Times New Roman" w:hAnsi="Times New Roman" w:cs="Times New Roman"/>
          <w:sz w:val="24"/>
          <w:lang w:val="en-US"/>
        </w:rPr>
        <w:t xml:space="preserve">ane in </w:t>
      </w:r>
      <w:r w:rsidRPr="002D1503">
        <w:rPr>
          <w:rFonts w:ascii="Times New Roman" w:hAnsi="Times New Roman" w:cs="Times New Roman"/>
          <w:sz w:val="24"/>
          <w:lang w:val="en-US"/>
        </w:rPr>
        <w:t>female rhesus monkeys. Coulston International, Incorporated Laboratory Project 890408, dated April 9, 1990 (unpublished study).</w:t>
      </w:r>
    </w:p>
    <w:p w:rsidR="002511DD" w:rsidRPr="00F37C80" w:rsidRDefault="002511DD" w:rsidP="00F37C80">
      <w:pPr>
        <w:pStyle w:val="MSDS-TUZeile"/>
        <w:jc w:val="both"/>
        <w:rPr>
          <w:rFonts w:ascii="Times New Roman" w:hAnsi="Times New Roman" w:cs="Times New Roman"/>
          <w:sz w:val="24"/>
          <w:lang w:val="en-US"/>
        </w:rPr>
      </w:pPr>
    </w:p>
    <w:p w:rsidR="006B7461" w:rsidRPr="00F37C80" w:rsidRDefault="00B320DF" w:rsidP="00F37C80">
      <w:pPr>
        <w:pStyle w:val="MSDS-TZeile"/>
        <w:jc w:val="both"/>
        <w:rPr>
          <w:rFonts w:ascii="Times New Roman" w:hAnsi="Times New Roman" w:cs="Times New Roman"/>
          <w:color w:val="000000"/>
          <w:sz w:val="24"/>
        </w:rPr>
      </w:pPr>
      <w:r w:rsidRPr="00F37C80">
        <w:rPr>
          <w:rFonts w:ascii="Times New Roman" w:hAnsi="Times New Roman" w:cs="Times New Roman"/>
          <w:snapToGrid w:val="0"/>
          <w:color w:val="000000"/>
          <w:sz w:val="24"/>
        </w:rPr>
        <w:t>Olson, K. (1964) Results of Range Finding Toxicological Tests on Nitroethane.  Report T3.8-6-1 of The Dow Chemical Company, Midland, MI.</w:t>
      </w:r>
    </w:p>
    <w:p w:rsidR="006B7461" w:rsidRPr="002D1503" w:rsidRDefault="006B7461" w:rsidP="00F37C80">
      <w:pPr>
        <w:jc w:val="both"/>
      </w:pPr>
    </w:p>
    <w:p w:rsidR="00EA2572" w:rsidRPr="00DD7585" w:rsidRDefault="00EA2572" w:rsidP="00F37C80">
      <w:pPr>
        <w:jc w:val="both"/>
      </w:pPr>
      <w:proofErr w:type="gramStart"/>
      <w:r w:rsidRPr="002D1503">
        <w:t>Osterhoudt KC, Wiley CC, Dudley R,</w:t>
      </w:r>
      <w:r w:rsidRPr="00DD7585">
        <w:t xml:space="preserve"> Sheen S and Henretig FM. 1995.</w:t>
      </w:r>
      <w:proofErr w:type="gramEnd"/>
      <w:r w:rsidRPr="00DD7585">
        <w:t xml:space="preserve"> </w:t>
      </w:r>
      <w:r>
        <w:t xml:space="preserve"> </w:t>
      </w:r>
      <w:r w:rsidRPr="00DD7585">
        <w:t>J Pediatrics 126: 819-821.</w:t>
      </w:r>
    </w:p>
    <w:p w:rsidR="00AC0B97" w:rsidRPr="00DD7585" w:rsidRDefault="00AC0B97" w:rsidP="00F37C80">
      <w:pPr>
        <w:widowControl w:val="0"/>
        <w:spacing w:line="304" w:lineRule="atLeast"/>
        <w:jc w:val="both"/>
      </w:pPr>
      <w:r w:rsidRPr="00DD7585">
        <w:t>Norman S. 1990. Skin absorption and metabolism/toxicokinetic study of 14C-1-nitromethane in female rhesus monkeys. Coulston International, Incorporated Laboratory Project 890408, dated April 9, 1990.</w:t>
      </w:r>
    </w:p>
    <w:p w:rsidR="00AC0B97" w:rsidRPr="00DD7585" w:rsidRDefault="00AC0B97" w:rsidP="00F37C80">
      <w:pPr>
        <w:widowControl w:val="0"/>
        <w:spacing w:line="304" w:lineRule="atLeast"/>
        <w:jc w:val="both"/>
      </w:pPr>
    </w:p>
    <w:p w:rsidR="00AC0B97" w:rsidRPr="00DD7585" w:rsidRDefault="00AC0B97" w:rsidP="00F37C80">
      <w:pPr>
        <w:pStyle w:val="MSDS-TZeile"/>
        <w:ind w:left="0"/>
        <w:jc w:val="both"/>
        <w:rPr>
          <w:rFonts w:ascii="Times New Roman" w:hAnsi="Times New Roman" w:cs="Times New Roman"/>
          <w:sz w:val="24"/>
          <w:lang w:val="en-US"/>
        </w:rPr>
      </w:pPr>
      <w:proofErr w:type="gramStart"/>
      <w:r w:rsidRPr="00DD7585">
        <w:rPr>
          <w:rFonts w:ascii="Times New Roman" w:hAnsi="Times New Roman" w:cs="Times New Roman"/>
          <w:snapToGrid w:val="0"/>
          <w:sz w:val="24"/>
          <w:lang w:val="en-US"/>
        </w:rPr>
        <w:t>Parekh C and Wilbur S. 1980.</w:t>
      </w:r>
      <w:proofErr w:type="gramEnd"/>
      <w:r w:rsidRPr="00DD7585">
        <w:rPr>
          <w:rFonts w:ascii="Times New Roman" w:hAnsi="Times New Roman" w:cs="Times New Roman"/>
          <w:snapToGrid w:val="0"/>
          <w:sz w:val="24"/>
          <w:lang w:val="en-US"/>
        </w:rPr>
        <w:t xml:space="preserve"> Toxicology Protocol No. 4 to determine dermal irritation potential of chemicals or products.  Test Material P-1354 (nitromethane). International Minerals and Chemical Corporation Study Number 80T153, dated November 14, 1980 (unpublished study).</w:t>
      </w:r>
    </w:p>
    <w:p w:rsidR="00AC0B97" w:rsidRPr="00DD7585" w:rsidRDefault="00AC0B97" w:rsidP="00F37C80">
      <w:pPr>
        <w:widowControl w:val="0"/>
        <w:spacing w:line="304" w:lineRule="atLeast"/>
        <w:jc w:val="both"/>
      </w:pPr>
    </w:p>
    <w:p w:rsidR="00EA2572" w:rsidRPr="008A1E52" w:rsidRDefault="00EA2572" w:rsidP="00F37C80">
      <w:pPr>
        <w:pStyle w:val="MSDS-TZeile"/>
        <w:ind w:left="0"/>
        <w:jc w:val="both"/>
        <w:rPr>
          <w:rFonts w:ascii="Times New Roman" w:hAnsi="Times New Roman" w:cs="Times New Roman"/>
          <w:snapToGrid w:val="0"/>
          <w:sz w:val="24"/>
          <w:lang w:val="en-US"/>
        </w:rPr>
      </w:pPr>
      <w:r w:rsidRPr="008A1E52">
        <w:rPr>
          <w:rFonts w:ascii="Times New Roman" w:hAnsi="Times New Roman" w:cs="Times New Roman"/>
          <w:snapToGrid w:val="0"/>
          <w:sz w:val="24"/>
          <w:lang w:val="en-US"/>
        </w:rPr>
        <w:t xml:space="preserve">Parekh C. 1981a. </w:t>
      </w:r>
      <w:proofErr w:type="gramStart"/>
      <w:r w:rsidRPr="008A1E52">
        <w:rPr>
          <w:rFonts w:ascii="Times New Roman" w:hAnsi="Times New Roman" w:cs="Times New Roman"/>
          <w:snapToGrid w:val="0"/>
          <w:sz w:val="24"/>
          <w:lang w:val="en-US"/>
        </w:rPr>
        <w:t>Oral toxicity potential of 1-nitropropane (P-1356).</w:t>
      </w:r>
      <w:proofErr w:type="gramEnd"/>
      <w:r w:rsidRPr="008A1E52">
        <w:rPr>
          <w:rFonts w:ascii="Times New Roman" w:hAnsi="Times New Roman" w:cs="Times New Roman"/>
          <w:snapToGrid w:val="0"/>
          <w:sz w:val="24"/>
          <w:lang w:val="en-US"/>
        </w:rPr>
        <w:t xml:space="preserve">  International Minerals and Chemical Corporation (IMC) Report Number PLR-176, dated December 15, 1981 (unpublished study).</w:t>
      </w:r>
    </w:p>
    <w:p w:rsidR="00EA2572" w:rsidRPr="008A1E52" w:rsidRDefault="00EA2572" w:rsidP="00F37C80">
      <w:pPr>
        <w:jc w:val="both"/>
      </w:pPr>
    </w:p>
    <w:p w:rsidR="00EA2572" w:rsidRPr="008A1E52" w:rsidRDefault="00EA2572" w:rsidP="00F37C80">
      <w:pPr>
        <w:pStyle w:val="MSDS-TZeile"/>
        <w:ind w:left="0"/>
        <w:jc w:val="both"/>
        <w:rPr>
          <w:rFonts w:ascii="Times New Roman" w:hAnsi="Times New Roman" w:cs="Times New Roman"/>
          <w:sz w:val="24"/>
          <w:lang w:val="en-US"/>
        </w:rPr>
      </w:pPr>
      <w:r w:rsidRPr="008A1E52">
        <w:rPr>
          <w:rFonts w:ascii="Times New Roman" w:hAnsi="Times New Roman" w:cs="Times New Roman"/>
          <w:snapToGrid w:val="0"/>
          <w:sz w:val="24"/>
          <w:lang w:val="en-US"/>
        </w:rPr>
        <w:t>Parekh C. 1981b. Dermal toxicity potential of 1-</w:t>
      </w:r>
      <w:proofErr w:type="gramStart"/>
      <w:r w:rsidRPr="008A1E52">
        <w:rPr>
          <w:rFonts w:ascii="Times New Roman" w:hAnsi="Times New Roman" w:cs="Times New Roman"/>
          <w:snapToGrid w:val="0"/>
          <w:sz w:val="24"/>
          <w:lang w:val="en-US"/>
        </w:rPr>
        <w:t>nitropropane  (</w:t>
      </w:r>
      <w:proofErr w:type="gramEnd"/>
      <w:r w:rsidRPr="008A1E52">
        <w:rPr>
          <w:rFonts w:ascii="Times New Roman" w:hAnsi="Times New Roman" w:cs="Times New Roman"/>
          <w:snapToGrid w:val="0"/>
          <w:sz w:val="24"/>
          <w:lang w:val="en-US"/>
        </w:rPr>
        <w:t>P-1356).  International Minerals and Chemical Corporation (IMC) Report Number PLR-178, dated December 15, 1981 (unpublished study).</w:t>
      </w:r>
    </w:p>
    <w:p w:rsidR="00EA2572" w:rsidRPr="008A1E52" w:rsidRDefault="00EA2572" w:rsidP="00F37C80">
      <w:pPr>
        <w:jc w:val="both"/>
      </w:pPr>
    </w:p>
    <w:p w:rsidR="008A1E52" w:rsidRDefault="008A1E52" w:rsidP="00F37C80">
      <w:pPr>
        <w:pStyle w:val="MSDS-TZeile"/>
        <w:ind w:left="0"/>
        <w:jc w:val="both"/>
        <w:rPr>
          <w:rFonts w:ascii="Times New Roman" w:hAnsi="Times New Roman" w:cs="Times New Roman"/>
          <w:snapToGrid w:val="0"/>
          <w:sz w:val="24"/>
          <w:lang w:val="en-US"/>
        </w:rPr>
      </w:pPr>
      <w:r w:rsidRPr="008A1E52">
        <w:rPr>
          <w:rFonts w:ascii="Times New Roman" w:hAnsi="Times New Roman" w:cs="Times New Roman"/>
          <w:snapToGrid w:val="0"/>
          <w:sz w:val="24"/>
          <w:lang w:val="en-US"/>
        </w:rPr>
        <w:t>Parekh C. 1981</w:t>
      </w:r>
      <w:r>
        <w:rPr>
          <w:rFonts w:ascii="Times New Roman" w:hAnsi="Times New Roman" w:cs="Times New Roman"/>
          <w:snapToGrid w:val="0"/>
          <w:sz w:val="24"/>
          <w:lang w:val="en-US"/>
        </w:rPr>
        <w:t>c</w:t>
      </w:r>
      <w:r w:rsidRPr="008A1E52">
        <w:rPr>
          <w:rFonts w:ascii="Times New Roman" w:hAnsi="Times New Roman" w:cs="Times New Roman"/>
          <w:snapToGrid w:val="0"/>
          <w:sz w:val="24"/>
          <w:lang w:val="en-US"/>
        </w:rPr>
        <w:t xml:space="preserve">. </w:t>
      </w:r>
      <w:proofErr w:type="gramStart"/>
      <w:r w:rsidRPr="008A1E52">
        <w:rPr>
          <w:rFonts w:ascii="Times New Roman" w:hAnsi="Times New Roman" w:cs="Times New Roman"/>
          <w:snapToGrid w:val="0"/>
          <w:sz w:val="24"/>
          <w:lang w:val="en-US"/>
        </w:rPr>
        <w:t>Skin irritation</w:t>
      </w:r>
      <w:r w:rsidRPr="00DD7585">
        <w:rPr>
          <w:rFonts w:ascii="Times New Roman" w:hAnsi="Times New Roman" w:cs="Times New Roman"/>
          <w:snapToGrid w:val="0"/>
          <w:sz w:val="24"/>
          <w:lang w:val="en-US"/>
        </w:rPr>
        <w:t xml:space="preserve"> potential of 1-nitropropane (P-1356).</w:t>
      </w:r>
      <w:proofErr w:type="gramEnd"/>
      <w:r w:rsidRPr="00DD7585">
        <w:rPr>
          <w:rFonts w:ascii="Times New Roman" w:hAnsi="Times New Roman" w:cs="Times New Roman"/>
          <w:snapToGrid w:val="0"/>
          <w:sz w:val="24"/>
          <w:lang w:val="en-US"/>
        </w:rPr>
        <w:t xml:space="preserve">  International Minerals and Chemical Corporation Unpublished Report PLR-179, dated December 15, 1981 (unpublished study). </w:t>
      </w:r>
    </w:p>
    <w:p w:rsidR="008A1E52" w:rsidRDefault="008A1E52" w:rsidP="00F37C80">
      <w:pPr>
        <w:pStyle w:val="MSDS-TZeile"/>
        <w:ind w:left="0"/>
        <w:jc w:val="both"/>
        <w:rPr>
          <w:rFonts w:ascii="Times New Roman" w:hAnsi="Times New Roman" w:cs="Times New Roman"/>
          <w:snapToGrid w:val="0"/>
          <w:sz w:val="24"/>
          <w:lang w:val="en-US"/>
        </w:rPr>
      </w:pPr>
      <w:r w:rsidRPr="008A1E52">
        <w:rPr>
          <w:rFonts w:ascii="Times New Roman" w:hAnsi="Times New Roman" w:cs="Times New Roman"/>
          <w:snapToGrid w:val="0"/>
          <w:sz w:val="24"/>
          <w:lang w:val="en-US"/>
        </w:rPr>
        <w:t>Parekh C. 1981</w:t>
      </w:r>
      <w:r>
        <w:rPr>
          <w:rFonts w:ascii="Times New Roman" w:hAnsi="Times New Roman" w:cs="Times New Roman"/>
          <w:snapToGrid w:val="0"/>
          <w:sz w:val="24"/>
          <w:lang w:val="en-US"/>
        </w:rPr>
        <w:t>d</w:t>
      </w:r>
      <w:r w:rsidRPr="008A1E52">
        <w:rPr>
          <w:rFonts w:ascii="Times New Roman" w:hAnsi="Times New Roman" w:cs="Times New Roman"/>
          <w:snapToGrid w:val="0"/>
          <w:sz w:val="24"/>
          <w:lang w:val="en-US"/>
        </w:rPr>
        <w:t xml:space="preserve">. </w:t>
      </w:r>
      <w:proofErr w:type="gramStart"/>
      <w:r w:rsidRPr="008A1E52">
        <w:rPr>
          <w:rFonts w:ascii="Times New Roman" w:hAnsi="Times New Roman" w:cs="Times New Roman"/>
          <w:snapToGrid w:val="0"/>
          <w:sz w:val="24"/>
          <w:lang w:val="en-US"/>
        </w:rPr>
        <w:t>Intradermal sensitization potential of 1-nitropropane (P-1356).</w:t>
      </w:r>
      <w:proofErr w:type="gramEnd"/>
      <w:r w:rsidRPr="008A1E52">
        <w:rPr>
          <w:rFonts w:ascii="Times New Roman" w:hAnsi="Times New Roman" w:cs="Times New Roman"/>
          <w:snapToGrid w:val="0"/>
          <w:sz w:val="24"/>
          <w:lang w:val="en-US"/>
        </w:rPr>
        <w:t xml:space="preserve"> International Minerals and Chemical Corporation Unpublished Report Number PLR-180, dated December 15, 1981.</w:t>
      </w:r>
      <w:r w:rsidR="003779A8">
        <w:rPr>
          <w:rFonts w:ascii="Times New Roman" w:hAnsi="Times New Roman" w:cs="Times New Roman"/>
          <w:snapToGrid w:val="0"/>
          <w:sz w:val="24"/>
          <w:lang w:val="en-US"/>
        </w:rPr>
        <w:t xml:space="preserve"> </w:t>
      </w:r>
    </w:p>
    <w:p w:rsidR="00CE20DB" w:rsidRDefault="00CE20DB" w:rsidP="00F37C80">
      <w:pPr>
        <w:pStyle w:val="MSDS-TUZeile"/>
        <w:jc w:val="both"/>
        <w:rPr>
          <w:rFonts w:ascii="Times New Roman" w:hAnsi="Times New Roman" w:cs="Times New Roman"/>
          <w:sz w:val="24"/>
          <w:lang w:val="en-US"/>
        </w:rPr>
      </w:pPr>
    </w:p>
    <w:p w:rsidR="006B7461" w:rsidRPr="00F37C80" w:rsidRDefault="00B320DF" w:rsidP="00F37C80">
      <w:pPr>
        <w:pStyle w:val="MSDS-TZeile"/>
        <w:jc w:val="both"/>
        <w:rPr>
          <w:rFonts w:ascii="Times New Roman" w:hAnsi="Times New Roman" w:cs="Times New Roman"/>
          <w:color w:val="000000"/>
          <w:sz w:val="24"/>
        </w:rPr>
      </w:pPr>
      <w:r w:rsidRPr="00F37C80">
        <w:rPr>
          <w:rFonts w:ascii="Times New Roman" w:hAnsi="Times New Roman" w:cs="Times New Roman"/>
          <w:snapToGrid w:val="0"/>
          <w:color w:val="000000"/>
          <w:sz w:val="24"/>
        </w:rPr>
        <w:t xml:space="preserve">Parekh C, Wilbur S. 1980. Toxicology Protocol No. 4 to dtermine dermal irritation potential of chemicals or products.  Test Material P-1354 (nitromethane). International Minerals and Chemical Corporation Study Number 80T153, dated November 14, 1980. </w:t>
      </w:r>
    </w:p>
    <w:p w:rsidR="00AC3500" w:rsidRPr="002D1503" w:rsidRDefault="00AC3500" w:rsidP="00F37C80">
      <w:pPr>
        <w:widowControl w:val="0"/>
        <w:spacing w:line="304" w:lineRule="atLeast"/>
        <w:jc w:val="both"/>
      </w:pPr>
    </w:p>
    <w:p w:rsidR="00EA2572" w:rsidRPr="00DD7585" w:rsidRDefault="00EA2572" w:rsidP="00F37C80">
      <w:pPr>
        <w:pStyle w:val="MSDS-TZeile"/>
        <w:ind w:left="0"/>
        <w:jc w:val="both"/>
        <w:rPr>
          <w:rFonts w:ascii="Times New Roman" w:hAnsi="Times New Roman" w:cs="Times New Roman"/>
          <w:sz w:val="24"/>
          <w:lang w:val="en-US"/>
        </w:rPr>
      </w:pPr>
      <w:proofErr w:type="gramStart"/>
      <w:r w:rsidRPr="002D1503">
        <w:rPr>
          <w:rFonts w:ascii="Times New Roman" w:hAnsi="Times New Roman" w:cs="Times New Roman"/>
          <w:snapToGrid w:val="0"/>
          <w:sz w:val="24"/>
          <w:lang w:val="en-US"/>
        </w:rPr>
        <w:t>Parekh CK and Wilbur SZ.</w:t>
      </w:r>
      <w:proofErr w:type="gramEnd"/>
      <w:r w:rsidRPr="002D1503">
        <w:rPr>
          <w:rFonts w:ascii="Times New Roman" w:hAnsi="Times New Roman" w:cs="Times New Roman"/>
          <w:snapToGrid w:val="0"/>
          <w:sz w:val="24"/>
          <w:lang w:val="en-US"/>
        </w:rPr>
        <w:t xml:space="preserve"> 1981. Intradermal sensitization potential of nitroethane (P-1355). International Minerals and Chemical</w:t>
      </w:r>
      <w:r w:rsidRPr="00DD7585">
        <w:rPr>
          <w:rFonts w:ascii="Times New Roman" w:hAnsi="Times New Roman" w:cs="Times New Roman"/>
          <w:snapToGrid w:val="0"/>
          <w:sz w:val="24"/>
          <w:lang w:val="en-US"/>
        </w:rPr>
        <w:t xml:space="preserve"> Corporation Unpublished Report Number PLR-232/AMR-030, dated May 19, 1981.</w:t>
      </w:r>
    </w:p>
    <w:p w:rsidR="00EA2572" w:rsidRPr="00DD7585" w:rsidRDefault="00EA2572" w:rsidP="00F37C80">
      <w:pPr>
        <w:jc w:val="both"/>
      </w:pPr>
    </w:p>
    <w:p w:rsidR="00EA2572" w:rsidRPr="00DD7585" w:rsidRDefault="00EA2572" w:rsidP="00F37C80">
      <w:pPr>
        <w:pStyle w:val="MSDS-TZeile"/>
        <w:ind w:left="0"/>
        <w:jc w:val="both"/>
        <w:rPr>
          <w:rFonts w:ascii="Times New Roman" w:hAnsi="Times New Roman" w:cs="Times New Roman"/>
          <w:sz w:val="24"/>
          <w:lang w:val="en-US"/>
        </w:rPr>
      </w:pPr>
      <w:proofErr w:type="gramStart"/>
      <w:r w:rsidRPr="00DD7585">
        <w:rPr>
          <w:rFonts w:ascii="Times New Roman" w:hAnsi="Times New Roman" w:cs="Times New Roman"/>
          <w:snapToGrid w:val="0"/>
          <w:sz w:val="24"/>
          <w:lang w:val="en-US"/>
        </w:rPr>
        <w:t>Parekh C and Wilbur SZ.</w:t>
      </w:r>
      <w:proofErr w:type="gramEnd"/>
      <w:r w:rsidRPr="00DD7585">
        <w:rPr>
          <w:rFonts w:ascii="Times New Roman" w:hAnsi="Times New Roman" w:cs="Times New Roman"/>
          <w:snapToGrid w:val="0"/>
          <w:sz w:val="24"/>
          <w:lang w:val="en-US"/>
        </w:rPr>
        <w:t xml:space="preserve"> 1982a. </w:t>
      </w:r>
      <w:proofErr w:type="gramStart"/>
      <w:r w:rsidRPr="00DD7585">
        <w:rPr>
          <w:rFonts w:ascii="Times New Roman" w:hAnsi="Times New Roman" w:cs="Times New Roman"/>
          <w:snapToGrid w:val="0"/>
          <w:sz w:val="24"/>
          <w:lang w:val="en-US"/>
        </w:rPr>
        <w:t>Dermal</w:t>
      </w:r>
      <w:proofErr w:type="gramEnd"/>
      <w:r w:rsidRPr="00DD7585">
        <w:rPr>
          <w:rFonts w:ascii="Times New Roman" w:hAnsi="Times New Roman" w:cs="Times New Roman"/>
          <w:snapToGrid w:val="0"/>
          <w:sz w:val="24"/>
          <w:lang w:val="en-US"/>
        </w:rPr>
        <w:t xml:space="preserve"> toxicity potential of nitroethane (P-1355). International Minerals and Chemical Corporation Unpublished Report No. PLR-233, dated May 19, 1982.</w:t>
      </w:r>
    </w:p>
    <w:p w:rsidR="00EA2572" w:rsidRPr="00DD7585" w:rsidRDefault="00EA2572" w:rsidP="00F37C80">
      <w:pPr>
        <w:jc w:val="both"/>
      </w:pPr>
    </w:p>
    <w:p w:rsidR="00EA2572" w:rsidRPr="00DD7585" w:rsidRDefault="00EA2572" w:rsidP="00F37C80">
      <w:pPr>
        <w:pStyle w:val="MSDS-TZeile"/>
        <w:ind w:left="0"/>
        <w:jc w:val="both"/>
        <w:rPr>
          <w:rFonts w:ascii="Times New Roman" w:hAnsi="Times New Roman" w:cs="Times New Roman"/>
          <w:sz w:val="24"/>
          <w:lang w:val="en-US"/>
        </w:rPr>
      </w:pPr>
      <w:proofErr w:type="gramStart"/>
      <w:r w:rsidRPr="00DD7585">
        <w:rPr>
          <w:rFonts w:ascii="Times New Roman" w:hAnsi="Times New Roman" w:cs="Times New Roman"/>
          <w:snapToGrid w:val="0"/>
          <w:sz w:val="24"/>
          <w:lang w:val="en-US"/>
        </w:rPr>
        <w:t>Parekh C and Wilbur SZ.</w:t>
      </w:r>
      <w:proofErr w:type="gramEnd"/>
      <w:r w:rsidRPr="00DD7585">
        <w:rPr>
          <w:rFonts w:ascii="Times New Roman" w:hAnsi="Times New Roman" w:cs="Times New Roman"/>
          <w:snapToGrid w:val="0"/>
          <w:sz w:val="24"/>
          <w:lang w:val="en-US"/>
        </w:rPr>
        <w:t xml:space="preserve"> </w:t>
      </w:r>
      <w:proofErr w:type="gramStart"/>
      <w:r w:rsidRPr="00DD7585">
        <w:rPr>
          <w:rFonts w:ascii="Times New Roman" w:hAnsi="Times New Roman" w:cs="Times New Roman"/>
          <w:snapToGrid w:val="0"/>
          <w:sz w:val="24"/>
          <w:lang w:val="en-US"/>
        </w:rPr>
        <w:t>1982b. Oral toxicity potential of nitroethane (P-1355).</w:t>
      </w:r>
      <w:proofErr w:type="gramEnd"/>
      <w:r w:rsidRPr="00DD7585">
        <w:rPr>
          <w:rFonts w:ascii="Times New Roman" w:hAnsi="Times New Roman" w:cs="Times New Roman"/>
          <w:snapToGrid w:val="0"/>
          <w:sz w:val="24"/>
          <w:lang w:val="en-US"/>
        </w:rPr>
        <w:t xml:space="preserve"> International Minerals and Chemical Corporation Unpublished Report No. PLR-231, dated May 19, 1982.</w:t>
      </w:r>
    </w:p>
    <w:p w:rsidR="00EA2572" w:rsidRPr="00DD7585" w:rsidRDefault="00EA2572" w:rsidP="00F37C80">
      <w:pPr>
        <w:jc w:val="both"/>
      </w:pPr>
    </w:p>
    <w:p w:rsidR="00EA2572" w:rsidRDefault="00EA2572" w:rsidP="00F37C80">
      <w:pPr>
        <w:pStyle w:val="MSDS-TZeile"/>
        <w:ind w:left="0"/>
        <w:jc w:val="both"/>
        <w:rPr>
          <w:rFonts w:ascii="Times New Roman" w:hAnsi="Times New Roman" w:cs="Times New Roman"/>
          <w:snapToGrid w:val="0"/>
          <w:sz w:val="24"/>
          <w:lang w:val="en-US"/>
        </w:rPr>
      </w:pPr>
      <w:proofErr w:type="gramStart"/>
      <w:r w:rsidRPr="00DD7585">
        <w:rPr>
          <w:rFonts w:ascii="Times New Roman" w:hAnsi="Times New Roman" w:cs="Times New Roman"/>
          <w:snapToGrid w:val="0"/>
          <w:sz w:val="24"/>
          <w:lang w:val="en-US"/>
        </w:rPr>
        <w:t>Parekh C and Wilbur SZ.</w:t>
      </w:r>
      <w:proofErr w:type="gramEnd"/>
      <w:r w:rsidRPr="00DD7585">
        <w:rPr>
          <w:rFonts w:ascii="Times New Roman" w:hAnsi="Times New Roman" w:cs="Times New Roman"/>
          <w:snapToGrid w:val="0"/>
          <w:sz w:val="24"/>
          <w:lang w:val="en-US"/>
        </w:rPr>
        <w:t xml:space="preserve"> </w:t>
      </w:r>
      <w:proofErr w:type="gramStart"/>
      <w:r w:rsidRPr="00DD7585">
        <w:rPr>
          <w:rFonts w:ascii="Times New Roman" w:hAnsi="Times New Roman" w:cs="Times New Roman"/>
          <w:snapToGrid w:val="0"/>
          <w:sz w:val="24"/>
          <w:lang w:val="en-US"/>
        </w:rPr>
        <w:t>1982c. Skin irritation potential of nitroethane (P-1355).</w:t>
      </w:r>
      <w:proofErr w:type="gramEnd"/>
      <w:r w:rsidRPr="00DD7585">
        <w:rPr>
          <w:rFonts w:ascii="Times New Roman" w:hAnsi="Times New Roman" w:cs="Times New Roman"/>
          <w:snapToGrid w:val="0"/>
          <w:sz w:val="24"/>
          <w:lang w:val="en-US"/>
        </w:rPr>
        <w:t xml:space="preserve">  International Minerals and Chemical Corporation Unpublished Report PLR-230, dated May 19, 1982.</w:t>
      </w:r>
      <w:r w:rsidR="006B7461">
        <w:rPr>
          <w:rFonts w:ascii="Times New Roman" w:hAnsi="Times New Roman" w:cs="Times New Roman"/>
          <w:snapToGrid w:val="0"/>
          <w:sz w:val="24"/>
          <w:lang w:val="en-US"/>
        </w:rPr>
        <w:t xml:space="preserve"> </w:t>
      </w:r>
    </w:p>
    <w:p w:rsidR="00CE20DB" w:rsidRPr="00F37C80" w:rsidRDefault="00CE20DB" w:rsidP="00F37C80">
      <w:pPr>
        <w:pStyle w:val="MSDS-TUZeile"/>
        <w:jc w:val="both"/>
        <w:rPr>
          <w:szCs w:val="20"/>
          <w:lang w:val="en-US"/>
        </w:rPr>
      </w:pPr>
    </w:p>
    <w:p w:rsidR="00AC0B97" w:rsidRPr="00DD7585" w:rsidRDefault="00AC0B97" w:rsidP="00F37C80">
      <w:pPr>
        <w:pStyle w:val="MSDS-TZeile"/>
        <w:ind w:left="0"/>
        <w:jc w:val="both"/>
        <w:rPr>
          <w:rFonts w:ascii="Times New Roman" w:hAnsi="Times New Roman" w:cs="Times New Roman"/>
          <w:sz w:val="24"/>
          <w:lang w:val="en-US"/>
        </w:rPr>
      </w:pPr>
      <w:r w:rsidRPr="00E430D0">
        <w:rPr>
          <w:rFonts w:ascii="Times New Roman" w:hAnsi="Times New Roman" w:cs="Times New Roman"/>
          <w:snapToGrid w:val="0"/>
          <w:sz w:val="24"/>
          <w:lang w:val="sv-SE"/>
        </w:rPr>
        <w:t xml:space="preserve">Riddick JA, Bunger WB and Sakano TK. 1985. </w:t>
      </w:r>
      <w:proofErr w:type="gramStart"/>
      <w:r w:rsidRPr="00DD7585">
        <w:rPr>
          <w:rFonts w:ascii="Times New Roman" w:hAnsi="Times New Roman" w:cs="Times New Roman"/>
          <w:snapToGrid w:val="0"/>
          <w:sz w:val="24"/>
          <w:lang w:val="en-US"/>
        </w:rPr>
        <w:t>Techniques of Chemistry 4th Ed., Volume II.</w:t>
      </w:r>
      <w:proofErr w:type="gramEnd"/>
      <w:r w:rsidRPr="00DD7585">
        <w:rPr>
          <w:rFonts w:ascii="Times New Roman" w:hAnsi="Times New Roman" w:cs="Times New Roman"/>
          <w:snapToGrid w:val="0"/>
          <w:sz w:val="24"/>
          <w:lang w:val="en-US"/>
        </w:rPr>
        <w:t xml:space="preserve"> </w:t>
      </w:r>
      <w:proofErr w:type="gramStart"/>
      <w:r w:rsidRPr="00DD7585">
        <w:rPr>
          <w:rFonts w:ascii="Times New Roman" w:hAnsi="Times New Roman" w:cs="Times New Roman"/>
          <w:snapToGrid w:val="0"/>
          <w:sz w:val="24"/>
          <w:lang w:val="en-US"/>
        </w:rPr>
        <w:t>Organic Solvents.</w:t>
      </w:r>
      <w:proofErr w:type="gramEnd"/>
      <w:r w:rsidRPr="00DD7585">
        <w:rPr>
          <w:rFonts w:ascii="Times New Roman" w:hAnsi="Times New Roman" w:cs="Times New Roman"/>
          <w:snapToGrid w:val="0"/>
          <w:sz w:val="24"/>
          <w:lang w:val="en-US"/>
        </w:rPr>
        <w:t xml:space="preserve"> New York, NY: John Wiley and Sons.</w:t>
      </w:r>
    </w:p>
    <w:p w:rsidR="008A1E52" w:rsidRDefault="008A1E52" w:rsidP="00F37C80">
      <w:pPr>
        <w:pStyle w:val="MSDS-TZeile"/>
        <w:ind w:left="0"/>
        <w:jc w:val="both"/>
        <w:rPr>
          <w:rFonts w:ascii="Times New Roman" w:hAnsi="Times New Roman" w:cs="Times New Roman"/>
          <w:snapToGrid w:val="0"/>
          <w:sz w:val="24"/>
          <w:lang w:val="en-US"/>
        </w:rPr>
      </w:pPr>
    </w:p>
    <w:p w:rsidR="008A1E52" w:rsidRPr="00DD7585" w:rsidRDefault="008A1E52" w:rsidP="00F37C80">
      <w:pPr>
        <w:pStyle w:val="MSDS-TZeile"/>
        <w:ind w:left="0"/>
        <w:jc w:val="both"/>
        <w:rPr>
          <w:rFonts w:ascii="Times New Roman" w:hAnsi="Times New Roman" w:cs="Times New Roman"/>
          <w:snapToGrid w:val="0"/>
          <w:sz w:val="24"/>
          <w:lang w:val="en-US"/>
        </w:rPr>
      </w:pPr>
      <w:r w:rsidRPr="00DD7585">
        <w:rPr>
          <w:rFonts w:ascii="Times New Roman" w:hAnsi="Times New Roman" w:cs="Times New Roman"/>
          <w:snapToGrid w:val="0"/>
          <w:sz w:val="24"/>
          <w:lang w:val="en-US"/>
        </w:rPr>
        <w:t>Reagan EL. 1989</w:t>
      </w:r>
      <w:r w:rsidR="004D42BE">
        <w:rPr>
          <w:rFonts w:ascii="Times New Roman" w:hAnsi="Times New Roman" w:cs="Times New Roman"/>
          <w:snapToGrid w:val="0"/>
          <w:sz w:val="24"/>
          <w:lang w:val="en-US"/>
        </w:rPr>
        <w:t>a</w:t>
      </w:r>
      <w:r w:rsidRPr="00DD7585">
        <w:rPr>
          <w:rFonts w:ascii="Times New Roman" w:hAnsi="Times New Roman" w:cs="Times New Roman"/>
          <w:snapToGrid w:val="0"/>
          <w:sz w:val="24"/>
          <w:lang w:val="en-US"/>
        </w:rPr>
        <w:t xml:space="preserve">. </w:t>
      </w:r>
      <w:proofErr w:type="gramStart"/>
      <w:r w:rsidRPr="00DD7585">
        <w:rPr>
          <w:rFonts w:ascii="Times New Roman" w:hAnsi="Times New Roman" w:cs="Times New Roman"/>
          <w:snapToGrid w:val="0"/>
          <w:sz w:val="24"/>
          <w:lang w:val="en-US"/>
        </w:rPr>
        <w:t>Primary eye irritation study of nitroethane in New Zealand White rabbits.</w:t>
      </w:r>
      <w:proofErr w:type="gramEnd"/>
      <w:r w:rsidRPr="00DD7585">
        <w:rPr>
          <w:rFonts w:ascii="Times New Roman" w:hAnsi="Times New Roman" w:cs="Times New Roman"/>
          <w:snapToGrid w:val="0"/>
          <w:sz w:val="24"/>
          <w:lang w:val="en-US"/>
        </w:rPr>
        <w:t xml:space="preserve"> Food and Drug Research Laboratories (FDRL) unpublished study No. 89.3873.003, submitted to WR Grace and Company, dated March 15, 1989.</w:t>
      </w:r>
      <w:r w:rsidR="004D42BE">
        <w:rPr>
          <w:rFonts w:ascii="Times New Roman" w:hAnsi="Times New Roman" w:cs="Times New Roman"/>
          <w:snapToGrid w:val="0"/>
          <w:sz w:val="24"/>
          <w:lang w:val="en-US"/>
        </w:rPr>
        <w:t xml:space="preserve"> </w:t>
      </w:r>
    </w:p>
    <w:p w:rsidR="008A1E52" w:rsidRDefault="008A1E52" w:rsidP="00F37C80">
      <w:pPr>
        <w:jc w:val="both"/>
      </w:pPr>
    </w:p>
    <w:p w:rsidR="004D42BE" w:rsidRPr="00F37C80" w:rsidRDefault="00B320DF" w:rsidP="00F37C80">
      <w:pPr>
        <w:pStyle w:val="MSDS-TZeile"/>
        <w:jc w:val="both"/>
        <w:rPr>
          <w:rFonts w:ascii="Times New Roman" w:hAnsi="Times New Roman" w:cs="Times New Roman"/>
          <w:color w:val="000000"/>
          <w:sz w:val="24"/>
        </w:rPr>
      </w:pPr>
      <w:r w:rsidRPr="00F37C80">
        <w:rPr>
          <w:rFonts w:ascii="Times New Roman" w:hAnsi="Times New Roman" w:cs="Times New Roman"/>
          <w:snapToGrid w:val="0"/>
          <w:color w:val="000000"/>
          <w:sz w:val="24"/>
        </w:rPr>
        <w:t xml:space="preserve">Reagan EL. 1989b. Primary eye irritation study of 1-nitropropane in New Zealand White rabbits. Food and Drug Research Laboratories (FDRL) unpublished study No. 89.3873.005, submitted to WR Grace and Company, dated March 15, 1989. </w:t>
      </w:r>
    </w:p>
    <w:p w:rsidR="004D42BE" w:rsidRPr="00DD7585" w:rsidRDefault="004D42BE" w:rsidP="00F37C80">
      <w:pPr>
        <w:jc w:val="both"/>
      </w:pPr>
    </w:p>
    <w:p w:rsidR="008A1E52" w:rsidRPr="00DD7585" w:rsidRDefault="008A1E52" w:rsidP="00F37C80">
      <w:pPr>
        <w:pStyle w:val="MSDS-TZeile"/>
        <w:ind w:left="0"/>
        <w:jc w:val="both"/>
        <w:rPr>
          <w:rFonts w:ascii="Times New Roman" w:hAnsi="Times New Roman" w:cs="Times New Roman"/>
          <w:sz w:val="24"/>
          <w:lang w:val="en-US"/>
        </w:rPr>
      </w:pPr>
      <w:r w:rsidRPr="00DD7585">
        <w:rPr>
          <w:rFonts w:ascii="Times New Roman" w:hAnsi="Times New Roman" w:cs="Times New Roman"/>
          <w:snapToGrid w:val="0"/>
          <w:sz w:val="24"/>
          <w:lang w:val="en-US"/>
        </w:rPr>
        <w:t>Safepharm Laboratories Limited. 1994. 1-nitropropane: Chromosome aberration test in CHL cells in vitro. Project Number 630/3, dated May 16, 1994 (unpublished study).</w:t>
      </w:r>
    </w:p>
    <w:p w:rsidR="008A1E52" w:rsidRPr="00DD7585" w:rsidRDefault="008A1E52" w:rsidP="00F37C80">
      <w:pPr>
        <w:jc w:val="both"/>
      </w:pPr>
    </w:p>
    <w:p w:rsidR="00AC0B97" w:rsidRPr="00DD7585" w:rsidRDefault="00AC0B97" w:rsidP="00F37C80">
      <w:pPr>
        <w:pStyle w:val="MSDS-TZeile"/>
        <w:ind w:left="0"/>
        <w:jc w:val="both"/>
        <w:rPr>
          <w:rFonts w:ascii="Times New Roman" w:hAnsi="Times New Roman" w:cs="Times New Roman"/>
          <w:snapToGrid w:val="0"/>
          <w:sz w:val="24"/>
          <w:lang w:val="en-US"/>
        </w:rPr>
      </w:pPr>
      <w:proofErr w:type="gramStart"/>
      <w:r w:rsidRPr="00DD7585">
        <w:rPr>
          <w:rFonts w:ascii="Times New Roman" w:hAnsi="Times New Roman" w:cs="Times New Roman"/>
          <w:snapToGrid w:val="0"/>
          <w:sz w:val="24"/>
          <w:lang w:val="en-US"/>
        </w:rPr>
        <w:t>Sakurai H, Herrmann G, Ruf HH and Ullrich V. 1980.</w:t>
      </w:r>
      <w:proofErr w:type="gramEnd"/>
      <w:r w:rsidRPr="00DD7585">
        <w:rPr>
          <w:rFonts w:ascii="Times New Roman" w:hAnsi="Times New Roman" w:cs="Times New Roman"/>
          <w:snapToGrid w:val="0"/>
          <w:sz w:val="24"/>
          <w:lang w:val="en-US"/>
        </w:rPr>
        <w:t xml:space="preserve"> The interaction of aliphatic nitro compounds with the liver microsomal monooxygenase system.  Biochem Pharmacol 29(3):341-346.</w:t>
      </w:r>
    </w:p>
    <w:p w:rsidR="00AC0B97" w:rsidRPr="00DD7585" w:rsidRDefault="00AC0B97" w:rsidP="00F37C80">
      <w:pPr>
        <w:jc w:val="both"/>
      </w:pPr>
    </w:p>
    <w:p w:rsidR="008A1E52" w:rsidRPr="00A508E9" w:rsidRDefault="008A1E52" w:rsidP="00F37C80">
      <w:pPr>
        <w:pStyle w:val="MSDS-TZeile"/>
        <w:ind w:left="0"/>
        <w:jc w:val="both"/>
        <w:rPr>
          <w:rFonts w:ascii="Times New Roman" w:hAnsi="Times New Roman" w:cs="Times New Roman"/>
          <w:snapToGrid w:val="0"/>
          <w:sz w:val="24"/>
          <w:lang w:val="en-US"/>
        </w:rPr>
      </w:pPr>
      <w:r w:rsidRPr="00A508E9">
        <w:rPr>
          <w:rFonts w:ascii="Times New Roman" w:hAnsi="Times New Roman" w:cs="Times New Roman"/>
          <w:snapToGrid w:val="0"/>
          <w:sz w:val="24"/>
          <w:lang w:val="en-US"/>
        </w:rPr>
        <w:t>Sanger J</w:t>
      </w:r>
      <w:r>
        <w:rPr>
          <w:rFonts w:ascii="Times New Roman" w:hAnsi="Times New Roman" w:cs="Times New Roman"/>
          <w:snapToGrid w:val="0"/>
          <w:sz w:val="24"/>
          <w:lang w:val="en-US"/>
        </w:rPr>
        <w:t xml:space="preserve">. </w:t>
      </w:r>
      <w:r w:rsidRPr="00A508E9">
        <w:rPr>
          <w:rFonts w:ascii="Times New Roman" w:hAnsi="Times New Roman" w:cs="Times New Roman"/>
          <w:snapToGrid w:val="0"/>
          <w:sz w:val="24"/>
          <w:lang w:val="en-US"/>
        </w:rPr>
        <w:t>1989</w:t>
      </w:r>
      <w:r>
        <w:rPr>
          <w:rFonts w:ascii="Times New Roman" w:hAnsi="Times New Roman" w:cs="Times New Roman"/>
          <w:snapToGrid w:val="0"/>
          <w:sz w:val="24"/>
          <w:lang w:val="en-US"/>
        </w:rPr>
        <w:t>.</w:t>
      </w:r>
      <w:r w:rsidRPr="00A508E9">
        <w:rPr>
          <w:rFonts w:ascii="Times New Roman" w:hAnsi="Times New Roman" w:cs="Times New Roman"/>
          <w:snapToGrid w:val="0"/>
          <w:sz w:val="24"/>
          <w:lang w:val="en-US"/>
        </w:rPr>
        <w:t xml:space="preserve"> </w:t>
      </w:r>
      <w:proofErr w:type="gramStart"/>
      <w:r w:rsidRPr="00A508E9">
        <w:rPr>
          <w:rFonts w:ascii="Times New Roman" w:hAnsi="Times New Roman" w:cs="Times New Roman"/>
          <w:snapToGrid w:val="0"/>
          <w:sz w:val="24"/>
          <w:lang w:val="en-US"/>
        </w:rPr>
        <w:t>Octanol-Water Partition Coefficients of Simple Organic Compounds.</w:t>
      </w:r>
      <w:proofErr w:type="gramEnd"/>
      <w:r w:rsidRPr="00A508E9">
        <w:rPr>
          <w:rFonts w:ascii="Times New Roman" w:hAnsi="Times New Roman" w:cs="Times New Roman"/>
          <w:snapToGrid w:val="0"/>
          <w:sz w:val="24"/>
          <w:lang w:val="en-US"/>
        </w:rPr>
        <w:t xml:space="preserve"> Journal Phys. Chem. Ref. Data, Vol. 18, No. 3.</w:t>
      </w:r>
    </w:p>
    <w:p w:rsidR="008A1E52" w:rsidRDefault="008A1E52" w:rsidP="00F37C80">
      <w:pPr>
        <w:pStyle w:val="MSDS-TZeile"/>
        <w:ind w:left="0"/>
        <w:jc w:val="both"/>
        <w:rPr>
          <w:rFonts w:ascii="Times New Roman" w:hAnsi="Times New Roman" w:cs="Times New Roman"/>
          <w:sz w:val="24"/>
          <w:lang w:val="en-US"/>
        </w:rPr>
      </w:pPr>
    </w:p>
    <w:p w:rsidR="008A1E52" w:rsidRPr="00DD7585" w:rsidRDefault="008A1E52" w:rsidP="00F37C80">
      <w:pPr>
        <w:pStyle w:val="MSDS-TZeile"/>
        <w:ind w:left="0"/>
        <w:jc w:val="both"/>
        <w:rPr>
          <w:rFonts w:ascii="Times New Roman" w:hAnsi="Times New Roman" w:cs="Times New Roman"/>
          <w:sz w:val="24"/>
          <w:lang w:val="en-US"/>
        </w:rPr>
      </w:pPr>
      <w:r w:rsidRPr="00DD7585">
        <w:rPr>
          <w:rFonts w:ascii="Times New Roman" w:hAnsi="Times New Roman" w:cs="Times New Roman"/>
          <w:sz w:val="24"/>
          <w:lang w:val="en-US"/>
        </w:rPr>
        <w:t xml:space="preserve">Scott EW. 1942. The metabolism of mononitroparaffins. II. The metabolic products of nitroethane. J. Ind. Hyg. </w:t>
      </w:r>
      <w:proofErr w:type="gramStart"/>
      <w:r w:rsidRPr="00DD7585">
        <w:rPr>
          <w:rFonts w:ascii="Times New Roman" w:hAnsi="Times New Roman" w:cs="Times New Roman"/>
          <w:sz w:val="24"/>
          <w:lang w:val="en-US"/>
        </w:rPr>
        <w:t>Toxicol.</w:t>
      </w:r>
      <w:proofErr w:type="gramEnd"/>
      <w:r w:rsidRPr="00DD7585">
        <w:rPr>
          <w:rFonts w:ascii="Times New Roman" w:hAnsi="Times New Roman" w:cs="Times New Roman"/>
          <w:sz w:val="24"/>
          <w:lang w:val="en-US"/>
        </w:rPr>
        <w:t xml:space="preserve"> 24: 226-228.</w:t>
      </w:r>
    </w:p>
    <w:p w:rsidR="008A1E52" w:rsidRPr="00DD7585" w:rsidRDefault="008A1E52" w:rsidP="00F37C80">
      <w:pPr>
        <w:jc w:val="both"/>
      </w:pPr>
    </w:p>
    <w:p w:rsidR="008A1E52" w:rsidRPr="00DD7585" w:rsidRDefault="008A1E52" w:rsidP="00F37C80">
      <w:pPr>
        <w:pStyle w:val="MSDS-TZeile"/>
        <w:ind w:left="0"/>
        <w:jc w:val="both"/>
        <w:rPr>
          <w:rFonts w:ascii="Times New Roman" w:hAnsi="Times New Roman" w:cs="Times New Roman"/>
          <w:sz w:val="24"/>
          <w:lang w:val="en-US"/>
        </w:rPr>
      </w:pPr>
      <w:r w:rsidRPr="00DD7585">
        <w:rPr>
          <w:rFonts w:ascii="Times New Roman" w:hAnsi="Times New Roman" w:cs="Times New Roman"/>
          <w:sz w:val="24"/>
          <w:lang w:val="en-US"/>
        </w:rPr>
        <w:t xml:space="preserve">Scott EW. 1943. The metabolism of mononitroparaffins. III. The concentration of nitroethane, nitrite and nitrate in the blood of rabbits during exposure by inhalation and oral administration. J. Ind. Hyg. </w:t>
      </w:r>
      <w:proofErr w:type="gramStart"/>
      <w:r w:rsidRPr="00DD7585">
        <w:rPr>
          <w:rFonts w:ascii="Times New Roman" w:hAnsi="Times New Roman" w:cs="Times New Roman"/>
          <w:sz w:val="24"/>
          <w:lang w:val="en-US"/>
        </w:rPr>
        <w:t>Toxicol.</w:t>
      </w:r>
      <w:proofErr w:type="gramEnd"/>
      <w:r w:rsidRPr="00DD7585">
        <w:rPr>
          <w:rFonts w:ascii="Times New Roman" w:hAnsi="Times New Roman" w:cs="Times New Roman"/>
          <w:sz w:val="24"/>
          <w:lang w:val="en-US"/>
        </w:rPr>
        <w:t xml:space="preserve"> 25: 20-25.</w:t>
      </w:r>
    </w:p>
    <w:p w:rsidR="008A1E52" w:rsidRDefault="008A1E52" w:rsidP="00F37C80">
      <w:pPr>
        <w:pStyle w:val="MSDS-TZeile"/>
        <w:ind w:left="0"/>
        <w:jc w:val="both"/>
        <w:rPr>
          <w:rFonts w:ascii="Times New Roman" w:hAnsi="Times New Roman" w:cs="Times New Roman"/>
          <w:snapToGrid w:val="0"/>
          <w:sz w:val="24"/>
          <w:lang w:val="en-US"/>
        </w:rPr>
      </w:pPr>
    </w:p>
    <w:p w:rsidR="00AC0B97" w:rsidRPr="00DD7585" w:rsidRDefault="00AC0B97" w:rsidP="00F37C80">
      <w:pPr>
        <w:pStyle w:val="MSDS-TZeile"/>
        <w:ind w:left="0"/>
        <w:jc w:val="both"/>
        <w:rPr>
          <w:rFonts w:ascii="Times New Roman" w:hAnsi="Times New Roman" w:cs="Times New Roman"/>
          <w:snapToGrid w:val="0"/>
          <w:sz w:val="24"/>
          <w:lang w:val="en-US"/>
        </w:rPr>
      </w:pPr>
      <w:r w:rsidRPr="00DD7585">
        <w:rPr>
          <w:rFonts w:ascii="Times New Roman" w:hAnsi="Times New Roman" w:cs="Times New Roman"/>
          <w:snapToGrid w:val="0"/>
          <w:sz w:val="24"/>
          <w:lang w:val="en-US"/>
        </w:rPr>
        <w:t>Sunshine I. (</w:t>
      </w:r>
      <w:proofErr w:type="gramStart"/>
      <w:r w:rsidRPr="00DD7585">
        <w:rPr>
          <w:rFonts w:ascii="Times New Roman" w:hAnsi="Times New Roman" w:cs="Times New Roman"/>
          <w:snapToGrid w:val="0"/>
          <w:sz w:val="24"/>
          <w:lang w:val="en-US"/>
        </w:rPr>
        <w:t>ed</w:t>
      </w:r>
      <w:proofErr w:type="gramEnd"/>
      <w:r w:rsidRPr="00DD7585">
        <w:rPr>
          <w:rFonts w:ascii="Times New Roman" w:hAnsi="Times New Roman" w:cs="Times New Roman"/>
          <w:snapToGrid w:val="0"/>
          <w:sz w:val="24"/>
          <w:lang w:val="en-US"/>
        </w:rPr>
        <w:t>.). 1969. CRC Handbook of Analytical Toxicology. Cleveland: The Chemical Rubber Co., p. 647.</w:t>
      </w:r>
    </w:p>
    <w:p w:rsidR="00AC0B97" w:rsidRPr="00DD7585" w:rsidRDefault="00AC0B97" w:rsidP="00F37C80">
      <w:pPr>
        <w:jc w:val="both"/>
      </w:pPr>
    </w:p>
    <w:p w:rsidR="008A1E52" w:rsidRPr="00DD7585" w:rsidRDefault="008A1E52" w:rsidP="00F37C80">
      <w:pPr>
        <w:pStyle w:val="MSDS-TZeile"/>
        <w:ind w:left="0"/>
        <w:jc w:val="both"/>
        <w:rPr>
          <w:rFonts w:ascii="Times New Roman" w:hAnsi="Times New Roman" w:cs="Times New Roman"/>
          <w:snapToGrid w:val="0"/>
          <w:sz w:val="24"/>
          <w:lang w:val="en-US"/>
        </w:rPr>
      </w:pPr>
      <w:r w:rsidRPr="00DD7585">
        <w:rPr>
          <w:rFonts w:ascii="Times New Roman" w:hAnsi="Times New Roman" w:cs="Times New Roman"/>
          <w:snapToGrid w:val="0"/>
          <w:sz w:val="24"/>
          <w:lang w:val="en-US"/>
        </w:rPr>
        <w:t>Thompson PW. 1996. 1-nitropropane: reverse mutation assay "Ames test" using Salmonella typhimurium and Escherichia coli: Adaptation for volatiles.  Safepharm Laboratories Limited (SPL) Project Number 630/007, dated December 6, 1996 (unpublished study).</w:t>
      </w:r>
    </w:p>
    <w:p w:rsidR="008A1E52" w:rsidRDefault="008A1E52" w:rsidP="00F37C80">
      <w:pPr>
        <w:pStyle w:val="MSDS-TZeile"/>
        <w:ind w:left="0"/>
        <w:jc w:val="both"/>
        <w:rPr>
          <w:rFonts w:ascii="Times New Roman" w:hAnsi="Times New Roman" w:cs="Times New Roman"/>
          <w:sz w:val="24"/>
          <w:lang w:val="en-US"/>
        </w:rPr>
      </w:pPr>
    </w:p>
    <w:p w:rsidR="007336D3" w:rsidRDefault="00B320DF" w:rsidP="00F37C80">
      <w:pPr>
        <w:pStyle w:val="MSDS-TZeile"/>
        <w:ind w:left="0"/>
        <w:jc w:val="both"/>
        <w:rPr>
          <w:rFonts w:ascii="Times New Roman" w:hAnsi="Times New Roman" w:cs="Times New Roman"/>
          <w:sz w:val="24"/>
          <w:lang w:val="en-US"/>
        </w:rPr>
      </w:pPr>
      <w:r w:rsidRPr="00F37C80">
        <w:rPr>
          <w:rFonts w:ascii="Times New Roman" w:hAnsi="Times New Roman" w:cs="Times New Roman"/>
          <w:color w:val="000000"/>
        </w:rPr>
        <w:t xml:space="preserve">The TOPKAT Prediction program Version 6.4 (2004) </w:t>
      </w:r>
      <w:r w:rsidRPr="00F37C80">
        <w:rPr>
          <w:rFonts w:ascii="Times New Roman" w:hAnsi="Times New Roman" w:cs="Times New Roman"/>
          <w:lang w:val="en-GB"/>
        </w:rPr>
        <w:t>Accelrys Inc. (Cambridge, UK).</w:t>
      </w:r>
    </w:p>
    <w:p w:rsidR="008A1E52" w:rsidRPr="00986822" w:rsidRDefault="008A1E52" w:rsidP="00F37C80">
      <w:pPr>
        <w:pStyle w:val="MSDS-TZeile"/>
        <w:ind w:left="0"/>
        <w:jc w:val="both"/>
        <w:rPr>
          <w:rFonts w:ascii="Times New Roman" w:hAnsi="Times New Roman" w:cs="Times New Roman"/>
          <w:sz w:val="24"/>
          <w:lang w:val="en-US"/>
        </w:rPr>
      </w:pPr>
      <w:r w:rsidRPr="00DD7585">
        <w:rPr>
          <w:rFonts w:ascii="Times New Roman" w:hAnsi="Times New Roman" w:cs="Times New Roman"/>
          <w:sz w:val="24"/>
          <w:lang w:val="en-US"/>
        </w:rPr>
        <w:t xml:space="preserve">Ullrich V, Hermann G and Weber P. 1978. </w:t>
      </w:r>
      <w:proofErr w:type="gramStart"/>
      <w:r w:rsidRPr="00DD7585">
        <w:rPr>
          <w:rFonts w:ascii="Times New Roman" w:hAnsi="Times New Roman" w:cs="Times New Roman"/>
          <w:sz w:val="24"/>
          <w:lang w:val="en-US"/>
        </w:rPr>
        <w:t>Nitrite formation from 2-nitropropane by microsomal monoxygenases.</w:t>
      </w:r>
      <w:proofErr w:type="gramEnd"/>
      <w:r w:rsidRPr="00DD7585">
        <w:rPr>
          <w:rFonts w:ascii="Times New Roman" w:hAnsi="Times New Roman" w:cs="Times New Roman"/>
          <w:sz w:val="24"/>
          <w:lang w:val="en-US"/>
        </w:rPr>
        <w:t xml:space="preserve"> </w:t>
      </w:r>
      <w:r w:rsidRPr="00986822">
        <w:rPr>
          <w:rFonts w:ascii="Times New Roman" w:hAnsi="Times New Roman" w:cs="Times New Roman"/>
          <w:sz w:val="24"/>
          <w:lang w:val="en-US"/>
        </w:rPr>
        <w:t>Biochem Pharmacol 27: 2301-2304.</w:t>
      </w:r>
    </w:p>
    <w:p w:rsidR="008A1E52" w:rsidRPr="00DD7585" w:rsidRDefault="008A1E52" w:rsidP="00F37C80">
      <w:pPr>
        <w:pStyle w:val="HTMLPreformatted"/>
        <w:jc w:val="both"/>
        <w:rPr>
          <w:rFonts w:ascii="Arial" w:hAnsi="Arial" w:cs="Arial"/>
          <w:sz w:val="22"/>
        </w:rPr>
      </w:pPr>
    </w:p>
    <w:p w:rsidR="00AC0B97" w:rsidRDefault="00AC0B97" w:rsidP="00F37C80">
      <w:pPr>
        <w:pStyle w:val="MSDS-TZeile"/>
        <w:ind w:left="0"/>
        <w:jc w:val="both"/>
        <w:rPr>
          <w:rFonts w:ascii="Times New Roman" w:hAnsi="Times New Roman" w:cs="Times New Roman"/>
          <w:snapToGrid w:val="0"/>
          <w:sz w:val="24"/>
          <w:lang w:val="en-US"/>
        </w:rPr>
      </w:pPr>
      <w:proofErr w:type="gramStart"/>
      <w:r w:rsidRPr="00DD7585">
        <w:rPr>
          <w:rFonts w:ascii="Times New Roman" w:hAnsi="Times New Roman" w:cs="Times New Roman"/>
          <w:snapToGrid w:val="0"/>
          <w:sz w:val="24"/>
          <w:lang w:val="en-US"/>
        </w:rPr>
        <w:t>U</w:t>
      </w:r>
      <w:r w:rsidR="00547314">
        <w:rPr>
          <w:rFonts w:ascii="Times New Roman" w:hAnsi="Times New Roman" w:cs="Times New Roman"/>
          <w:snapToGrid w:val="0"/>
          <w:sz w:val="24"/>
          <w:lang w:val="en-US"/>
        </w:rPr>
        <w:t>.</w:t>
      </w:r>
      <w:r w:rsidRPr="00DD7585">
        <w:rPr>
          <w:rFonts w:ascii="Times New Roman" w:hAnsi="Times New Roman" w:cs="Times New Roman"/>
          <w:snapToGrid w:val="0"/>
          <w:sz w:val="24"/>
          <w:lang w:val="en-US"/>
        </w:rPr>
        <w:t>S</w:t>
      </w:r>
      <w:r w:rsidR="00547314">
        <w:rPr>
          <w:rFonts w:ascii="Times New Roman" w:hAnsi="Times New Roman" w:cs="Times New Roman"/>
          <w:snapToGrid w:val="0"/>
          <w:sz w:val="24"/>
          <w:lang w:val="en-US"/>
        </w:rPr>
        <w:t>.</w:t>
      </w:r>
      <w:r w:rsidRPr="00DD7585">
        <w:rPr>
          <w:rFonts w:ascii="Times New Roman" w:hAnsi="Times New Roman" w:cs="Times New Roman"/>
          <w:snapToGrid w:val="0"/>
          <w:sz w:val="24"/>
          <w:lang w:val="en-US"/>
        </w:rPr>
        <w:t xml:space="preserve"> Department of Health and Human Services (USDHHS).</w:t>
      </w:r>
      <w:proofErr w:type="gramEnd"/>
      <w:r w:rsidRPr="00DD7585">
        <w:rPr>
          <w:rFonts w:ascii="Times New Roman" w:hAnsi="Times New Roman" w:cs="Times New Roman"/>
          <w:snapToGrid w:val="0"/>
          <w:sz w:val="24"/>
          <w:lang w:val="en-US"/>
        </w:rPr>
        <w:t xml:space="preserve"> 1997.  Toxicology and carcinogenesis studies of nitromethane (CAS No. 75-52-5) in F344/N rats and B6C3F1 mice. National Toxicology Program Technical Report Series No. 461. NIH Publication No. 97-3377, dated February 1997.</w:t>
      </w:r>
    </w:p>
    <w:p w:rsidR="00547314" w:rsidRDefault="00547314" w:rsidP="00F37C80">
      <w:pPr>
        <w:pStyle w:val="MSDS-TUZeile"/>
        <w:jc w:val="both"/>
        <w:rPr>
          <w:lang w:val="en-US"/>
        </w:rPr>
      </w:pPr>
    </w:p>
    <w:p w:rsidR="00547314" w:rsidRPr="00547314" w:rsidRDefault="00547314" w:rsidP="00F37C80">
      <w:pPr>
        <w:pStyle w:val="MSDS-TUZeile"/>
        <w:jc w:val="both"/>
        <w:rPr>
          <w:rFonts w:ascii="Times New Roman" w:hAnsi="Times New Roman" w:cs="Times New Roman"/>
          <w:sz w:val="24"/>
          <w:lang w:val="en-US"/>
        </w:rPr>
      </w:pPr>
      <w:proofErr w:type="gramStart"/>
      <w:r w:rsidRPr="00E57FCC">
        <w:rPr>
          <w:rFonts w:ascii="Times New Roman" w:hAnsi="Times New Roman" w:cs="Times New Roman"/>
          <w:bCs/>
          <w:color w:val="000000"/>
          <w:sz w:val="24"/>
          <w:lang w:val="en-US"/>
        </w:rPr>
        <w:t>US EPA.</w:t>
      </w:r>
      <w:proofErr w:type="gramEnd"/>
      <w:r w:rsidRPr="00E57FCC">
        <w:rPr>
          <w:rFonts w:ascii="Times New Roman" w:hAnsi="Times New Roman" w:cs="Times New Roman"/>
          <w:bCs/>
          <w:color w:val="000000"/>
          <w:sz w:val="24"/>
          <w:lang w:val="en-US"/>
        </w:rPr>
        <w:t xml:space="preserve"> 2010. Estimation Programs Interface Suite™ for Microsoft® Windows, v4.00. </w:t>
      </w:r>
      <w:proofErr w:type="gramStart"/>
      <w:r w:rsidRPr="00E57FCC">
        <w:rPr>
          <w:rFonts w:ascii="Times New Roman" w:hAnsi="Times New Roman" w:cs="Times New Roman"/>
          <w:bCs/>
          <w:color w:val="000000"/>
          <w:sz w:val="24"/>
          <w:lang w:val="en-US"/>
        </w:rPr>
        <w:t>United States Environmental Protection Agency, Washington, DC, USA.</w:t>
      </w:r>
      <w:proofErr w:type="gramEnd"/>
    </w:p>
    <w:p w:rsidR="00AC0B97" w:rsidRPr="00DD7585" w:rsidRDefault="00AC0B97" w:rsidP="00F37C80">
      <w:pPr>
        <w:jc w:val="both"/>
      </w:pPr>
    </w:p>
    <w:p w:rsidR="00AC0B97" w:rsidRDefault="00AC0B97" w:rsidP="00F37C80">
      <w:pPr>
        <w:jc w:val="both"/>
        <w:rPr>
          <w:rStyle w:val="BodyText3Char"/>
          <w:sz w:val="20"/>
        </w:rPr>
      </w:pPr>
      <w:proofErr w:type="gramStart"/>
      <w:r w:rsidRPr="00DD7585">
        <w:rPr>
          <w:rStyle w:val="BodyText3Char"/>
        </w:rPr>
        <w:t>U.S. National Library of Medicine.</w:t>
      </w:r>
      <w:proofErr w:type="gramEnd"/>
      <w:r w:rsidRPr="00DD7585">
        <w:rPr>
          <w:rStyle w:val="BodyText3Char"/>
        </w:rPr>
        <w:t xml:space="preserve"> 2005.</w:t>
      </w:r>
      <w:r w:rsidRPr="00DD7585">
        <w:t xml:space="preserve"> </w:t>
      </w:r>
      <w:r w:rsidRPr="00DD7585">
        <w:rPr>
          <w:rStyle w:val="BodyText3Char"/>
        </w:rPr>
        <w:t>Toxnet Hazardous Substances Data Bank, online at http://toxnet.nlm.nih.gov/.</w:t>
      </w:r>
      <w:r w:rsidRPr="00DD7585">
        <w:rPr>
          <w:rStyle w:val="BodyText3Char"/>
          <w:sz w:val="20"/>
        </w:rPr>
        <w:t xml:space="preserve">  </w:t>
      </w:r>
    </w:p>
    <w:p w:rsidR="00702F10" w:rsidRDefault="00702F10" w:rsidP="00F37C80">
      <w:pPr>
        <w:jc w:val="both"/>
        <w:rPr>
          <w:rStyle w:val="BodyText3Char"/>
          <w:sz w:val="20"/>
        </w:rPr>
      </w:pPr>
    </w:p>
    <w:p w:rsidR="00702F10" w:rsidRPr="00E57FCC" w:rsidRDefault="00702F10" w:rsidP="00F37C80">
      <w:pPr>
        <w:pStyle w:val="MSDS-TZeile"/>
        <w:jc w:val="both"/>
        <w:rPr>
          <w:rFonts w:ascii="Times New Roman" w:hAnsi="Times New Roman" w:cs="Times New Roman"/>
          <w:sz w:val="24"/>
          <w:lang w:val="en-US"/>
        </w:rPr>
      </w:pPr>
      <w:proofErr w:type="gramStart"/>
      <w:r w:rsidRPr="00E57FCC">
        <w:rPr>
          <w:rFonts w:ascii="Times New Roman" w:hAnsi="Times New Roman" w:cs="Times New Roman"/>
          <w:snapToGrid w:val="0"/>
          <w:sz w:val="24"/>
          <w:lang w:val="en-US"/>
        </w:rPr>
        <w:t>Weatherby, J.H (1955) Observations on the Toxicity of Nitromethane.</w:t>
      </w:r>
      <w:proofErr w:type="gramEnd"/>
      <w:r w:rsidRPr="00E57FCC">
        <w:rPr>
          <w:rFonts w:ascii="Times New Roman" w:hAnsi="Times New Roman" w:cs="Times New Roman"/>
          <w:snapToGrid w:val="0"/>
          <w:sz w:val="24"/>
          <w:lang w:val="en-US"/>
        </w:rPr>
        <w:t xml:space="preserve">  AMA Archives of Industrial Health, 11, 102-106.</w:t>
      </w:r>
    </w:p>
    <w:p w:rsidR="00AC0B97" w:rsidRPr="00E57FCC" w:rsidRDefault="00AC0B97" w:rsidP="00F37C80">
      <w:pPr>
        <w:widowControl w:val="0"/>
        <w:spacing w:line="304" w:lineRule="atLeast"/>
        <w:jc w:val="both"/>
      </w:pPr>
    </w:p>
    <w:p w:rsidR="00AC0B97" w:rsidRPr="00E430D0" w:rsidRDefault="00AC0B97" w:rsidP="00F37C80">
      <w:pPr>
        <w:pStyle w:val="MSDS-TZeile"/>
        <w:ind w:left="0"/>
        <w:jc w:val="both"/>
        <w:rPr>
          <w:rFonts w:ascii="Times New Roman" w:hAnsi="Times New Roman" w:cs="Times New Roman"/>
          <w:snapToGrid w:val="0"/>
          <w:sz w:val="24"/>
          <w:lang w:val="en-US"/>
        </w:rPr>
      </w:pPr>
      <w:r w:rsidRPr="00630D1F">
        <w:rPr>
          <w:rFonts w:ascii="Times New Roman" w:hAnsi="Times New Roman" w:cs="Times New Roman"/>
          <w:snapToGrid w:val="0"/>
          <w:sz w:val="24"/>
        </w:rPr>
        <w:t xml:space="preserve">Witt KL, Knapton A, Wehr CM </w:t>
      </w:r>
      <w:r w:rsidRPr="00630D1F">
        <w:rPr>
          <w:rFonts w:ascii="Times New Roman" w:hAnsi="Times New Roman" w:cs="Times New Roman"/>
          <w:i/>
          <w:snapToGrid w:val="0"/>
          <w:sz w:val="24"/>
        </w:rPr>
        <w:t>et al</w:t>
      </w:r>
      <w:r w:rsidRPr="00630D1F">
        <w:rPr>
          <w:rFonts w:ascii="Times New Roman" w:hAnsi="Times New Roman" w:cs="Times New Roman"/>
          <w:snapToGrid w:val="0"/>
          <w:sz w:val="24"/>
        </w:rPr>
        <w:t xml:space="preserve">. 2000. </w:t>
      </w:r>
      <w:proofErr w:type="gramStart"/>
      <w:r w:rsidRPr="00DD7585">
        <w:rPr>
          <w:rFonts w:ascii="Times New Roman" w:hAnsi="Times New Roman" w:cs="Times New Roman"/>
          <w:snapToGrid w:val="0"/>
          <w:sz w:val="24"/>
          <w:lang w:val="en-US"/>
        </w:rPr>
        <w:t>Micronucleated erythrocyte frequency in peripheral blood of B6C3F1 mice from short-term, prechronic, and chronic studies of the NTP carcinogenesis bioassay program.</w:t>
      </w:r>
      <w:proofErr w:type="gramEnd"/>
      <w:r w:rsidRPr="00DD7585">
        <w:rPr>
          <w:rFonts w:ascii="Times New Roman" w:hAnsi="Times New Roman" w:cs="Times New Roman"/>
          <w:snapToGrid w:val="0"/>
          <w:sz w:val="24"/>
          <w:lang w:val="en-US"/>
        </w:rPr>
        <w:t xml:space="preserve"> </w:t>
      </w:r>
      <w:r w:rsidRPr="00E430D0">
        <w:rPr>
          <w:rFonts w:ascii="Times New Roman" w:hAnsi="Times New Roman" w:cs="Times New Roman"/>
          <w:snapToGrid w:val="0"/>
          <w:sz w:val="24"/>
          <w:lang w:val="en-US"/>
        </w:rPr>
        <w:t>Environ Molec Mutagen 36:163-194.</w:t>
      </w:r>
    </w:p>
    <w:p w:rsidR="002F2419" w:rsidRPr="00E430D0" w:rsidRDefault="002F2419" w:rsidP="00F37C80">
      <w:pPr>
        <w:pStyle w:val="MSDS-TUZeile"/>
        <w:jc w:val="both"/>
        <w:rPr>
          <w:lang w:val="en-US"/>
        </w:rPr>
      </w:pPr>
    </w:p>
    <w:p w:rsidR="002F2419" w:rsidRPr="002F2419" w:rsidRDefault="002F2419" w:rsidP="00F37C80">
      <w:pPr>
        <w:widowControl w:val="0"/>
        <w:autoSpaceDE w:val="0"/>
        <w:autoSpaceDN w:val="0"/>
        <w:adjustRightInd w:val="0"/>
        <w:jc w:val="both"/>
      </w:pPr>
      <w:proofErr w:type="gramStart"/>
      <w:r w:rsidRPr="002F2419">
        <w:t>Zucker, E.</w:t>
      </w:r>
      <w:proofErr w:type="gramEnd"/>
      <w:r w:rsidRPr="002F2419">
        <w:t xml:space="preserve">  </w:t>
      </w:r>
      <w:r>
        <w:t>(1985)</w:t>
      </w:r>
      <w:r w:rsidRPr="002F2419">
        <w:t xml:space="preserve">  </w:t>
      </w:r>
      <w:proofErr w:type="gramStart"/>
      <w:r w:rsidRPr="002F2419">
        <w:t>Acute</w:t>
      </w:r>
      <w:proofErr w:type="gramEnd"/>
      <w:r w:rsidRPr="002F2419">
        <w:t xml:space="preserve"> toxicity testing for freshwater fish.  </w:t>
      </w:r>
      <w:proofErr w:type="gramStart"/>
      <w:r w:rsidRPr="002F2419">
        <w:t>U.S. Environmental Protection Agency, EPA-540/9-85-006.</w:t>
      </w:r>
      <w:proofErr w:type="gramEnd"/>
    </w:p>
    <w:sectPr w:rsidR="002F2419" w:rsidRPr="002F2419" w:rsidSect="00F55E8F">
      <w:pgSz w:w="11907" w:h="16840" w:code="9"/>
      <w:pgMar w:top="1418" w:right="1134" w:bottom="1134" w:left="1134" w:header="737"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308" w:rsidRDefault="000A3308">
      <w:r>
        <w:separator/>
      </w:r>
    </w:p>
  </w:endnote>
  <w:endnote w:type="continuationSeparator" w:id="0">
    <w:p w:rsidR="000A3308" w:rsidRDefault="000A3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308" w:rsidRDefault="000A3308">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146C4E">
      <w:rPr>
        <w:rStyle w:val="PageNumber"/>
      </w:rPr>
      <w:t>24</w:t>
    </w:r>
    <w:r>
      <w:rPr>
        <w:rStyle w:val="PageNumber"/>
      </w:rPr>
      <w:fldChar w:fldCharType="end"/>
    </w:r>
  </w:p>
  <w:p w:rsidR="000A3308" w:rsidRDefault="000A3308">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308007384"/>
      <w:docPartObj>
        <w:docPartGallery w:val="Page Numbers (Bottom of Page)"/>
        <w:docPartUnique/>
      </w:docPartObj>
    </w:sdtPr>
    <w:sdtEndPr>
      <w:rPr>
        <w:noProof/>
      </w:rPr>
    </w:sdtEndPr>
    <w:sdtContent>
      <w:p w:rsidR="000A3308" w:rsidRDefault="000A3308">
        <w:pPr>
          <w:pStyle w:val="Footer"/>
          <w:jc w:val="right"/>
        </w:pPr>
        <w:r>
          <w:rPr>
            <w:noProof w:val="0"/>
          </w:rPr>
          <w:fldChar w:fldCharType="begin"/>
        </w:r>
        <w:r>
          <w:instrText xml:space="preserve"> PAGE   \* MERGEFORMAT </w:instrText>
        </w:r>
        <w:r>
          <w:rPr>
            <w:noProof w:val="0"/>
          </w:rPr>
          <w:fldChar w:fldCharType="separate"/>
        </w:r>
        <w:r w:rsidR="00146C4E">
          <w:t>25</w:t>
        </w:r>
        <w:r>
          <w:fldChar w:fldCharType="end"/>
        </w:r>
      </w:p>
    </w:sdtContent>
  </w:sdt>
  <w:p w:rsidR="000A3308" w:rsidRPr="00B260D6" w:rsidRDefault="000A3308" w:rsidP="00B260D6">
    <w:pPr>
      <w:pStyle w:val="Foo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308" w:rsidRDefault="000A3308">
      <w:r>
        <w:separator/>
      </w:r>
    </w:p>
  </w:footnote>
  <w:footnote w:type="continuationSeparator" w:id="0">
    <w:p w:rsidR="000A3308" w:rsidRDefault="000A3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308" w:rsidRDefault="000A3308" w:rsidP="00B260D6">
    <w:pPr>
      <w:pStyle w:val="Header"/>
    </w:pPr>
    <w:r>
      <w:t xml:space="preserve">oecd sids    </w:t>
    </w:r>
    <w:r>
      <w:tab/>
      <w:t xml:space="preserve">                                                   Short Chain NITROPARAFFINS Category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308" w:rsidRDefault="000A3308">
    <w:pPr>
      <w:pStyle w:val="Header"/>
    </w:pPr>
    <w:r>
      <w:t xml:space="preserve">oecd sids    </w:t>
    </w:r>
    <w:r>
      <w:tab/>
      <w:t xml:space="preserve">                                                   Short Chain NITROPARAFFINS Category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46285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6B24DCC0"/>
    <w:lvl w:ilvl="0">
      <w:start w:val="1"/>
      <w:numFmt w:val="decimal"/>
      <w:pStyle w:val="ListNumber2"/>
      <w:lvlText w:val="%1."/>
      <w:lvlJc w:val="left"/>
      <w:pPr>
        <w:tabs>
          <w:tab w:val="num" w:pos="720"/>
        </w:tabs>
        <w:ind w:left="720" w:hanging="360"/>
      </w:pPr>
    </w:lvl>
  </w:abstractNum>
  <w:abstractNum w:abstractNumId="2">
    <w:nsid w:val="FFFFFF82"/>
    <w:multiLevelType w:val="singleLevel"/>
    <w:tmpl w:val="E7BCC07C"/>
    <w:lvl w:ilvl="0">
      <w:start w:val="1"/>
      <w:numFmt w:val="bullet"/>
      <w:pStyle w:val="ListBullet3"/>
      <w:lvlText w:val=""/>
      <w:lvlJc w:val="left"/>
      <w:pPr>
        <w:tabs>
          <w:tab w:val="num" w:pos="1145"/>
        </w:tabs>
        <w:ind w:left="1145" w:hanging="425"/>
      </w:pPr>
      <w:rPr>
        <w:rFonts w:ascii="Symbol" w:hAnsi="Symbol" w:hint="default"/>
        <w:sz w:val="16"/>
      </w:rPr>
    </w:lvl>
  </w:abstractNum>
  <w:abstractNum w:abstractNumId="3">
    <w:nsid w:val="FFFFFF83"/>
    <w:multiLevelType w:val="singleLevel"/>
    <w:tmpl w:val="3A067F5C"/>
    <w:lvl w:ilvl="0">
      <w:start w:val="1"/>
      <w:numFmt w:val="bullet"/>
      <w:pStyle w:val="ListBullet2"/>
      <w:lvlText w:val=""/>
      <w:lvlJc w:val="left"/>
      <w:pPr>
        <w:tabs>
          <w:tab w:val="num" w:pos="720"/>
        </w:tabs>
        <w:ind w:left="720" w:hanging="363"/>
      </w:pPr>
      <w:rPr>
        <w:rFonts w:ascii="Symbol" w:hAnsi="Symbol" w:hint="default"/>
        <w:sz w:val="16"/>
      </w:rPr>
    </w:lvl>
  </w:abstractNum>
  <w:abstractNum w:abstractNumId="4">
    <w:nsid w:val="FFFFFF89"/>
    <w:multiLevelType w:val="singleLevel"/>
    <w:tmpl w:val="CAAA7B14"/>
    <w:lvl w:ilvl="0">
      <w:start w:val="1"/>
      <w:numFmt w:val="bullet"/>
      <w:lvlText w:val=""/>
      <w:lvlJc w:val="left"/>
      <w:pPr>
        <w:tabs>
          <w:tab w:val="num" w:pos="360"/>
        </w:tabs>
        <w:ind w:left="360" w:hanging="360"/>
      </w:pPr>
      <w:rPr>
        <w:rFonts w:ascii="Symbol" w:hAnsi="Symbol" w:hint="default"/>
      </w:rPr>
    </w:lvl>
  </w:abstractNum>
  <w:abstractNum w:abstractNumId="5">
    <w:nsid w:val="0025343F"/>
    <w:multiLevelType w:val="singleLevel"/>
    <w:tmpl w:val="04070011"/>
    <w:lvl w:ilvl="0">
      <w:start w:val="1"/>
      <w:numFmt w:val="decimal"/>
      <w:lvlText w:val="%1)"/>
      <w:lvlJc w:val="left"/>
      <w:pPr>
        <w:tabs>
          <w:tab w:val="num" w:pos="360"/>
        </w:tabs>
        <w:ind w:left="360" w:hanging="360"/>
      </w:pPr>
    </w:lvl>
  </w:abstractNum>
  <w:abstractNum w:abstractNumId="6">
    <w:nsid w:val="022C0E62"/>
    <w:multiLevelType w:val="hybridMultilevel"/>
    <w:tmpl w:val="7DD6EA06"/>
    <w:lvl w:ilvl="0" w:tplc="D046AA3E">
      <w:start w:val="1"/>
      <w:numFmt w:val="decimal"/>
      <w:lvlText w:val="(%1)"/>
      <w:lvlJc w:val="left"/>
      <w:pPr>
        <w:tabs>
          <w:tab w:val="num" w:pos="962"/>
        </w:tabs>
        <w:ind w:left="962" w:hanging="360"/>
      </w:pPr>
      <w:rPr>
        <w:rFonts w:hint="default"/>
      </w:rPr>
    </w:lvl>
    <w:lvl w:ilvl="1" w:tplc="04090019" w:tentative="1">
      <w:start w:val="1"/>
      <w:numFmt w:val="lowerLetter"/>
      <w:lvlText w:val="%2."/>
      <w:lvlJc w:val="left"/>
      <w:pPr>
        <w:tabs>
          <w:tab w:val="num" w:pos="1682"/>
        </w:tabs>
        <w:ind w:left="1682" w:hanging="360"/>
      </w:pPr>
    </w:lvl>
    <w:lvl w:ilvl="2" w:tplc="0409001B" w:tentative="1">
      <w:start w:val="1"/>
      <w:numFmt w:val="lowerRoman"/>
      <w:lvlText w:val="%3."/>
      <w:lvlJc w:val="right"/>
      <w:pPr>
        <w:tabs>
          <w:tab w:val="num" w:pos="2402"/>
        </w:tabs>
        <w:ind w:left="2402" w:hanging="180"/>
      </w:pPr>
    </w:lvl>
    <w:lvl w:ilvl="3" w:tplc="0409000F" w:tentative="1">
      <w:start w:val="1"/>
      <w:numFmt w:val="decimal"/>
      <w:lvlText w:val="%4."/>
      <w:lvlJc w:val="left"/>
      <w:pPr>
        <w:tabs>
          <w:tab w:val="num" w:pos="3122"/>
        </w:tabs>
        <w:ind w:left="3122" w:hanging="360"/>
      </w:pPr>
    </w:lvl>
    <w:lvl w:ilvl="4" w:tplc="04090019" w:tentative="1">
      <w:start w:val="1"/>
      <w:numFmt w:val="lowerLetter"/>
      <w:lvlText w:val="%5."/>
      <w:lvlJc w:val="left"/>
      <w:pPr>
        <w:tabs>
          <w:tab w:val="num" w:pos="3842"/>
        </w:tabs>
        <w:ind w:left="3842" w:hanging="360"/>
      </w:pPr>
    </w:lvl>
    <w:lvl w:ilvl="5" w:tplc="0409001B" w:tentative="1">
      <w:start w:val="1"/>
      <w:numFmt w:val="lowerRoman"/>
      <w:lvlText w:val="%6."/>
      <w:lvlJc w:val="right"/>
      <w:pPr>
        <w:tabs>
          <w:tab w:val="num" w:pos="4562"/>
        </w:tabs>
        <w:ind w:left="4562" w:hanging="180"/>
      </w:pPr>
    </w:lvl>
    <w:lvl w:ilvl="6" w:tplc="0409000F" w:tentative="1">
      <w:start w:val="1"/>
      <w:numFmt w:val="decimal"/>
      <w:lvlText w:val="%7."/>
      <w:lvlJc w:val="left"/>
      <w:pPr>
        <w:tabs>
          <w:tab w:val="num" w:pos="5282"/>
        </w:tabs>
        <w:ind w:left="5282" w:hanging="360"/>
      </w:pPr>
    </w:lvl>
    <w:lvl w:ilvl="7" w:tplc="04090019" w:tentative="1">
      <w:start w:val="1"/>
      <w:numFmt w:val="lowerLetter"/>
      <w:lvlText w:val="%8."/>
      <w:lvlJc w:val="left"/>
      <w:pPr>
        <w:tabs>
          <w:tab w:val="num" w:pos="6002"/>
        </w:tabs>
        <w:ind w:left="6002" w:hanging="360"/>
      </w:pPr>
    </w:lvl>
    <w:lvl w:ilvl="8" w:tplc="0409001B" w:tentative="1">
      <w:start w:val="1"/>
      <w:numFmt w:val="lowerRoman"/>
      <w:lvlText w:val="%9."/>
      <w:lvlJc w:val="right"/>
      <w:pPr>
        <w:tabs>
          <w:tab w:val="num" w:pos="6722"/>
        </w:tabs>
        <w:ind w:left="6722" w:hanging="180"/>
      </w:pPr>
    </w:lvl>
  </w:abstractNum>
  <w:abstractNum w:abstractNumId="7">
    <w:nsid w:val="0BC66AB7"/>
    <w:multiLevelType w:val="hybridMultilevel"/>
    <w:tmpl w:val="9948D532"/>
    <w:lvl w:ilvl="0" w:tplc="AEF69B60">
      <w:start w:val="1"/>
      <w:numFmt w:val="decimal"/>
      <w:pStyle w:val="ListNumb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C110CC2"/>
    <w:multiLevelType w:val="multilevel"/>
    <w:tmpl w:val="65FAA654"/>
    <w:lvl w:ilvl="0">
      <w:start w:val="5"/>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3AD7ED3"/>
    <w:multiLevelType w:val="hybridMultilevel"/>
    <w:tmpl w:val="5E36D17A"/>
    <w:lvl w:ilvl="0" w:tplc="C84E037E">
      <w:start w:val="1"/>
      <w:numFmt w:val="bullet"/>
      <w:pStyle w:val="ListBullet"/>
      <w:lvlText w:val=""/>
      <w:lvlJc w:val="left"/>
      <w:pPr>
        <w:tabs>
          <w:tab w:val="num" w:pos="425"/>
        </w:tabs>
        <w:ind w:left="425" w:hanging="425"/>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43C66A5"/>
    <w:multiLevelType w:val="multilevel"/>
    <w:tmpl w:val="3C9236FE"/>
    <w:lvl w:ilvl="0">
      <w:start w:val="1"/>
      <w:numFmt w:val="decimal"/>
      <w:lvlText w:val="%1"/>
      <w:lvlJc w:val="left"/>
      <w:pPr>
        <w:tabs>
          <w:tab w:val="num" w:pos="1077"/>
        </w:tabs>
        <w:ind w:left="1077" w:hanging="1077"/>
      </w:pPr>
      <w:rPr>
        <w:rFonts w:ascii="Times New Roman" w:hAnsi="Times New Roman" w:hint="default"/>
        <w:b/>
        <w:i w:val="0"/>
        <w:sz w:val="28"/>
      </w:rPr>
    </w:lvl>
    <w:lvl w:ilvl="1">
      <w:start w:val="1"/>
      <w:numFmt w:val="decimal"/>
      <w:lvlText w:val="%1.%2"/>
      <w:lvlJc w:val="left"/>
      <w:pPr>
        <w:tabs>
          <w:tab w:val="num" w:pos="1077"/>
        </w:tabs>
        <w:ind w:left="1077" w:hanging="1077"/>
      </w:pPr>
      <w:rPr>
        <w:rFonts w:ascii="Times New Roman" w:hAnsi="Times New Roman" w:hint="default"/>
        <w:b/>
        <w:i w:val="0"/>
        <w:sz w:val="24"/>
      </w:rPr>
    </w:lvl>
    <w:lvl w:ilvl="2">
      <w:start w:val="1"/>
      <w:numFmt w:val="decimal"/>
      <w:lvlText w:val="%1.%2.%3"/>
      <w:lvlJc w:val="left"/>
      <w:pPr>
        <w:tabs>
          <w:tab w:val="num" w:pos="1557"/>
        </w:tabs>
        <w:ind w:left="1557" w:hanging="1077"/>
      </w:pPr>
      <w:rPr>
        <w:rFonts w:ascii="Times New Roman" w:hAnsi="Times New Roman" w:hint="default"/>
        <w:b/>
        <w:i w:val="0"/>
        <w:sz w:val="24"/>
      </w:rPr>
    </w:lvl>
    <w:lvl w:ilvl="3">
      <w:start w:val="1"/>
      <w:numFmt w:val="decimal"/>
      <w:lvlText w:val="%1.%2.%3.%4"/>
      <w:lvlJc w:val="left"/>
      <w:pPr>
        <w:tabs>
          <w:tab w:val="num" w:pos="1077"/>
        </w:tabs>
        <w:ind w:left="1077" w:hanging="1077"/>
      </w:pPr>
      <w:rPr>
        <w:rFonts w:ascii="Times New Roman" w:hAnsi="Times New Roman" w:hint="default"/>
        <w:b/>
        <w:i w:val="0"/>
        <w:sz w:val="24"/>
      </w:rPr>
    </w:lvl>
    <w:lvl w:ilvl="4">
      <w:start w:val="1"/>
      <w:numFmt w:val="decimal"/>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ED608F"/>
    <w:multiLevelType w:val="multilevel"/>
    <w:tmpl w:val="3C9236FE"/>
    <w:lvl w:ilvl="0">
      <w:start w:val="1"/>
      <w:numFmt w:val="decimal"/>
      <w:pStyle w:val="Heading1"/>
      <w:lvlText w:val="%1"/>
      <w:lvlJc w:val="left"/>
      <w:pPr>
        <w:tabs>
          <w:tab w:val="num" w:pos="1077"/>
        </w:tabs>
        <w:ind w:left="1077" w:hanging="1077"/>
      </w:pPr>
      <w:rPr>
        <w:rFonts w:ascii="Times New Roman" w:hAnsi="Times New Roman" w:hint="default"/>
        <w:b/>
        <w:i w:val="0"/>
        <w:sz w:val="28"/>
      </w:rPr>
    </w:lvl>
    <w:lvl w:ilvl="1">
      <w:start w:val="1"/>
      <w:numFmt w:val="decimal"/>
      <w:pStyle w:val="Heading2"/>
      <w:lvlText w:val="%1.%2"/>
      <w:lvlJc w:val="left"/>
      <w:pPr>
        <w:tabs>
          <w:tab w:val="num" w:pos="1077"/>
        </w:tabs>
        <w:ind w:left="1077" w:hanging="1077"/>
      </w:pPr>
      <w:rPr>
        <w:rFonts w:ascii="Times New Roman" w:hAnsi="Times New Roman" w:hint="default"/>
        <w:b/>
        <w:i w:val="0"/>
        <w:sz w:val="24"/>
      </w:rPr>
    </w:lvl>
    <w:lvl w:ilvl="2">
      <w:start w:val="1"/>
      <w:numFmt w:val="decimal"/>
      <w:pStyle w:val="Heading3"/>
      <w:lvlText w:val="%1.%2.%3"/>
      <w:lvlJc w:val="left"/>
      <w:pPr>
        <w:tabs>
          <w:tab w:val="num" w:pos="1557"/>
        </w:tabs>
        <w:ind w:left="1557" w:hanging="1077"/>
      </w:pPr>
      <w:rPr>
        <w:rFonts w:ascii="Times New Roman" w:hAnsi="Times New Roman" w:hint="default"/>
        <w:b/>
        <w:i w:val="0"/>
        <w:sz w:val="24"/>
      </w:rPr>
    </w:lvl>
    <w:lvl w:ilvl="3">
      <w:start w:val="1"/>
      <w:numFmt w:val="decimal"/>
      <w:pStyle w:val="Heading4"/>
      <w:lvlText w:val="%1.%2.%3.%4"/>
      <w:lvlJc w:val="left"/>
      <w:pPr>
        <w:tabs>
          <w:tab w:val="num" w:pos="1077"/>
        </w:tabs>
        <w:ind w:left="1077" w:hanging="1077"/>
      </w:pPr>
      <w:rPr>
        <w:rFonts w:ascii="Times New Roman" w:hAnsi="Times New Roman" w:hint="default"/>
        <w:b/>
        <w:i w:val="0"/>
        <w:sz w:val="24"/>
      </w:rPr>
    </w:lvl>
    <w:lvl w:ilvl="4">
      <w:start w:val="1"/>
      <w:numFmt w:val="decimal"/>
      <w:pStyle w:val="Heading5"/>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A88671F"/>
    <w:multiLevelType w:val="hybridMultilevel"/>
    <w:tmpl w:val="C75474EC"/>
    <w:lvl w:ilvl="0" w:tplc="C1DCBEB4">
      <w:start w:val="1"/>
      <w:numFmt w:val="lowerLetter"/>
      <w:pStyle w:val="Listalpha"/>
      <w:lvlText w:val="%1."/>
      <w:lvlJc w:val="left"/>
      <w:pPr>
        <w:tabs>
          <w:tab w:val="num" w:pos="360"/>
        </w:tabs>
        <w:ind w:left="36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109661E"/>
    <w:multiLevelType w:val="hybridMultilevel"/>
    <w:tmpl w:val="CA78E86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nsid w:val="3D93668E"/>
    <w:multiLevelType w:val="multilevel"/>
    <w:tmpl w:val="566A8842"/>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E927737"/>
    <w:multiLevelType w:val="hybridMultilevel"/>
    <w:tmpl w:val="BAFC0D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0380750"/>
    <w:multiLevelType w:val="hybridMultilevel"/>
    <w:tmpl w:val="8A58F244"/>
    <w:lvl w:ilvl="0" w:tplc="D8F864C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C2F0370"/>
    <w:multiLevelType w:val="multilevel"/>
    <w:tmpl w:val="2690B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CB27BC9"/>
    <w:multiLevelType w:val="multilevel"/>
    <w:tmpl w:val="3C9236FE"/>
    <w:lvl w:ilvl="0">
      <w:start w:val="1"/>
      <w:numFmt w:val="decimal"/>
      <w:lvlText w:val="%1"/>
      <w:lvlJc w:val="left"/>
      <w:pPr>
        <w:tabs>
          <w:tab w:val="num" w:pos="1077"/>
        </w:tabs>
        <w:ind w:left="1077" w:hanging="1077"/>
      </w:pPr>
      <w:rPr>
        <w:rFonts w:ascii="Times New Roman" w:hAnsi="Times New Roman" w:hint="default"/>
        <w:b/>
        <w:i w:val="0"/>
        <w:sz w:val="28"/>
      </w:rPr>
    </w:lvl>
    <w:lvl w:ilvl="1">
      <w:start w:val="1"/>
      <w:numFmt w:val="decimal"/>
      <w:lvlText w:val="%1.%2"/>
      <w:lvlJc w:val="left"/>
      <w:pPr>
        <w:tabs>
          <w:tab w:val="num" w:pos="1077"/>
        </w:tabs>
        <w:ind w:left="1077" w:hanging="1077"/>
      </w:pPr>
      <w:rPr>
        <w:rFonts w:ascii="Times New Roman" w:hAnsi="Times New Roman" w:hint="default"/>
        <w:b/>
        <w:i w:val="0"/>
        <w:sz w:val="24"/>
      </w:rPr>
    </w:lvl>
    <w:lvl w:ilvl="2">
      <w:start w:val="1"/>
      <w:numFmt w:val="decimal"/>
      <w:lvlText w:val="%1.%2.%3"/>
      <w:lvlJc w:val="left"/>
      <w:pPr>
        <w:tabs>
          <w:tab w:val="num" w:pos="1557"/>
        </w:tabs>
        <w:ind w:left="1557" w:hanging="1077"/>
      </w:pPr>
      <w:rPr>
        <w:rFonts w:ascii="Times New Roman" w:hAnsi="Times New Roman" w:hint="default"/>
        <w:b/>
        <w:i w:val="0"/>
        <w:sz w:val="24"/>
      </w:rPr>
    </w:lvl>
    <w:lvl w:ilvl="3">
      <w:start w:val="1"/>
      <w:numFmt w:val="decimal"/>
      <w:lvlText w:val="%1.%2.%3.%4"/>
      <w:lvlJc w:val="left"/>
      <w:pPr>
        <w:tabs>
          <w:tab w:val="num" w:pos="1077"/>
        </w:tabs>
        <w:ind w:left="1077" w:hanging="1077"/>
      </w:pPr>
      <w:rPr>
        <w:rFonts w:ascii="Times New Roman" w:hAnsi="Times New Roman" w:hint="default"/>
        <w:b/>
        <w:i w:val="0"/>
        <w:sz w:val="24"/>
      </w:rPr>
    </w:lvl>
    <w:lvl w:ilvl="4">
      <w:start w:val="1"/>
      <w:numFmt w:val="decimal"/>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EEE340F"/>
    <w:multiLevelType w:val="multilevel"/>
    <w:tmpl w:val="CAE44B72"/>
    <w:lvl w:ilvl="0">
      <w:start w:val="4"/>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F3451F3"/>
    <w:multiLevelType w:val="hybridMultilevel"/>
    <w:tmpl w:val="328EFE9A"/>
    <w:lvl w:ilvl="0" w:tplc="08090005">
      <w:start w:val="1"/>
      <w:numFmt w:val="bullet"/>
      <w:lvlText w:val=""/>
      <w:lvlJc w:val="left"/>
      <w:pPr>
        <w:ind w:left="777" w:hanging="360"/>
      </w:pPr>
      <w:rPr>
        <w:rFonts w:ascii="Wingdings" w:hAnsi="Wingdings"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num w:numId="1">
    <w:abstractNumId w:val="9"/>
  </w:num>
  <w:num w:numId="2">
    <w:abstractNumId w:val="12"/>
  </w:num>
  <w:num w:numId="3">
    <w:abstractNumId w:val="3"/>
  </w:num>
  <w:num w:numId="4">
    <w:abstractNumId w:val="2"/>
  </w:num>
  <w:num w:numId="5">
    <w:abstractNumId w:val="1"/>
  </w:num>
  <w:num w:numId="6">
    <w:abstractNumId w:val="7"/>
  </w:num>
  <w:num w:numId="7">
    <w:abstractNumId w:val="11"/>
  </w:num>
  <w:num w:numId="8">
    <w:abstractNumId w:val="17"/>
  </w:num>
  <w:num w:numId="9">
    <w:abstractNumId w:val="15"/>
  </w:num>
  <w:num w:numId="10">
    <w:abstractNumId w:val="6"/>
  </w:num>
  <w:num w:numId="11">
    <w:abstractNumId w:val="19"/>
  </w:num>
  <w:num w:numId="12">
    <w:abstractNumId w:val="8"/>
  </w:num>
  <w:num w:numId="13">
    <w:abstractNumId w:val="14"/>
  </w:num>
  <w:num w:numId="14">
    <w:abstractNumId w:val="18"/>
  </w:num>
  <w:num w:numId="15">
    <w:abstractNumId w:val="10"/>
  </w:num>
  <w:num w:numId="16">
    <w:abstractNumId w:val="5"/>
  </w:num>
  <w:num w:numId="17">
    <w:abstractNumId w:val="0"/>
  </w:num>
  <w:num w:numId="18">
    <w:abstractNumId w:val="4"/>
  </w:num>
  <w:num w:numId="19">
    <w:abstractNumId w:val="13"/>
  </w:num>
  <w:num w:numId="20">
    <w:abstractNumId w:val="20"/>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8F4036"/>
    <w:rsid w:val="00000996"/>
    <w:rsid w:val="00003672"/>
    <w:rsid w:val="000041B3"/>
    <w:rsid w:val="00010A21"/>
    <w:rsid w:val="00011D13"/>
    <w:rsid w:val="00012417"/>
    <w:rsid w:val="00013DFD"/>
    <w:rsid w:val="00015A58"/>
    <w:rsid w:val="00017C62"/>
    <w:rsid w:val="0002374D"/>
    <w:rsid w:val="00023B4A"/>
    <w:rsid w:val="00023B8A"/>
    <w:rsid w:val="000246D5"/>
    <w:rsid w:val="00040F6F"/>
    <w:rsid w:val="0004529C"/>
    <w:rsid w:val="0004566C"/>
    <w:rsid w:val="00046333"/>
    <w:rsid w:val="0004683A"/>
    <w:rsid w:val="00050495"/>
    <w:rsid w:val="00050922"/>
    <w:rsid w:val="00050BB5"/>
    <w:rsid w:val="00052F80"/>
    <w:rsid w:val="00055F4D"/>
    <w:rsid w:val="00056144"/>
    <w:rsid w:val="00061595"/>
    <w:rsid w:val="00061D25"/>
    <w:rsid w:val="00067575"/>
    <w:rsid w:val="00070191"/>
    <w:rsid w:val="00071CCD"/>
    <w:rsid w:val="00071DC8"/>
    <w:rsid w:val="000722BB"/>
    <w:rsid w:val="00074748"/>
    <w:rsid w:val="00075480"/>
    <w:rsid w:val="00075903"/>
    <w:rsid w:val="00077D32"/>
    <w:rsid w:val="0008525A"/>
    <w:rsid w:val="00087065"/>
    <w:rsid w:val="00091F5A"/>
    <w:rsid w:val="00095008"/>
    <w:rsid w:val="000954DF"/>
    <w:rsid w:val="0009691B"/>
    <w:rsid w:val="00096E9B"/>
    <w:rsid w:val="00096F98"/>
    <w:rsid w:val="000A14C8"/>
    <w:rsid w:val="000A2191"/>
    <w:rsid w:val="000A3308"/>
    <w:rsid w:val="000B1F74"/>
    <w:rsid w:val="000B530E"/>
    <w:rsid w:val="000B5E58"/>
    <w:rsid w:val="000B6633"/>
    <w:rsid w:val="000C0B40"/>
    <w:rsid w:val="000C2F3B"/>
    <w:rsid w:val="000C487F"/>
    <w:rsid w:val="000C522D"/>
    <w:rsid w:val="000C5238"/>
    <w:rsid w:val="000D3EB2"/>
    <w:rsid w:val="000D4426"/>
    <w:rsid w:val="000D6098"/>
    <w:rsid w:val="000E72F5"/>
    <w:rsid w:val="000F7F8E"/>
    <w:rsid w:val="0010052A"/>
    <w:rsid w:val="00100E37"/>
    <w:rsid w:val="0010169E"/>
    <w:rsid w:val="00102F6C"/>
    <w:rsid w:val="00104126"/>
    <w:rsid w:val="00105758"/>
    <w:rsid w:val="00106413"/>
    <w:rsid w:val="0010683D"/>
    <w:rsid w:val="00113A05"/>
    <w:rsid w:val="00114FC5"/>
    <w:rsid w:val="001179C3"/>
    <w:rsid w:val="00120F1A"/>
    <w:rsid w:val="0012180C"/>
    <w:rsid w:val="001232EB"/>
    <w:rsid w:val="001239E7"/>
    <w:rsid w:val="00123C48"/>
    <w:rsid w:val="00123FB2"/>
    <w:rsid w:val="001272B9"/>
    <w:rsid w:val="00127BAE"/>
    <w:rsid w:val="001322A6"/>
    <w:rsid w:val="00142981"/>
    <w:rsid w:val="00143A83"/>
    <w:rsid w:val="00144DD5"/>
    <w:rsid w:val="00146C4E"/>
    <w:rsid w:val="00147928"/>
    <w:rsid w:val="00150D36"/>
    <w:rsid w:val="001524C7"/>
    <w:rsid w:val="00152B02"/>
    <w:rsid w:val="00152B17"/>
    <w:rsid w:val="00154178"/>
    <w:rsid w:val="001563C9"/>
    <w:rsid w:val="00156F0C"/>
    <w:rsid w:val="00161AD7"/>
    <w:rsid w:val="001627C7"/>
    <w:rsid w:val="0016485A"/>
    <w:rsid w:val="0016655D"/>
    <w:rsid w:val="0017117E"/>
    <w:rsid w:val="00171440"/>
    <w:rsid w:val="001733C0"/>
    <w:rsid w:val="00173FC1"/>
    <w:rsid w:val="00174625"/>
    <w:rsid w:val="00174F17"/>
    <w:rsid w:val="00176949"/>
    <w:rsid w:val="0018240A"/>
    <w:rsid w:val="0018630C"/>
    <w:rsid w:val="0019287C"/>
    <w:rsid w:val="001938C7"/>
    <w:rsid w:val="00194E84"/>
    <w:rsid w:val="00196385"/>
    <w:rsid w:val="001A01C4"/>
    <w:rsid w:val="001A2468"/>
    <w:rsid w:val="001A28F4"/>
    <w:rsid w:val="001B41D5"/>
    <w:rsid w:val="001B463B"/>
    <w:rsid w:val="001B6188"/>
    <w:rsid w:val="001B7C62"/>
    <w:rsid w:val="001C6CF0"/>
    <w:rsid w:val="001C7DFC"/>
    <w:rsid w:val="001D42EB"/>
    <w:rsid w:val="001D6241"/>
    <w:rsid w:val="001D6B31"/>
    <w:rsid w:val="001E038F"/>
    <w:rsid w:val="001E0449"/>
    <w:rsid w:val="001E3400"/>
    <w:rsid w:val="001E6A2C"/>
    <w:rsid w:val="001F1851"/>
    <w:rsid w:val="001F23B4"/>
    <w:rsid w:val="001F2503"/>
    <w:rsid w:val="001F5DDA"/>
    <w:rsid w:val="001F7759"/>
    <w:rsid w:val="00204A39"/>
    <w:rsid w:val="00206243"/>
    <w:rsid w:val="00207157"/>
    <w:rsid w:val="00210426"/>
    <w:rsid w:val="00211A6E"/>
    <w:rsid w:val="002130A8"/>
    <w:rsid w:val="00223902"/>
    <w:rsid w:val="002244F2"/>
    <w:rsid w:val="002267D5"/>
    <w:rsid w:val="00230775"/>
    <w:rsid w:val="00231391"/>
    <w:rsid w:val="00233430"/>
    <w:rsid w:val="00233455"/>
    <w:rsid w:val="00234427"/>
    <w:rsid w:val="002367B3"/>
    <w:rsid w:val="00237AF9"/>
    <w:rsid w:val="00240F05"/>
    <w:rsid w:val="00250C7C"/>
    <w:rsid w:val="002511DD"/>
    <w:rsid w:val="002516F0"/>
    <w:rsid w:val="00252A89"/>
    <w:rsid w:val="002544AB"/>
    <w:rsid w:val="00260461"/>
    <w:rsid w:val="00261517"/>
    <w:rsid w:val="002632D2"/>
    <w:rsid w:val="00265E33"/>
    <w:rsid w:val="00266D7B"/>
    <w:rsid w:val="00271429"/>
    <w:rsid w:val="00271E75"/>
    <w:rsid w:val="00272410"/>
    <w:rsid w:val="00274BF0"/>
    <w:rsid w:val="00275906"/>
    <w:rsid w:val="002770A7"/>
    <w:rsid w:val="0028375D"/>
    <w:rsid w:val="002A3C40"/>
    <w:rsid w:val="002B06BD"/>
    <w:rsid w:val="002B0EFA"/>
    <w:rsid w:val="002B165A"/>
    <w:rsid w:val="002B3D94"/>
    <w:rsid w:val="002B3F30"/>
    <w:rsid w:val="002B4499"/>
    <w:rsid w:val="002B786D"/>
    <w:rsid w:val="002C2995"/>
    <w:rsid w:val="002C30E0"/>
    <w:rsid w:val="002C311C"/>
    <w:rsid w:val="002C38A3"/>
    <w:rsid w:val="002C44AB"/>
    <w:rsid w:val="002C4F76"/>
    <w:rsid w:val="002D035F"/>
    <w:rsid w:val="002D1503"/>
    <w:rsid w:val="002D3827"/>
    <w:rsid w:val="002D636B"/>
    <w:rsid w:val="002E2B5F"/>
    <w:rsid w:val="002E5AD2"/>
    <w:rsid w:val="002E753B"/>
    <w:rsid w:val="002F099C"/>
    <w:rsid w:val="002F2419"/>
    <w:rsid w:val="003001D4"/>
    <w:rsid w:val="0030020D"/>
    <w:rsid w:val="00303115"/>
    <w:rsid w:val="00304821"/>
    <w:rsid w:val="00307F4F"/>
    <w:rsid w:val="0031305B"/>
    <w:rsid w:val="00313C34"/>
    <w:rsid w:val="00314CA1"/>
    <w:rsid w:val="00316128"/>
    <w:rsid w:val="00322823"/>
    <w:rsid w:val="00322C63"/>
    <w:rsid w:val="0032300E"/>
    <w:rsid w:val="00323038"/>
    <w:rsid w:val="00324845"/>
    <w:rsid w:val="0032606D"/>
    <w:rsid w:val="00331464"/>
    <w:rsid w:val="00332034"/>
    <w:rsid w:val="00333FCA"/>
    <w:rsid w:val="00335A4A"/>
    <w:rsid w:val="0034580D"/>
    <w:rsid w:val="003477C9"/>
    <w:rsid w:val="0035159A"/>
    <w:rsid w:val="00357978"/>
    <w:rsid w:val="003600BE"/>
    <w:rsid w:val="00362FF6"/>
    <w:rsid w:val="003649A9"/>
    <w:rsid w:val="00365729"/>
    <w:rsid w:val="00367552"/>
    <w:rsid w:val="00371BCD"/>
    <w:rsid w:val="00372F89"/>
    <w:rsid w:val="00372F9C"/>
    <w:rsid w:val="003746A5"/>
    <w:rsid w:val="003762E4"/>
    <w:rsid w:val="00376B63"/>
    <w:rsid w:val="003779A8"/>
    <w:rsid w:val="00377BCD"/>
    <w:rsid w:val="0038288D"/>
    <w:rsid w:val="0038396E"/>
    <w:rsid w:val="003850EC"/>
    <w:rsid w:val="0038685F"/>
    <w:rsid w:val="003904AB"/>
    <w:rsid w:val="00397CD9"/>
    <w:rsid w:val="003A0497"/>
    <w:rsid w:val="003A3900"/>
    <w:rsid w:val="003A50EA"/>
    <w:rsid w:val="003B1CC7"/>
    <w:rsid w:val="003C05C4"/>
    <w:rsid w:val="003C40B3"/>
    <w:rsid w:val="003C5A18"/>
    <w:rsid w:val="003C63D6"/>
    <w:rsid w:val="003D024E"/>
    <w:rsid w:val="003D084F"/>
    <w:rsid w:val="003D43DF"/>
    <w:rsid w:val="003D7F1B"/>
    <w:rsid w:val="003E001F"/>
    <w:rsid w:val="003E3910"/>
    <w:rsid w:val="003E6809"/>
    <w:rsid w:val="003E7D45"/>
    <w:rsid w:val="003F082F"/>
    <w:rsid w:val="003F3023"/>
    <w:rsid w:val="003F3D0F"/>
    <w:rsid w:val="003F465E"/>
    <w:rsid w:val="003F750E"/>
    <w:rsid w:val="003F7E1E"/>
    <w:rsid w:val="004051C9"/>
    <w:rsid w:val="004067C5"/>
    <w:rsid w:val="00413267"/>
    <w:rsid w:val="00413C9F"/>
    <w:rsid w:val="0041420C"/>
    <w:rsid w:val="00416568"/>
    <w:rsid w:val="00422F40"/>
    <w:rsid w:val="00424854"/>
    <w:rsid w:val="004260D1"/>
    <w:rsid w:val="00426E8D"/>
    <w:rsid w:val="0042732D"/>
    <w:rsid w:val="00430507"/>
    <w:rsid w:val="00430890"/>
    <w:rsid w:val="00433CB9"/>
    <w:rsid w:val="004341FB"/>
    <w:rsid w:val="00434242"/>
    <w:rsid w:val="00440A9E"/>
    <w:rsid w:val="004412C6"/>
    <w:rsid w:val="0044179D"/>
    <w:rsid w:val="00442E3A"/>
    <w:rsid w:val="0044396B"/>
    <w:rsid w:val="00443C11"/>
    <w:rsid w:val="00446672"/>
    <w:rsid w:val="004500A2"/>
    <w:rsid w:val="0045111F"/>
    <w:rsid w:val="00451B06"/>
    <w:rsid w:val="00455929"/>
    <w:rsid w:val="0045701B"/>
    <w:rsid w:val="00457F0D"/>
    <w:rsid w:val="00460F65"/>
    <w:rsid w:val="00462130"/>
    <w:rsid w:val="00462B0A"/>
    <w:rsid w:val="004642B2"/>
    <w:rsid w:val="00470333"/>
    <w:rsid w:val="00470A4C"/>
    <w:rsid w:val="00471C94"/>
    <w:rsid w:val="00472971"/>
    <w:rsid w:val="0047649D"/>
    <w:rsid w:val="00476F80"/>
    <w:rsid w:val="0048075E"/>
    <w:rsid w:val="004853BA"/>
    <w:rsid w:val="00485891"/>
    <w:rsid w:val="00485968"/>
    <w:rsid w:val="0048656E"/>
    <w:rsid w:val="00487930"/>
    <w:rsid w:val="00490ED1"/>
    <w:rsid w:val="00491CC3"/>
    <w:rsid w:val="004949B4"/>
    <w:rsid w:val="00494AC0"/>
    <w:rsid w:val="004969B4"/>
    <w:rsid w:val="004A2130"/>
    <w:rsid w:val="004A2E6A"/>
    <w:rsid w:val="004A3D11"/>
    <w:rsid w:val="004A443F"/>
    <w:rsid w:val="004A6BEE"/>
    <w:rsid w:val="004A6FE4"/>
    <w:rsid w:val="004B0C29"/>
    <w:rsid w:val="004B19B7"/>
    <w:rsid w:val="004B43B2"/>
    <w:rsid w:val="004B5357"/>
    <w:rsid w:val="004B67FA"/>
    <w:rsid w:val="004B6D26"/>
    <w:rsid w:val="004C1D92"/>
    <w:rsid w:val="004C2D3D"/>
    <w:rsid w:val="004C6C83"/>
    <w:rsid w:val="004D054F"/>
    <w:rsid w:val="004D1F42"/>
    <w:rsid w:val="004D21B5"/>
    <w:rsid w:val="004D42BE"/>
    <w:rsid w:val="004F4F0A"/>
    <w:rsid w:val="00500CD0"/>
    <w:rsid w:val="005022AD"/>
    <w:rsid w:val="00502C55"/>
    <w:rsid w:val="0050730B"/>
    <w:rsid w:val="005077B3"/>
    <w:rsid w:val="00510DFB"/>
    <w:rsid w:val="00511ACE"/>
    <w:rsid w:val="00514383"/>
    <w:rsid w:val="00523843"/>
    <w:rsid w:val="00523E6C"/>
    <w:rsid w:val="00523EBB"/>
    <w:rsid w:val="00525A63"/>
    <w:rsid w:val="005279A9"/>
    <w:rsid w:val="00540DF4"/>
    <w:rsid w:val="005420D9"/>
    <w:rsid w:val="00542D47"/>
    <w:rsid w:val="00542F46"/>
    <w:rsid w:val="00547046"/>
    <w:rsid w:val="00547314"/>
    <w:rsid w:val="005475D7"/>
    <w:rsid w:val="00550E85"/>
    <w:rsid w:val="005539C5"/>
    <w:rsid w:val="005541DD"/>
    <w:rsid w:val="00555116"/>
    <w:rsid w:val="00564168"/>
    <w:rsid w:val="00566E59"/>
    <w:rsid w:val="005719C7"/>
    <w:rsid w:val="005735AA"/>
    <w:rsid w:val="0057539E"/>
    <w:rsid w:val="00577C40"/>
    <w:rsid w:val="0058595A"/>
    <w:rsid w:val="005915E6"/>
    <w:rsid w:val="00595422"/>
    <w:rsid w:val="00597490"/>
    <w:rsid w:val="005977F5"/>
    <w:rsid w:val="005A1336"/>
    <w:rsid w:val="005A2126"/>
    <w:rsid w:val="005A2AEC"/>
    <w:rsid w:val="005A4384"/>
    <w:rsid w:val="005A43AA"/>
    <w:rsid w:val="005A5F33"/>
    <w:rsid w:val="005A6512"/>
    <w:rsid w:val="005B4D1B"/>
    <w:rsid w:val="005B4FAB"/>
    <w:rsid w:val="005B7857"/>
    <w:rsid w:val="005C3ADA"/>
    <w:rsid w:val="005D3143"/>
    <w:rsid w:val="005D5FE3"/>
    <w:rsid w:val="005D6F4C"/>
    <w:rsid w:val="005E0E69"/>
    <w:rsid w:val="005E7146"/>
    <w:rsid w:val="005F0010"/>
    <w:rsid w:val="005F10B6"/>
    <w:rsid w:val="005F3343"/>
    <w:rsid w:val="005F5D87"/>
    <w:rsid w:val="00601669"/>
    <w:rsid w:val="00604C6D"/>
    <w:rsid w:val="0060612E"/>
    <w:rsid w:val="00606641"/>
    <w:rsid w:val="006109C7"/>
    <w:rsid w:val="006115CF"/>
    <w:rsid w:val="00614CFC"/>
    <w:rsid w:val="006200A1"/>
    <w:rsid w:val="00620592"/>
    <w:rsid w:val="006205B8"/>
    <w:rsid w:val="006224C5"/>
    <w:rsid w:val="00623854"/>
    <w:rsid w:val="006263B7"/>
    <w:rsid w:val="00630095"/>
    <w:rsid w:val="00630D1F"/>
    <w:rsid w:val="006316FF"/>
    <w:rsid w:val="00632105"/>
    <w:rsid w:val="006333FB"/>
    <w:rsid w:val="006338B5"/>
    <w:rsid w:val="00634DC5"/>
    <w:rsid w:val="00635692"/>
    <w:rsid w:val="0063741F"/>
    <w:rsid w:val="00637D24"/>
    <w:rsid w:val="00641090"/>
    <w:rsid w:val="006463FD"/>
    <w:rsid w:val="00646A5E"/>
    <w:rsid w:val="006544A3"/>
    <w:rsid w:val="00663515"/>
    <w:rsid w:val="00663C06"/>
    <w:rsid w:val="00663D7E"/>
    <w:rsid w:val="00664396"/>
    <w:rsid w:val="006648A5"/>
    <w:rsid w:val="0067289E"/>
    <w:rsid w:val="00673724"/>
    <w:rsid w:val="00680099"/>
    <w:rsid w:val="00682457"/>
    <w:rsid w:val="00687309"/>
    <w:rsid w:val="00687849"/>
    <w:rsid w:val="00691620"/>
    <w:rsid w:val="0069390F"/>
    <w:rsid w:val="00694EF6"/>
    <w:rsid w:val="006959A8"/>
    <w:rsid w:val="006A0BAF"/>
    <w:rsid w:val="006A4A8A"/>
    <w:rsid w:val="006B3AE0"/>
    <w:rsid w:val="006B4130"/>
    <w:rsid w:val="006B47C7"/>
    <w:rsid w:val="006B6090"/>
    <w:rsid w:val="006B7461"/>
    <w:rsid w:val="006D10D0"/>
    <w:rsid w:val="006D26E4"/>
    <w:rsid w:val="006D2D6A"/>
    <w:rsid w:val="006D30C2"/>
    <w:rsid w:val="006D64D9"/>
    <w:rsid w:val="006D681E"/>
    <w:rsid w:val="006D6EF4"/>
    <w:rsid w:val="006D7018"/>
    <w:rsid w:val="006D730B"/>
    <w:rsid w:val="006E0A89"/>
    <w:rsid w:val="006E4BB2"/>
    <w:rsid w:val="006E609C"/>
    <w:rsid w:val="006E6DF8"/>
    <w:rsid w:val="006F00F6"/>
    <w:rsid w:val="006F5D98"/>
    <w:rsid w:val="006F5F1A"/>
    <w:rsid w:val="00701342"/>
    <w:rsid w:val="007016FE"/>
    <w:rsid w:val="00702F10"/>
    <w:rsid w:val="00705C39"/>
    <w:rsid w:val="00706EDC"/>
    <w:rsid w:val="00712071"/>
    <w:rsid w:val="0071239A"/>
    <w:rsid w:val="00717C4E"/>
    <w:rsid w:val="00720A56"/>
    <w:rsid w:val="00722EBA"/>
    <w:rsid w:val="007332C5"/>
    <w:rsid w:val="007336D3"/>
    <w:rsid w:val="00734DE3"/>
    <w:rsid w:val="007426F9"/>
    <w:rsid w:val="00742D4A"/>
    <w:rsid w:val="00744634"/>
    <w:rsid w:val="0074682F"/>
    <w:rsid w:val="00747AA4"/>
    <w:rsid w:val="0075185D"/>
    <w:rsid w:val="00751898"/>
    <w:rsid w:val="00751DB5"/>
    <w:rsid w:val="00753ED6"/>
    <w:rsid w:val="00753F31"/>
    <w:rsid w:val="00756071"/>
    <w:rsid w:val="007603D2"/>
    <w:rsid w:val="00761353"/>
    <w:rsid w:val="0076152C"/>
    <w:rsid w:val="00762F40"/>
    <w:rsid w:val="007641E2"/>
    <w:rsid w:val="00767305"/>
    <w:rsid w:val="007704E2"/>
    <w:rsid w:val="00771EC7"/>
    <w:rsid w:val="00774481"/>
    <w:rsid w:val="00775B5B"/>
    <w:rsid w:val="00781802"/>
    <w:rsid w:val="00783823"/>
    <w:rsid w:val="00783F78"/>
    <w:rsid w:val="0078401D"/>
    <w:rsid w:val="00784194"/>
    <w:rsid w:val="00784C4B"/>
    <w:rsid w:val="007860A2"/>
    <w:rsid w:val="007862A4"/>
    <w:rsid w:val="00787F58"/>
    <w:rsid w:val="00790CCB"/>
    <w:rsid w:val="0079186D"/>
    <w:rsid w:val="00793D15"/>
    <w:rsid w:val="00795013"/>
    <w:rsid w:val="0079603B"/>
    <w:rsid w:val="00797B69"/>
    <w:rsid w:val="007A2924"/>
    <w:rsid w:val="007B0114"/>
    <w:rsid w:val="007B54E1"/>
    <w:rsid w:val="007C0A1E"/>
    <w:rsid w:val="007C5D02"/>
    <w:rsid w:val="007C76CC"/>
    <w:rsid w:val="007D032F"/>
    <w:rsid w:val="007D4A3F"/>
    <w:rsid w:val="007D70C2"/>
    <w:rsid w:val="007E181E"/>
    <w:rsid w:val="007E1A7C"/>
    <w:rsid w:val="007E255D"/>
    <w:rsid w:val="007E4E20"/>
    <w:rsid w:val="007E5567"/>
    <w:rsid w:val="007E5589"/>
    <w:rsid w:val="007E7274"/>
    <w:rsid w:val="007E767F"/>
    <w:rsid w:val="007F115E"/>
    <w:rsid w:val="007F1283"/>
    <w:rsid w:val="007F25ED"/>
    <w:rsid w:val="007F4EA1"/>
    <w:rsid w:val="007F70FE"/>
    <w:rsid w:val="00804A40"/>
    <w:rsid w:val="008071C6"/>
    <w:rsid w:val="008105BE"/>
    <w:rsid w:val="00811413"/>
    <w:rsid w:val="008143B7"/>
    <w:rsid w:val="00814962"/>
    <w:rsid w:val="0081533D"/>
    <w:rsid w:val="008155E0"/>
    <w:rsid w:val="008164BC"/>
    <w:rsid w:val="00820E45"/>
    <w:rsid w:val="008221F1"/>
    <w:rsid w:val="0082369B"/>
    <w:rsid w:val="00823AEE"/>
    <w:rsid w:val="00823E57"/>
    <w:rsid w:val="00825D0F"/>
    <w:rsid w:val="00827D5F"/>
    <w:rsid w:val="00836315"/>
    <w:rsid w:val="0084787F"/>
    <w:rsid w:val="00853499"/>
    <w:rsid w:val="00856DAB"/>
    <w:rsid w:val="0085709D"/>
    <w:rsid w:val="00857A8C"/>
    <w:rsid w:val="008617F5"/>
    <w:rsid w:val="00861CED"/>
    <w:rsid w:val="00861D7A"/>
    <w:rsid w:val="00862733"/>
    <w:rsid w:val="008704A9"/>
    <w:rsid w:val="008707D8"/>
    <w:rsid w:val="00874DE5"/>
    <w:rsid w:val="00883B1C"/>
    <w:rsid w:val="00884A24"/>
    <w:rsid w:val="00884DE9"/>
    <w:rsid w:val="00890261"/>
    <w:rsid w:val="00895CF0"/>
    <w:rsid w:val="0089758B"/>
    <w:rsid w:val="008A04F7"/>
    <w:rsid w:val="008A1E52"/>
    <w:rsid w:val="008A4EAF"/>
    <w:rsid w:val="008B09BF"/>
    <w:rsid w:val="008B4C57"/>
    <w:rsid w:val="008C33B7"/>
    <w:rsid w:val="008C38CD"/>
    <w:rsid w:val="008C6F89"/>
    <w:rsid w:val="008D0169"/>
    <w:rsid w:val="008D1BC7"/>
    <w:rsid w:val="008E2986"/>
    <w:rsid w:val="008E2B26"/>
    <w:rsid w:val="008E3AD2"/>
    <w:rsid w:val="008F0449"/>
    <w:rsid w:val="008F1CD7"/>
    <w:rsid w:val="008F2889"/>
    <w:rsid w:val="008F2EDE"/>
    <w:rsid w:val="008F4036"/>
    <w:rsid w:val="008F4365"/>
    <w:rsid w:val="008F438F"/>
    <w:rsid w:val="008F7CCC"/>
    <w:rsid w:val="0090001C"/>
    <w:rsid w:val="00900EF6"/>
    <w:rsid w:val="009010BE"/>
    <w:rsid w:val="0090110A"/>
    <w:rsid w:val="009018BF"/>
    <w:rsid w:val="00905435"/>
    <w:rsid w:val="00905A99"/>
    <w:rsid w:val="00907898"/>
    <w:rsid w:val="00911966"/>
    <w:rsid w:val="009130BF"/>
    <w:rsid w:val="00922C18"/>
    <w:rsid w:val="00923195"/>
    <w:rsid w:val="00923F24"/>
    <w:rsid w:val="00924AE8"/>
    <w:rsid w:val="00926904"/>
    <w:rsid w:val="00926AC1"/>
    <w:rsid w:val="00926E03"/>
    <w:rsid w:val="00927856"/>
    <w:rsid w:val="00930634"/>
    <w:rsid w:val="009308BB"/>
    <w:rsid w:val="00933118"/>
    <w:rsid w:val="00933666"/>
    <w:rsid w:val="0093380C"/>
    <w:rsid w:val="009341FF"/>
    <w:rsid w:val="009347BC"/>
    <w:rsid w:val="00935985"/>
    <w:rsid w:val="00937054"/>
    <w:rsid w:val="00941332"/>
    <w:rsid w:val="0094152C"/>
    <w:rsid w:val="00942246"/>
    <w:rsid w:val="00943EC2"/>
    <w:rsid w:val="00944907"/>
    <w:rsid w:val="00946E63"/>
    <w:rsid w:val="00950431"/>
    <w:rsid w:val="009519D0"/>
    <w:rsid w:val="00952A80"/>
    <w:rsid w:val="00952CD9"/>
    <w:rsid w:val="00954AA4"/>
    <w:rsid w:val="00961683"/>
    <w:rsid w:val="00963971"/>
    <w:rsid w:val="00963E84"/>
    <w:rsid w:val="00964F9E"/>
    <w:rsid w:val="00965D4D"/>
    <w:rsid w:val="00971499"/>
    <w:rsid w:val="009741F5"/>
    <w:rsid w:val="00976B97"/>
    <w:rsid w:val="00980973"/>
    <w:rsid w:val="00980C74"/>
    <w:rsid w:val="0098256B"/>
    <w:rsid w:val="009836BA"/>
    <w:rsid w:val="00986822"/>
    <w:rsid w:val="00987061"/>
    <w:rsid w:val="00990A9F"/>
    <w:rsid w:val="00991A24"/>
    <w:rsid w:val="00994B00"/>
    <w:rsid w:val="00994E63"/>
    <w:rsid w:val="0099746B"/>
    <w:rsid w:val="009A0997"/>
    <w:rsid w:val="009A15A1"/>
    <w:rsid w:val="009A4271"/>
    <w:rsid w:val="009A463C"/>
    <w:rsid w:val="009A6717"/>
    <w:rsid w:val="009B2957"/>
    <w:rsid w:val="009B44AF"/>
    <w:rsid w:val="009B65A6"/>
    <w:rsid w:val="009C1AA8"/>
    <w:rsid w:val="009C372A"/>
    <w:rsid w:val="009C4A54"/>
    <w:rsid w:val="009D40A2"/>
    <w:rsid w:val="009D4752"/>
    <w:rsid w:val="009D5FCF"/>
    <w:rsid w:val="009E284A"/>
    <w:rsid w:val="009F25E3"/>
    <w:rsid w:val="009F5B1A"/>
    <w:rsid w:val="009F61BF"/>
    <w:rsid w:val="009F6894"/>
    <w:rsid w:val="00A0050F"/>
    <w:rsid w:val="00A00561"/>
    <w:rsid w:val="00A00753"/>
    <w:rsid w:val="00A0164D"/>
    <w:rsid w:val="00A02F5C"/>
    <w:rsid w:val="00A03A83"/>
    <w:rsid w:val="00A12475"/>
    <w:rsid w:val="00A15739"/>
    <w:rsid w:val="00A170C5"/>
    <w:rsid w:val="00A171B1"/>
    <w:rsid w:val="00A21467"/>
    <w:rsid w:val="00A2191D"/>
    <w:rsid w:val="00A2279B"/>
    <w:rsid w:val="00A25D2A"/>
    <w:rsid w:val="00A32725"/>
    <w:rsid w:val="00A32BFF"/>
    <w:rsid w:val="00A365C8"/>
    <w:rsid w:val="00A41ACA"/>
    <w:rsid w:val="00A42416"/>
    <w:rsid w:val="00A43C33"/>
    <w:rsid w:val="00A43F94"/>
    <w:rsid w:val="00A44C82"/>
    <w:rsid w:val="00A46E02"/>
    <w:rsid w:val="00A508E9"/>
    <w:rsid w:val="00A5286B"/>
    <w:rsid w:val="00A5365A"/>
    <w:rsid w:val="00A536B7"/>
    <w:rsid w:val="00A5397B"/>
    <w:rsid w:val="00A61B6D"/>
    <w:rsid w:val="00A63FE7"/>
    <w:rsid w:val="00A668A5"/>
    <w:rsid w:val="00A71EF6"/>
    <w:rsid w:val="00A76C8E"/>
    <w:rsid w:val="00A7776E"/>
    <w:rsid w:val="00A77A55"/>
    <w:rsid w:val="00A869B8"/>
    <w:rsid w:val="00A929A9"/>
    <w:rsid w:val="00AA200E"/>
    <w:rsid w:val="00AA22B0"/>
    <w:rsid w:val="00AA4249"/>
    <w:rsid w:val="00AA7325"/>
    <w:rsid w:val="00AB2230"/>
    <w:rsid w:val="00AB3647"/>
    <w:rsid w:val="00AB3DA2"/>
    <w:rsid w:val="00AB4FD9"/>
    <w:rsid w:val="00AB50FB"/>
    <w:rsid w:val="00AC0B97"/>
    <w:rsid w:val="00AC2DE3"/>
    <w:rsid w:val="00AC3500"/>
    <w:rsid w:val="00AC6082"/>
    <w:rsid w:val="00AC7106"/>
    <w:rsid w:val="00AC7F45"/>
    <w:rsid w:val="00AE00E3"/>
    <w:rsid w:val="00AE0114"/>
    <w:rsid w:val="00AE4687"/>
    <w:rsid w:val="00AF023C"/>
    <w:rsid w:val="00AF1AE3"/>
    <w:rsid w:val="00AF4838"/>
    <w:rsid w:val="00B00A82"/>
    <w:rsid w:val="00B01FA4"/>
    <w:rsid w:val="00B071BA"/>
    <w:rsid w:val="00B072A1"/>
    <w:rsid w:val="00B140A9"/>
    <w:rsid w:val="00B17199"/>
    <w:rsid w:val="00B1766D"/>
    <w:rsid w:val="00B222F9"/>
    <w:rsid w:val="00B260D6"/>
    <w:rsid w:val="00B26F2C"/>
    <w:rsid w:val="00B27273"/>
    <w:rsid w:val="00B320DF"/>
    <w:rsid w:val="00B42911"/>
    <w:rsid w:val="00B42C1F"/>
    <w:rsid w:val="00B50AAA"/>
    <w:rsid w:val="00B51C50"/>
    <w:rsid w:val="00B5295D"/>
    <w:rsid w:val="00B53AEE"/>
    <w:rsid w:val="00B54548"/>
    <w:rsid w:val="00B54DAF"/>
    <w:rsid w:val="00B551DB"/>
    <w:rsid w:val="00B66568"/>
    <w:rsid w:val="00B667D5"/>
    <w:rsid w:val="00B67830"/>
    <w:rsid w:val="00B70C7F"/>
    <w:rsid w:val="00B775AE"/>
    <w:rsid w:val="00B77D61"/>
    <w:rsid w:val="00B80FD2"/>
    <w:rsid w:val="00B82266"/>
    <w:rsid w:val="00B82C98"/>
    <w:rsid w:val="00B855AB"/>
    <w:rsid w:val="00B8612C"/>
    <w:rsid w:val="00B92515"/>
    <w:rsid w:val="00B92777"/>
    <w:rsid w:val="00B954B6"/>
    <w:rsid w:val="00BA0DE8"/>
    <w:rsid w:val="00BA43FD"/>
    <w:rsid w:val="00BA6756"/>
    <w:rsid w:val="00BA7CFC"/>
    <w:rsid w:val="00BB297F"/>
    <w:rsid w:val="00BB361A"/>
    <w:rsid w:val="00BB6FCB"/>
    <w:rsid w:val="00BC4394"/>
    <w:rsid w:val="00BC4847"/>
    <w:rsid w:val="00BC4A83"/>
    <w:rsid w:val="00BC7F39"/>
    <w:rsid w:val="00BD044D"/>
    <w:rsid w:val="00BD159C"/>
    <w:rsid w:val="00BD3A7E"/>
    <w:rsid w:val="00BD7339"/>
    <w:rsid w:val="00BD7BB2"/>
    <w:rsid w:val="00BE0C5C"/>
    <w:rsid w:val="00BE18B1"/>
    <w:rsid w:val="00BF47DE"/>
    <w:rsid w:val="00BF5B6D"/>
    <w:rsid w:val="00C002F3"/>
    <w:rsid w:val="00C00934"/>
    <w:rsid w:val="00C01A75"/>
    <w:rsid w:val="00C036CB"/>
    <w:rsid w:val="00C0517F"/>
    <w:rsid w:val="00C11117"/>
    <w:rsid w:val="00C11A25"/>
    <w:rsid w:val="00C138A6"/>
    <w:rsid w:val="00C139A1"/>
    <w:rsid w:val="00C14980"/>
    <w:rsid w:val="00C1513D"/>
    <w:rsid w:val="00C2220F"/>
    <w:rsid w:val="00C22569"/>
    <w:rsid w:val="00C2459A"/>
    <w:rsid w:val="00C31A59"/>
    <w:rsid w:val="00C33FE5"/>
    <w:rsid w:val="00C35C15"/>
    <w:rsid w:val="00C40516"/>
    <w:rsid w:val="00C40AA1"/>
    <w:rsid w:val="00C43058"/>
    <w:rsid w:val="00C52647"/>
    <w:rsid w:val="00C54782"/>
    <w:rsid w:val="00C551E4"/>
    <w:rsid w:val="00C62F6B"/>
    <w:rsid w:val="00C6318D"/>
    <w:rsid w:val="00C63E6D"/>
    <w:rsid w:val="00C646E3"/>
    <w:rsid w:val="00C650D0"/>
    <w:rsid w:val="00C65487"/>
    <w:rsid w:val="00C660EF"/>
    <w:rsid w:val="00C67103"/>
    <w:rsid w:val="00C70ADF"/>
    <w:rsid w:val="00C716CA"/>
    <w:rsid w:val="00C7358A"/>
    <w:rsid w:val="00C7604A"/>
    <w:rsid w:val="00C76CCB"/>
    <w:rsid w:val="00C83A30"/>
    <w:rsid w:val="00C84D9B"/>
    <w:rsid w:val="00C8530F"/>
    <w:rsid w:val="00C85663"/>
    <w:rsid w:val="00C92F5D"/>
    <w:rsid w:val="00C93E8D"/>
    <w:rsid w:val="00C9584A"/>
    <w:rsid w:val="00CA11F7"/>
    <w:rsid w:val="00CA5F01"/>
    <w:rsid w:val="00CA7857"/>
    <w:rsid w:val="00CB1FF7"/>
    <w:rsid w:val="00CB1FF9"/>
    <w:rsid w:val="00CB35DA"/>
    <w:rsid w:val="00CB366C"/>
    <w:rsid w:val="00CB3855"/>
    <w:rsid w:val="00CB3B4E"/>
    <w:rsid w:val="00CB6D90"/>
    <w:rsid w:val="00CC19A7"/>
    <w:rsid w:val="00CC25F3"/>
    <w:rsid w:val="00CC52A4"/>
    <w:rsid w:val="00CC5E42"/>
    <w:rsid w:val="00CC6B6B"/>
    <w:rsid w:val="00CD00C6"/>
    <w:rsid w:val="00CD02AC"/>
    <w:rsid w:val="00CD0326"/>
    <w:rsid w:val="00CD299D"/>
    <w:rsid w:val="00CD3A42"/>
    <w:rsid w:val="00CD5DFF"/>
    <w:rsid w:val="00CD5F8A"/>
    <w:rsid w:val="00CD637F"/>
    <w:rsid w:val="00CE105A"/>
    <w:rsid w:val="00CE20DB"/>
    <w:rsid w:val="00CE6B26"/>
    <w:rsid w:val="00CE7596"/>
    <w:rsid w:val="00CF042B"/>
    <w:rsid w:val="00CF2A50"/>
    <w:rsid w:val="00CF2AE2"/>
    <w:rsid w:val="00CF370A"/>
    <w:rsid w:val="00CF433B"/>
    <w:rsid w:val="00CF7388"/>
    <w:rsid w:val="00D0153B"/>
    <w:rsid w:val="00D038F1"/>
    <w:rsid w:val="00D03FD9"/>
    <w:rsid w:val="00D0550A"/>
    <w:rsid w:val="00D10FAF"/>
    <w:rsid w:val="00D11FDE"/>
    <w:rsid w:val="00D130AB"/>
    <w:rsid w:val="00D22B4B"/>
    <w:rsid w:val="00D32997"/>
    <w:rsid w:val="00D32EB7"/>
    <w:rsid w:val="00D32EC8"/>
    <w:rsid w:val="00D33100"/>
    <w:rsid w:val="00D3472E"/>
    <w:rsid w:val="00D407F2"/>
    <w:rsid w:val="00D41789"/>
    <w:rsid w:val="00D43145"/>
    <w:rsid w:val="00D43466"/>
    <w:rsid w:val="00D4482C"/>
    <w:rsid w:val="00D45730"/>
    <w:rsid w:val="00D505CB"/>
    <w:rsid w:val="00D516F5"/>
    <w:rsid w:val="00D5233B"/>
    <w:rsid w:val="00D528A9"/>
    <w:rsid w:val="00D56E44"/>
    <w:rsid w:val="00D5792A"/>
    <w:rsid w:val="00D621F9"/>
    <w:rsid w:val="00D6623E"/>
    <w:rsid w:val="00D71EA6"/>
    <w:rsid w:val="00D76F9E"/>
    <w:rsid w:val="00D80C38"/>
    <w:rsid w:val="00D8121D"/>
    <w:rsid w:val="00D8212B"/>
    <w:rsid w:val="00D83BAD"/>
    <w:rsid w:val="00D84695"/>
    <w:rsid w:val="00D84F27"/>
    <w:rsid w:val="00D84FAA"/>
    <w:rsid w:val="00D8579C"/>
    <w:rsid w:val="00D8614C"/>
    <w:rsid w:val="00D87082"/>
    <w:rsid w:val="00D9351D"/>
    <w:rsid w:val="00D93802"/>
    <w:rsid w:val="00D93FE2"/>
    <w:rsid w:val="00D97630"/>
    <w:rsid w:val="00DA07A4"/>
    <w:rsid w:val="00DA0DA6"/>
    <w:rsid w:val="00DA2AD6"/>
    <w:rsid w:val="00DA349A"/>
    <w:rsid w:val="00DA6643"/>
    <w:rsid w:val="00DB0053"/>
    <w:rsid w:val="00DB1184"/>
    <w:rsid w:val="00DC2DD3"/>
    <w:rsid w:val="00DC2FF7"/>
    <w:rsid w:val="00DC3655"/>
    <w:rsid w:val="00DC4CCD"/>
    <w:rsid w:val="00DC585D"/>
    <w:rsid w:val="00DC6CA2"/>
    <w:rsid w:val="00DC6D38"/>
    <w:rsid w:val="00DD07A2"/>
    <w:rsid w:val="00DD0DE4"/>
    <w:rsid w:val="00DD10E4"/>
    <w:rsid w:val="00DD2630"/>
    <w:rsid w:val="00DD604E"/>
    <w:rsid w:val="00DD7585"/>
    <w:rsid w:val="00DE2FF9"/>
    <w:rsid w:val="00DE6197"/>
    <w:rsid w:val="00DF0D09"/>
    <w:rsid w:val="00DF165A"/>
    <w:rsid w:val="00DF2879"/>
    <w:rsid w:val="00DF3F5B"/>
    <w:rsid w:val="00DF523F"/>
    <w:rsid w:val="00DF7366"/>
    <w:rsid w:val="00E000C1"/>
    <w:rsid w:val="00E00791"/>
    <w:rsid w:val="00E01A4D"/>
    <w:rsid w:val="00E04BB7"/>
    <w:rsid w:val="00E04EE8"/>
    <w:rsid w:val="00E04EED"/>
    <w:rsid w:val="00E05880"/>
    <w:rsid w:val="00E06187"/>
    <w:rsid w:val="00E07831"/>
    <w:rsid w:val="00E13E4D"/>
    <w:rsid w:val="00E15A5E"/>
    <w:rsid w:val="00E16BE2"/>
    <w:rsid w:val="00E20415"/>
    <w:rsid w:val="00E21E31"/>
    <w:rsid w:val="00E2278D"/>
    <w:rsid w:val="00E2465C"/>
    <w:rsid w:val="00E25125"/>
    <w:rsid w:val="00E2530C"/>
    <w:rsid w:val="00E2596E"/>
    <w:rsid w:val="00E3256D"/>
    <w:rsid w:val="00E34A3F"/>
    <w:rsid w:val="00E4145B"/>
    <w:rsid w:val="00E4199E"/>
    <w:rsid w:val="00E430D0"/>
    <w:rsid w:val="00E4321E"/>
    <w:rsid w:val="00E44B10"/>
    <w:rsid w:val="00E533F7"/>
    <w:rsid w:val="00E5458D"/>
    <w:rsid w:val="00E5497C"/>
    <w:rsid w:val="00E57FCC"/>
    <w:rsid w:val="00E624DE"/>
    <w:rsid w:val="00E63FC3"/>
    <w:rsid w:val="00E66721"/>
    <w:rsid w:val="00E67895"/>
    <w:rsid w:val="00E77C9E"/>
    <w:rsid w:val="00E80AE2"/>
    <w:rsid w:val="00E81F0C"/>
    <w:rsid w:val="00E8201E"/>
    <w:rsid w:val="00E97864"/>
    <w:rsid w:val="00EA2572"/>
    <w:rsid w:val="00EB157E"/>
    <w:rsid w:val="00EB15C3"/>
    <w:rsid w:val="00EB4C51"/>
    <w:rsid w:val="00EB7D01"/>
    <w:rsid w:val="00EC0695"/>
    <w:rsid w:val="00EC296A"/>
    <w:rsid w:val="00ED1DAF"/>
    <w:rsid w:val="00ED5051"/>
    <w:rsid w:val="00EE09F4"/>
    <w:rsid w:val="00EE113E"/>
    <w:rsid w:val="00EE21E6"/>
    <w:rsid w:val="00EE6398"/>
    <w:rsid w:val="00EF0667"/>
    <w:rsid w:val="00EF3DA6"/>
    <w:rsid w:val="00EF400B"/>
    <w:rsid w:val="00EF7A17"/>
    <w:rsid w:val="00F0173C"/>
    <w:rsid w:val="00F03298"/>
    <w:rsid w:val="00F034D0"/>
    <w:rsid w:val="00F0380B"/>
    <w:rsid w:val="00F059F5"/>
    <w:rsid w:val="00F11EF7"/>
    <w:rsid w:val="00F13E14"/>
    <w:rsid w:val="00F1457A"/>
    <w:rsid w:val="00F164ED"/>
    <w:rsid w:val="00F21DC4"/>
    <w:rsid w:val="00F22C69"/>
    <w:rsid w:val="00F24587"/>
    <w:rsid w:val="00F26577"/>
    <w:rsid w:val="00F320D7"/>
    <w:rsid w:val="00F32346"/>
    <w:rsid w:val="00F37C80"/>
    <w:rsid w:val="00F41777"/>
    <w:rsid w:val="00F427B3"/>
    <w:rsid w:val="00F53E29"/>
    <w:rsid w:val="00F54239"/>
    <w:rsid w:val="00F55E8F"/>
    <w:rsid w:val="00F56EFD"/>
    <w:rsid w:val="00F56F57"/>
    <w:rsid w:val="00F57817"/>
    <w:rsid w:val="00F6157A"/>
    <w:rsid w:val="00F61EB1"/>
    <w:rsid w:val="00F63D5D"/>
    <w:rsid w:val="00F66B71"/>
    <w:rsid w:val="00F70271"/>
    <w:rsid w:val="00F70C6A"/>
    <w:rsid w:val="00F719FD"/>
    <w:rsid w:val="00F7563C"/>
    <w:rsid w:val="00F75C8C"/>
    <w:rsid w:val="00F76B4F"/>
    <w:rsid w:val="00F853BE"/>
    <w:rsid w:val="00F86638"/>
    <w:rsid w:val="00F93912"/>
    <w:rsid w:val="00F94A3C"/>
    <w:rsid w:val="00F97C4D"/>
    <w:rsid w:val="00FA058C"/>
    <w:rsid w:val="00FA4B09"/>
    <w:rsid w:val="00FA5AC7"/>
    <w:rsid w:val="00FA6D13"/>
    <w:rsid w:val="00FB2AB9"/>
    <w:rsid w:val="00FC09C6"/>
    <w:rsid w:val="00FC0A2C"/>
    <w:rsid w:val="00FC4D0C"/>
    <w:rsid w:val="00FD325B"/>
    <w:rsid w:val="00FD5B47"/>
    <w:rsid w:val="00FD6EAB"/>
    <w:rsid w:val="00FD7C60"/>
    <w:rsid w:val="00FE7390"/>
    <w:rsid w:val="00FF0667"/>
    <w:rsid w:val="00FF0F9C"/>
    <w:rsid w:val="00FF2AAA"/>
    <w:rsid w:val="00FF6AA1"/>
    <w:rsid w:val="00FF7290"/>
    <w:rsid w:val="00FF7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5D7"/>
  </w:style>
  <w:style w:type="paragraph" w:styleId="Heading1">
    <w:name w:val="heading 1"/>
    <w:next w:val="BodyText"/>
    <w:qFormat/>
    <w:rsid w:val="00F55E8F"/>
    <w:pPr>
      <w:keepNext/>
      <w:numPr>
        <w:numId w:val="7"/>
      </w:numPr>
      <w:tabs>
        <w:tab w:val="clear" w:pos="1077"/>
        <w:tab w:val="left" w:pos="839"/>
      </w:tabs>
      <w:spacing w:before="360" w:after="200"/>
      <w:ind w:left="839" w:hanging="839"/>
      <w:outlineLvl w:val="0"/>
    </w:pPr>
    <w:rPr>
      <w:rFonts w:ascii="Times New Roman Bold" w:hAnsi="Times New Roman Bold"/>
      <w:b/>
      <w:caps/>
      <w:lang w:val="en-GB"/>
    </w:rPr>
  </w:style>
  <w:style w:type="paragraph" w:styleId="Heading2">
    <w:name w:val="heading 2"/>
    <w:basedOn w:val="Heading1"/>
    <w:next w:val="BodyText"/>
    <w:qFormat/>
    <w:rsid w:val="00F55E8F"/>
    <w:pPr>
      <w:numPr>
        <w:ilvl w:val="1"/>
      </w:numPr>
      <w:tabs>
        <w:tab w:val="clear" w:pos="1077"/>
      </w:tabs>
      <w:ind w:left="839" w:hanging="839"/>
      <w:jc w:val="both"/>
      <w:outlineLvl w:val="1"/>
    </w:pPr>
    <w:rPr>
      <w:caps w:val="0"/>
    </w:rPr>
  </w:style>
  <w:style w:type="paragraph" w:styleId="Heading3">
    <w:name w:val="heading 3"/>
    <w:basedOn w:val="Heading2"/>
    <w:next w:val="BodyText"/>
    <w:qFormat/>
    <w:rsid w:val="00F55E8F"/>
    <w:pPr>
      <w:numPr>
        <w:ilvl w:val="2"/>
      </w:numPr>
      <w:ind w:left="839" w:hanging="839"/>
      <w:jc w:val="left"/>
      <w:outlineLvl w:val="2"/>
    </w:pPr>
  </w:style>
  <w:style w:type="paragraph" w:styleId="Heading4">
    <w:name w:val="heading 4"/>
    <w:basedOn w:val="Heading3"/>
    <w:next w:val="BodyText"/>
    <w:qFormat/>
    <w:rsid w:val="00F55E8F"/>
    <w:pPr>
      <w:numPr>
        <w:ilvl w:val="3"/>
      </w:numPr>
      <w:outlineLvl w:val="3"/>
    </w:pPr>
  </w:style>
  <w:style w:type="paragraph" w:styleId="Heading5">
    <w:name w:val="heading 5"/>
    <w:basedOn w:val="Heading4"/>
    <w:next w:val="BodyText"/>
    <w:qFormat/>
    <w:rsid w:val="00F55E8F"/>
    <w:pPr>
      <w:numPr>
        <w:ilvl w:val="4"/>
      </w:numPr>
      <w:tabs>
        <w:tab w:val="clear" w:pos="1843"/>
        <w:tab w:val="left" w:pos="1077"/>
      </w:tabs>
      <w:ind w:left="1077" w:hanging="1077"/>
      <w:outlineLvl w:val="4"/>
    </w:pPr>
  </w:style>
  <w:style w:type="paragraph" w:styleId="Heading6">
    <w:name w:val="heading 6"/>
    <w:next w:val="BodyText"/>
    <w:qFormat/>
    <w:rsid w:val="00F55E8F"/>
    <w:pPr>
      <w:keepNext/>
      <w:spacing w:after="200"/>
      <w:outlineLvl w:val="5"/>
    </w:pPr>
    <w:rPr>
      <w:rFonts w:ascii="Times New Roman Bold" w:hAnsi="Times New Roman Bold"/>
      <w:b/>
      <w:caps/>
      <w:lang w:val="en-GB"/>
    </w:rPr>
  </w:style>
  <w:style w:type="paragraph" w:styleId="Heading7">
    <w:name w:val="heading 7"/>
    <w:next w:val="BodyText"/>
    <w:qFormat/>
    <w:rsid w:val="00F55E8F"/>
    <w:pPr>
      <w:keepNext/>
      <w:spacing w:after="180"/>
      <w:outlineLvl w:val="6"/>
    </w:pPr>
    <w:rPr>
      <w:rFonts w:ascii="Times New Roman Bold" w:hAnsi="Times New Roman Bold"/>
      <w:b/>
      <w:lang w:val="en-GB"/>
    </w:rPr>
  </w:style>
  <w:style w:type="paragraph" w:styleId="Heading8">
    <w:name w:val="heading 8"/>
    <w:next w:val="BodyText"/>
    <w:qFormat/>
    <w:rsid w:val="00F55E8F"/>
    <w:pPr>
      <w:keepNext/>
      <w:spacing w:after="180"/>
      <w:outlineLvl w:val="7"/>
    </w:pPr>
    <w:rPr>
      <w:u w:val="single"/>
      <w:lang w:val="en-GB"/>
    </w:rPr>
  </w:style>
  <w:style w:type="paragraph" w:styleId="Heading9">
    <w:name w:val="heading 9"/>
    <w:next w:val="BodyText"/>
    <w:qFormat/>
    <w:rsid w:val="00F55E8F"/>
    <w:pPr>
      <w:keepNext/>
      <w:spacing w:after="180"/>
      <w:outlineLvl w:val="8"/>
    </w:pPr>
    <w:rPr>
      <w: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rsid w:val="00F55E8F"/>
    <w:pPr>
      <w:spacing w:after="180"/>
      <w:jc w:val="both"/>
    </w:pPr>
    <w:rPr>
      <w:lang w:val="en-GB"/>
    </w:rPr>
  </w:style>
  <w:style w:type="paragraph" w:customStyle="1" w:styleId="Tabletitle">
    <w:name w:val="Table title"/>
    <w:basedOn w:val="Normal"/>
    <w:next w:val="Normal"/>
    <w:rsid w:val="00F55E8F"/>
  </w:style>
  <w:style w:type="paragraph" w:customStyle="1" w:styleId="Tabletext">
    <w:name w:val="Table text"/>
    <w:rsid w:val="00F55E8F"/>
    <w:pPr>
      <w:keepNext/>
      <w:keepLines/>
      <w:spacing w:before="54" w:after="54"/>
    </w:pPr>
    <w:rPr>
      <w:snapToGrid w:val="0"/>
      <w:lang w:eastAsia="da-DK"/>
    </w:rPr>
  </w:style>
  <w:style w:type="paragraph" w:styleId="TOC6">
    <w:name w:val="toc 6"/>
    <w:basedOn w:val="TOC1"/>
    <w:next w:val="Normal"/>
    <w:semiHidden/>
    <w:rsid w:val="00F55E8F"/>
    <w:pPr>
      <w:tabs>
        <w:tab w:val="clear" w:pos="284"/>
      </w:tabs>
    </w:pPr>
  </w:style>
  <w:style w:type="paragraph" w:styleId="TOC1">
    <w:name w:val="toc 1"/>
    <w:next w:val="BodyText"/>
    <w:semiHidden/>
    <w:rsid w:val="00F55E8F"/>
    <w:pPr>
      <w:tabs>
        <w:tab w:val="left" w:pos="284"/>
        <w:tab w:val="left" w:leader="dot" w:pos="9214"/>
        <w:tab w:val="right" w:pos="9639"/>
      </w:tabs>
      <w:spacing w:before="240"/>
    </w:pPr>
    <w:rPr>
      <w:caps/>
      <w:noProof/>
    </w:rPr>
  </w:style>
  <w:style w:type="paragraph" w:styleId="BlockText">
    <w:name w:val="Block Text"/>
    <w:basedOn w:val="BodyText"/>
    <w:next w:val="BodyText"/>
    <w:rsid w:val="00F55E8F"/>
    <w:pPr>
      <w:ind w:left="1440" w:right="1440"/>
    </w:pPr>
  </w:style>
  <w:style w:type="paragraph" w:styleId="BodyText2">
    <w:name w:val="Body Text 2"/>
    <w:basedOn w:val="BodyText"/>
    <w:rsid w:val="00F55E8F"/>
    <w:pPr>
      <w:suppressAutoHyphens/>
      <w:spacing w:after="0"/>
    </w:pPr>
  </w:style>
  <w:style w:type="paragraph" w:styleId="Caption">
    <w:name w:val="caption"/>
    <w:next w:val="BodyText"/>
    <w:qFormat/>
    <w:rsid w:val="00F55E8F"/>
    <w:pPr>
      <w:keepNext/>
      <w:spacing w:before="360" w:after="90"/>
      <w:ind w:left="839"/>
    </w:pPr>
    <w:rPr>
      <w:rFonts w:ascii="Times New Roman Bold" w:hAnsi="Times New Roman Bold"/>
      <w:b/>
      <w:bCs/>
    </w:rPr>
  </w:style>
  <w:style w:type="paragraph" w:styleId="Title">
    <w:name w:val="Title"/>
    <w:next w:val="BodyText"/>
    <w:qFormat/>
    <w:rsid w:val="00F55E8F"/>
    <w:pPr>
      <w:spacing w:before="3120" w:after="320"/>
      <w:jc w:val="center"/>
      <w:outlineLvl w:val="0"/>
    </w:pPr>
    <w:rPr>
      <w:rFonts w:ascii="Algerian" w:hAnsi="Algerian" w:cs="Arial"/>
      <w:b/>
      <w:bCs/>
      <w:i/>
      <w:kern w:val="28"/>
      <w:sz w:val="72"/>
      <w:szCs w:val="32"/>
      <w:lang w:val="en-GB"/>
    </w:rPr>
  </w:style>
  <w:style w:type="paragraph" w:styleId="Subtitle">
    <w:name w:val="Subtitle"/>
    <w:next w:val="BodyText"/>
    <w:qFormat/>
    <w:rsid w:val="00F55E8F"/>
    <w:pPr>
      <w:jc w:val="center"/>
      <w:outlineLvl w:val="1"/>
    </w:pPr>
    <w:rPr>
      <w:rFonts w:ascii="Algerian" w:hAnsi="Algerian"/>
      <w:b/>
      <w:i/>
      <w:sz w:val="40"/>
    </w:rPr>
  </w:style>
  <w:style w:type="paragraph" w:styleId="BodyText3">
    <w:name w:val="Body Text 3"/>
    <w:basedOn w:val="BodyText"/>
    <w:rsid w:val="00F55E8F"/>
    <w:pPr>
      <w:spacing w:after="140"/>
    </w:pPr>
    <w:rPr>
      <w:sz w:val="20"/>
    </w:rPr>
  </w:style>
  <w:style w:type="paragraph" w:styleId="TOC2">
    <w:name w:val="toc 2"/>
    <w:basedOn w:val="TOC1"/>
    <w:next w:val="BodyText"/>
    <w:semiHidden/>
    <w:rsid w:val="00F55E8F"/>
    <w:pPr>
      <w:tabs>
        <w:tab w:val="clear" w:pos="284"/>
        <w:tab w:val="left" w:pos="709"/>
      </w:tabs>
      <w:ind w:left="709" w:hanging="425"/>
    </w:pPr>
    <w:rPr>
      <w:caps w:val="0"/>
    </w:rPr>
  </w:style>
  <w:style w:type="paragraph" w:styleId="TOC3">
    <w:name w:val="toc 3"/>
    <w:basedOn w:val="TOC2"/>
    <w:next w:val="BodyText"/>
    <w:semiHidden/>
    <w:rsid w:val="00F55E8F"/>
    <w:pPr>
      <w:tabs>
        <w:tab w:val="clear" w:pos="709"/>
        <w:tab w:val="left" w:pos="1276"/>
      </w:tabs>
      <w:spacing w:before="0"/>
      <w:ind w:left="1276" w:hanging="567"/>
    </w:pPr>
  </w:style>
  <w:style w:type="paragraph" w:styleId="TOC4">
    <w:name w:val="toc 4"/>
    <w:basedOn w:val="TOC3"/>
    <w:next w:val="BodyText"/>
    <w:semiHidden/>
    <w:rsid w:val="00F55E8F"/>
    <w:pPr>
      <w:tabs>
        <w:tab w:val="clear" w:pos="1276"/>
        <w:tab w:val="left" w:pos="1985"/>
      </w:tabs>
      <w:ind w:left="1985" w:hanging="709"/>
    </w:pPr>
  </w:style>
  <w:style w:type="paragraph" w:styleId="TOC5">
    <w:name w:val="toc 5"/>
    <w:basedOn w:val="TOC1"/>
    <w:next w:val="BodyText"/>
    <w:semiHidden/>
    <w:rsid w:val="00F55E8F"/>
    <w:pPr>
      <w:tabs>
        <w:tab w:val="clear" w:pos="284"/>
      </w:tabs>
      <w:spacing w:before="0"/>
    </w:pPr>
    <w:rPr>
      <w:bCs/>
      <w:caps w:val="0"/>
      <w:lang w:val="en-GB"/>
    </w:rPr>
  </w:style>
  <w:style w:type="paragraph" w:styleId="TableofFigures">
    <w:name w:val="table of figures"/>
    <w:next w:val="BodyText"/>
    <w:semiHidden/>
    <w:rsid w:val="00F55E8F"/>
    <w:pPr>
      <w:tabs>
        <w:tab w:val="left" w:leader="dot" w:pos="9214"/>
        <w:tab w:val="right" w:pos="9639"/>
      </w:tabs>
    </w:pPr>
  </w:style>
  <w:style w:type="paragraph" w:customStyle="1" w:styleId="Tablenote">
    <w:name w:val="Table note"/>
    <w:next w:val="BodyText"/>
    <w:rsid w:val="00F55E8F"/>
    <w:pPr>
      <w:spacing w:before="90" w:after="240"/>
      <w:ind w:left="839"/>
      <w:jc w:val="both"/>
    </w:pPr>
    <w:rPr>
      <w:spacing w:val="-3"/>
    </w:rPr>
  </w:style>
  <w:style w:type="paragraph" w:styleId="Header">
    <w:name w:val="header"/>
    <w:rsid w:val="00F55E8F"/>
    <w:pPr>
      <w:widowControl w:val="0"/>
      <w:pBdr>
        <w:bottom w:val="single" w:sz="6" w:space="2" w:color="auto"/>
      </w:pBdr>
      <w:tabs>
        <w:tab w:val="center" w:pos="4820"/>
        <w:tab w:val="right" w:pos="9639"/>
      </w:tabs>
    </w:pPr>
    <w:rPr>
      <w:caps/>
      <w:noProof/>
    </w:rPr>
  </w:style>
  <w:style w:type="paragraph" w:styleId="ListBullet">
    <w:name w:val="List Bullet"/>
    <w:next w:val="BodyText"/>
    <w:rsid w:val="00F55E8F"/>
    <w:pPr>
      <w:numPr>
        <w:numId w:val="1"/>
      </w:numPr>
      <w:tabs>
        <w:tab w:val="clear" w:pos="425"/>
        <w:tab w:val="left" w:pos="357"/>
      </w:tabs>
      <w:ind w:left="357" w:hanging="357"/>
      <w:jc w:val="both"/>
    </w:pPr>
  </w:style>
  <w:style w:type="paragraph" w:styleId="ListNumber">
    <w:name w:val="List Number"/>
    <w:next w:val="BodyText"/>
    <w:rsid w:val="00F55E8F"/>
    <w:pPr>
      <w:numPr>
        <w:numId w:val="6"/>
      </w:numPr>
      <w:tabs>
        <w:tab w:val="clear" w:pos="720"/>
        <w:tab w:val="left" w:pos="357"/>
      </w:tabs>
      <w:ind w:left="357" w:hanging="357"/>
      <w:jc w:val="both"/>
    </w:pPr>
  </w:style>
  <w:style w:type="paragraph" w:styleId="Footer">
    <w:name w:val="footer"/>
    <w:basedOn w:val="Header"/>
    <w:link w:val="FooterChar"/>
    <w:uiPriority w:val="99"/>
    <w:rsid w:val="00F55E8F"/>
    <w:pPr>
      <w:pBdr>
        <w:top w:val="single" w:sz="6" w:space="2" w:color="auto"/>
        <w:bottom w:val="none" w:sz="0" w:space="0" w:color="auto"/>
      </w:pBdr>
    </w:pPr>
    <w:rPr>
      <w:caps w:val="0"/>
      <w:sz w:val="20"/>
    </w:rPr>
  </w:style>
  <w:style w:type="character" w:styleId="PageNumber">
    <w:name w:val="page number"/>
    <w:rsid w:val="00F55E8F"/>
    <w:rPr>
      <w:rFonts w:ascii="Times New Roman" w:hAnsi="Times New Roman"/>
      <w:sz w:val="20"/>
    </w:rPr>
  </w:style>
  <w:style w:type="paragraph" w:styleId="TOC7">
    <w:name w:val="toc 7"/>
    <w:basedOn w:val="Normal"/>
    <w:next w:val="Normal"/>
    <w:autoRedefine/>
    <w:semiHidden/>
    <w:rsid w:val="00F55E8F"/>
    <w:pPr>
      <w:ind w:left="1440"/>
    </w:pPr>
  </w:style>
  <w:style w:type="paragraph" w:styleId="BodyTextFirstIndent">
    <w:name w:val="Body Text First Indent"/>
    <w:basedOn w:val="BodyText"/>
    <w:rsid w:val="00F55E8F"/>
    <w:pPr>
      <w:ind w:firstLine="210"/>
    </w:pPr>
  </w:style>
  <w:style w:type="paragraph" w:styleId="BodyTextIndent">
    <w:name w:val="Body Text Indent"/>
    <w:next w:val="BodyText"/>
    <w:rsid w:val="00F55E8F"/>
    <w:pPr>
      <w:spacing w:after="180"/>
      <w:ind w:left="357"/>
      <w:jc w:val="both"/>
    </w:pPr>
    <w:rPr>
      <w:lang w:val="en-GB"/>
    </w:rPr>
  </w:style>
  <w:style w:type="paragraph" w:styleId="BodyTextFirstIndent2">
    <w:name w:val="Body Text First Indent 2"/>
    <w:basedOn w:val="BodyTextIndent"/>
    <w:rsid w:val="00F55E8F"/>
    <w:pPr>
      <w:ind w:firstLine="210"/>
    </w:pPr>
  </w:style>
  <w:style w:type="paragraph" w:styleId="EndnoteText">
    <w:name w:val="endnote text"/>
    <w:semiHidden/>
    <w:rsid w:val="00F55E8F"/>
    <w:rPr>
      <w:lang w:val="en-GB"/>
    </w:rPr>
  </w:style>
  <w:style w:type="paragraph" w:styleId="FootnoteText">
    <w:name w:val="footnote text"/>
    <w:basedOn w:val="BodyText3"/>
    <w:semiHidden/>
    <w:rsid w:val="00F55E8F"/>
  </w:style>
  <w:style w:type="paragraph" w:styleId="Index2">
    <w:name w:val="index 2"/>
    <w:basedOn w:val="Normal"/>
    <w:next w:val="Normal"/>
    <w:autoRedefine/>
    <w:semiHidden/>
    <w:rsid w:val="00F55E8F"/>
    <w:pPr>
      <w:ind w:left="480" w:hanging="240"/>
    </w:pPr>
  </w:style>
  <w:style w:type="paragraph" w:customStyle="1" w:styleId="CoverTitle">
    <w:name w:val="Cover Title"/>
    <w:basedOn w:val="BodyText"/>
    <w:next w:val="BodyText"/>
    <w:rsid w:val="00F55E8F"/>
    <w:pPr>
      <w:spacing w:before="240" w:after="240"/>
      <w:jc w:val="center"/>
    </w:pPr>
    <w:rPr>
      <w:rFonts w:ascii="Times New Roman Bold" w:hAnsi="Times New Roman Bold"/>
      <w:b/>
      <w:sz w:val="32"/>
    </w:rPr>
  </w:style>
  <w:style w:type="paragraph" w:styleId="ListBullet2">
    <w:name w:val="List Bullet 2"/>
    <w:next w:val="BodyText"/>
    <w:rsid w:val="00F55E8F"/>
    <w:pPr>
      <w:numPr>
        <w:numId w:val="3"/>
      </w:numPr>
      <w:ind w:left="714" w:hanging="357"/>
    </w:pPr>
  </w:style>
  <w:style w:type="paragraph" w:styleId="ListBullet3">
    <w:name w:val="List Bullet 3"/>
    <w:next w:val="BodyText"/>
    <w:rsid w:val="00F55E8F"/>
    <w:pPr>
      <w:numPr>
        <w:numId w:val="4"/>
      </w:numPr>
      <w:tabs>
        <w:tab w:val="clear" w:pos="1145"/>
        <w:tab w:val="left" w:pos="1077"/>
      </w:tabs>
      <w:ind w:left="1077" w:hanging="357"/>
    </w:pPr>
  </w:style>
  <w:style w:type="paragraph" w:styleId="ListNumber2">
    <w:name w:val="List Number 2"/>
    <w:next w:val="BodyText"/>
    <w:rsid w:val="00F55E8F"/>
    <w:pPr>
      <w:numPr>
        <w:numId w:val="5"/>
      </w:numPr>
    </w:pPr>
    <w:rPr>
      <w:lang w:val="en-GB"/>
    </w:rPr>
  </w:style>
  <w:style w:type="paragraph" w:customStyle="1" w:styleId="Listalpha">
    <w:name w:val="List alpha"/>
    <w:basedOn w:val="ListNumber"/>
    <w:next w:val="BodyText"/>
    <w:rsid w:val="00F55E8F"/>
    <w:pPr>
      <w:numPr>
        <w:numId w:val="2"/>
      </w:numPr>
    </w:pPr>
  </w:style>
  <w:style w:type="paragraph" w:styleId="TOC8">
    <w:name w:val="toc 8"/>
    <w:basedOn w:val="Normal"/>
    <w:next w:val="Normal"/>
    <w:autoRedefine/>
    <w:semiHidden/>
    <w:rsid w:val="00F55E8F"/>
    <w:pPr>
      <w:ind w:left="1680"/>
    </w:pPr>
  </w:style>
  <w:style w:type="paragraph" w:styleId="TOC9">
    <w:name w:val="toc 9"/>
    <w:basedOn w:val="Normal"/>
    <w:next w:val="Normal"/>
    <w:autoRedefine/>
    <w:semiHidden/>
    <w:rsid w:val="00F55E8F"/>
    <w:pPr>
      <w:ind w:left="1920"/>
    </w:pPr>
  </w:style>
  <w:style w:type="character" w:styleId="Hyperlink">
    <w:name w:val="Hyperlink"/>
    <w:rsid w:val="00F55E8F"/>
    <w:rPr>
      <w:rFonts w:ascii="Times New Roman" w:hAnsi="Times New Roman"/>
      <w:color w:val="0000FF"/>
      <w:sz w:val="20"/>
      <w:u w:val="single"/>
    </w:rPr>
  </w:style>
  <w:style w:type="character" w:styleId="FootnoteReference">
    <w:name w:val="footnote reference"/>
    <w:semiHidden/>
    <w:rsid w:val="00F55E8F"/>
    <w:rPr>
      <w:position w:val="6"/>
      <w:sz w:val="16"/>
    </w:rPr>
  </w:style>
  <w:style w:type="paragraph" w:customStyle="1" w:styleId="MSDS-TZeile">
    <w:name w:val="MSDS-TZeile"/>
    <w:basedOn w:val="Normal"/>
    <w:next w:val="MSDS-TUZeile"/>
    <w:rsid w:val="00F55E8F"/>
    <w:pPr>
      <w:autoSpaceDE w:val="0"/>
      <w:autoSpaceDN w:val="0"/>
      <w:ind w:left="57"/>
    </w:pPr>
    <w:rPr>
      <w:rFonts w:ascii="Arial" w:hAnsi="Arial" w:cs="Arial"/>
      <w:sz w:val="20"/>
      <w:lang w:val="de-DE"/>
    </w:rPr>
  </w:style>
  <w:style w:type="paragraph" w:customStyle="1" w:styleId="MSDS-TUZeile">
    <w:name w:val="MSDS-TUZeile"/>
    <w:basedOn w:val="MSDS-TZeile"/>
    <w:rsid w:val="00F55E8F"/>
  </w:style>
  <w:style w:type="character" w:styleId="HTMLTypewriter">
    <w:name w:val="HTML Typewriter"/>
    <w:rsid w:val="00F55E8F"/>
    <w:rPr>
      <w:rFonts w:ascii="Courier New" w:eastAsia="Courier New" w:hAnsi="Courier New" w:cs="Courier New"/>
      <w:sz w:val="20"/>
      <w:szCs w:val="20"/>
    </w:rPr>
  </w:style>
  <w:style w:type="paragraph" w:styleId="HTMLPreformatted">
    <w:name w:val="HTML Preformatted"/>
    <w:basedOn w:val="Normal"/>
    <w:rsid w:val="00F55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BalloonText">
    <w:name w:val="Balloon Text"/>
    <w:basedOn w:val="Normal"/>
    <w:semiHidden/>
    <w:rsid w:val="00F55E8F"/>
    <w:rPr>
      <w:rFonts w:ascii="Tahoma" w:hAnsi="Tahoma" w:cs="Tahoma"/>
      <w:sz w:val="16"/>
      <w:szCs w:val="16"/>
    </w:rPr>
  </w:style>
  <w:style w:type="character" w:customStyle="1" w:styleId="BodyTextChar">
    <w:name w:val="Body Text Char"/>
    <w:rsid w:val="00F55E8F"/>
    <w:rPr>
      <w:sz w:val="24"/>
      <w:lang w:val="en-GB" w:eastAsia="en-US" w:bidi="ar-SA"/>
    </w:rPr>
  </w:style>
  <w:style w:type="paragraph" w:styleId="NormalWeb">
    <w:name w:val="Normal (Web)"/>
    <w:basedOn w:val="Normal"/>
    <w:uiPriority w:val="99"/>
    <w:rsid w:val="00F55E8F"/>
    <w:pPr>
      <w:spacing w:before="100" w:beforeAutospacing="1" w:after="100" w:afterAutospacing="1"/>
    </w:pPr>
    <w:rPr>
      <w:rFonts w:ascii="Arial Unicode MS" w:eastAsia="Arial Unicode MS" w:hAnsi="Arial Unicode MS" w:cs="Arial Unicode MS"/>
      <w:color w:val="000000"/>
    </w:rPr>
  </w:style>
  <w:style w:type="character" w:customStyle="1" w:styleId="header3">
    <w:name w:val="header3"/>
    <w:rsid w:val="00F55E8F"/>
    <w:rPr>
      <w:rFonts w:ascii="Georgia" w:hAnsi="Georgia" w:hint="default"/>
      <w:b/>
      <w:bCs/>
      <w:color w:val="C03C04"/>
      <w:sz w:val="27"/>
      <w:szCs w:val="27"/>
    </w:rPr>
  </w:style>
  <w:style w:type="character" w:customStyle="1" w:styleId="header21">
    <w:name w:val="header21"/>
    <w:rsid w:val="00F55E8F"/>
    <w:rPr>
      <w:rFonts w:ascii="Georgia" w:hAnsi="Georgia" w:hint="default"/>
      <w:b/>
      <w:bCs/>
      <w:color w:val="8A3E39"/>
      <w:sz w:val="17"/>
      <w:szCs w:val="17"/>
    </w:rPr>
  </w:style>
  <w:style w:type="character" w:styleId="Strong">
    <w:name w:val="Strong"/>
    <w:qFormat/>
    <w:rsid w:val="00F55E8F"/>
    <w:rPr>
      <w:b/>
      <w:bCs/>
    </w:rPr>
  </w:style>
  <w:style w:type="character" w:customStyle="1" w:styleId="BodyTextChar1">
    <w:name w:val="Body Text Char1"/>
    <w:rsid w:val="00F55E8F"/>
    <w:rPr>
      <w:sz w:val="24"/>
      <w:lang w:val="en-GB" w:eastAsia="en-US" w:bidi="ar-SA"/>
    </w:rPr>
  </w:style>
  <w:style w:type="table" w:styleId="TableGrid">
    <w:name w:val="Table Grid"/>
    <w:basedOn w:val="TableNormal"/>
    <w:rsid w:val="00705C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3Char">
    <w:name w:val="Body Text 3 Char"/>
    <w:rsid w:val="00DC2FF7"/>
    <w:rPr>
      <w:sz w:val="24"/>
      <w:lang w:val="en-US" w:eastAsia="en-US" w:bidi="ar-SA"/>
    </w:rPr>
  </w:style>
  <w:style w:type="character" w:styleId="HTMLCode">
    <w:name w:val="HTML Code"/>
    <w:rsid w:val="00AC0B97"/>
    <w:rPr>
      <w:rFonts w:ascii="Courier New" w:eastAsia="Courier New" w:hAnsi="Courier New" w:cs="Courier New"/>
      <w:sz w:val="20"/>
      <w:szCs w:val="20"/>
    </w:rPr>
  </w:style>
  <w:style w:type="character" w:styleId="CommentReference">
    <w:name w:val="annotation reference"/>
    <w:semiHidden/>
    <w:rsid w:val="00E430D0"/>
    <w:rPr>
      <w:sz w:val="16"/>
      <w:szCs w:val="16"/>
    </w:rPr>
  </w:style>
  <w:style w:type="paragraph" w:styleId="CommentText">
    <w:name w:val="annotation text"/>
    <w:basedOn w:val="Normal"/>
    <w:link w:val="CommentTextChar"/>
    <w:rsid w:val="00E430D0"/>
    <w:rPr>
      <w:sz w:val="20"/>
    </w:rPr>
  </w:style>
  <w:style w:type="paragraph" w:styleId="CommentSubject">
    <w:name w:val="annotation subject"/>
    <w:basedOn w:val="CommentText"/>
    <w:next w:val="CommentText"/>
    <w:semiHidden/>
    <w:rsid w:val="00E430D0"/>
    <w:rPr>
      <w:b/>
      <w:bCs/>
    </w:rPr>
  </w:style>
  <w:style w:type="character" w:styleId="FollowedHyperlink">
    <w:name w:val="FollowedHyperlink"/>
    <w:rsid w:val="00260461"/>
    <w:rPr>
      <w:color w:val="800080"/>
      <w:u w:val="single"/>
    </w:rPr>
  </w:style>
  <w:style w:type="paragraph" w:customStyle="1" w:styleId="SIAPSubhead">
    <w:name w:val="SIAP Subhead"/>
    <w:basedOn w:val="Normal"/>
    <w:rsid w:val="00A00561"/>
    <w:pPr>
      <w:widowControl w:val="0"/>
      <w:spacing w:after="120"/>
      <w:jc w:val="both"/>
    </w:pPr>
    <w:rPr>
      <w:b/>
      <w:sz w:val="22"/>
      <w:szCs w:val="22"/>
      <w:lang w:eastAsia="de-DE"/>
    </w:rPr>
  </w:style>
  <w:style w:type="character" w:customStyle="1" w:styleId="CommentTextChar">
    <w:name w:val="Comment Text Char"/>
    <w:basedOn w:val="DefaultParagraphFont"/>
    <w:link w:val="CommentText"/>
    <w:rsid w:val="006D730B"/>
    <w:rPr>
      <w:sz w:val="20"/>
    </w:rPr>
  </w:style>
  <w:style w:type="paragraph" w:styleId="Revision">
    <w:name w:val="Revision"/>
    <w:hidden/>
    <w:uiPriority w:val="71"/>
    <w:rsid w:val="0057539E"/>
  </w:style>
  <w:style w:type="paragraph" w:customStyle="1" w:styleId="MSDS-Zeile">
    <w:name w:val="MSDS-Zeile"/>
    <w:basedOn w:val="Normal"/>
    <w:rsid w:val="00023B8A"/>
    <w:pPr>
      <w:tabs>
        <w:tab w:val="left" w:pos="3119"/>
        <w:tab w:val="left" w:pos="3402"/>
        <w:tab w:val="left" w:pos="4678"/>
        <w:tab w:val="left" w:pos="4962"/>
      </w:tabs>
      <w:autoSpaceDE w:val="0"/>
      <w:autoSpaceDN w:val="0"/>
      <w:ind w:left="57"/>
    </w:pPr>
    <w:rPr>
      <w:sz w:val="20"/>
      <w:szCs w:val="20"/>
      <w:lang w:val="de-DE"/>
    </w:rPr>
  </w:style>
  <w:style w:type="character" w:customStyle="1" w:styleId="FooterChar">
    <w:name w:val="Footer Char"/>
    <w:basedOn w:val="DefaultParagraphFont"/>
    <w:link w:val="Footer"/>
    <w:uiPriority w:val="99"/>
    <w:rsid w:val="00B260D6"/>
    <w:rPr>
      <w:noProof/>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980139">
      <w:bodyDiv w:val="1"/>
      <w:marLeft w:val="0"/>
      <w:marRight w:val="0"/>
      <w:marTop w:val="0"/>
      <w:marBottom w:val="0"/>
      <w:divBdr>
        <w:top w:val="none" w:sz="0" w:space="0" w:color="auto"/>
        <w:left w:val="none" w:sz="0" w:space="0" w:color="auto"/>
        <w:bottom w:val="none" w:sz="0" w:space="0" w:color="auto"/>
        <w:right w:val="none" w:sz="0" w:space="0" w:color="auto"/>
      </w:divBdr>
    </w:div>
    <w:div w:id="1627658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householdproducts.nlm.nih.gov/products.htm" TargetMode="External"/><Relationship Id="rId2" Type="http://schemas.openxmlformats.org/officeDocument/2006/relationships/numbering" Target="numbering.xml"/><Relationship Id="rId16" Type="http://schemas.openxmlformats.org/officeDocument/2006/relationships/hyperlink" Target="http://toxnet.nlm.nih.gov/cgi-bin/sis/htmlgen?HSD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endy\My%20Documents\SEHSC\SIAM\SIAR+template+Version+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2C45B-6543-4632-8476-7E94D004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SIAR+template+Version+1.dot</Template>
  <TotalTime>173</TotalTime>
  <Pages>49</Pages>
  <Words>20793</Words>
  <Characters>118120</Characters>
  <Application>Microsoft Office Word</Application>
  <DocSecurity>0</DocSecurity>
  <Lines>984</Lines>
  <Paragraphs>277</Paragraphs>
  <ScaleCrop>false</ScaleCrop>
  <HeadingPairs>
    <vt:vector size="2" baseType="variant">
      <vt:variant>
        <vt:lpstr>Title</vt:lpstr>
      </vt:variant>
      <vt:variant>
        <vt:i4>1</vt:i4>
      </vt:variant>
    </vt:vector>
  </HeadingPairs>
  <TitlesOfParts>
    <vt:vector size="1" baseType="lpstr">
      <vt:lpstr>COVER PAGE</vt:lpstr>
    </vt:vector>
  </TitlesOfParts>
  <Company>The Dow Chemical Company</Company>
  <LinksUpToDate>false</LinksUpToDate>
  <CharactersWithSpaces>138636</CharactersWithSpaces>
  <SharedDoc>false</SharedDoc>
  <HLinks>
    <vt:vector size="300" baseType="variant">
      <vt:variant>
        <vt:i4>917514</vt:i4>
      </vt:variant>
      <vt:variant>
        <vt:i4>339</vt:i4>
      </vt:variant>
      <vt:variant>
        <vt:i4>0</vt:i4>
      </vt:variant>
      <vt:variant>
        <vt:i4>5</vt:i4>
      </vt:variant>
      <vt:variant>
        <vt:lpwstr>http://householdproducts.nlm.nih.gov/products.htm</vt:lpwstr>
      </vt:variant>
      <vt:variant>
        <vt:lpwstr/>
      </vt:variant>
      <vt:variant>
        <vt:i4>3145838</vt:i4>
      </vt:variant>
      <vt:variant>
        <vt:i4>336</vt:i4>
      </vt:variant>
      <vt:variant>
        <vt:i4>0</vt:i4>
      </vt:variant>
      <vt:variant>
        <vt:i4>5</vt:i4>
      </vt:variant>
      <vt:variant>
        <vt:lpwstr>http://toxnet.nlm.nih.gov/cgi-bin/sis/htmlgen?HSDB</vt:lpwstr>
      </vt:variant>
      <vt:variant>
        <vt:lpwstr/>
      </vt:variant>
      <vt:variant>
        <vt:i4>1376308</vt:i4>
      </vt:variant>
      <vt:variant>
        <vt:i4>284</vt:i4>
      </vt:variant>
      <vt:variant>
        <vt:i4>0</vt:i4>
      </vt:variant>
      <vt:variant>
        <vt:i4>5</vt:i4>
      </vt:variant>
      <vt:variant>
        <vt:lpwstr/>
      </vt:variant>
      <vt:variant>
        <vt:lpwstr>_Toc266716158</vt:lpwstr>
      </vt:variant>
      <vt:variant>
        <vt:i4>1376308</vt:i4>
      </vt:variant>
      <vt:variant>
        <vt:i4>278</vt:i4>
      </vt:variant>
      <vt:variant>
        <vt:i4>0</vt:i4>
      </vt:variant>
      <vt:variant>
        <vt:i4>5</vt:i4>
      </vt:variant>
      <vt:variant>
        <vt:lpwstr/>
      </vt:variant>
      <vt:variant>
        <vt:lpwstr>_Toc266716157</vt:lpwstr>
      </vt:variant>
      <vt:variant>
        <vt:i4>1376308</vt:i4>
      </vt:variant>
      <vt:variant>
        <vt:i4>272</vt:i4>
      </vt:variant>
      <vt:variant>
        <vt:i4>0</vt:i4>
      </vt:variant>
      <vt:variant>
        <vt:i4>5</vt:i4>
      </vt:variant>
      <vt:variant>
        <vt:lpwstr/>
      </vt:variant>
      <vt:variant>
        <vt:lpwstr>_Toc266716156</vt:lpwstr>
      </vt:variant>
      <vt:variant>
        <vt:i4>1376308</vt:i4>
      </vt:variant>
      <vt:variant>
        <vt:i4>266</vt:i4>
      </vt:variant>
      <vt:variant>
        <vt:i4>0</vt:i4>
      </vt:variant>
      <vt:variant>
        <vt:i4>5</vt:i4>
      </vt:variant>
      <vt:variant>
        <vt:lpwstr/>
      </vt:variant>
      <vt:variant>
        <vt:lpwstr>_Toc266716155</vt:lpwstr>
      </vt:variant>
      <vt:variant>
        <vt:i4>1376308</vt:i4>
      </vt:variant>
      <vt:variant>
        <vt:i4>260</vt:i4>
      </vt:variant>
      <vt:variant>
        <vt:i4>0</vt:i4>
      </vt:variant>
      <vt:variant>
        <vt:i4>5</vt:i4>
      </vt:variant>
      <vt:variant>
        <vt:lpwstr/>
      </vt:variant>
      <vt:variant>
        <vt:lpwstr>_Toc266716154</vt:lpwstr>
      </vt:variant>
      <vt:variant>
        <vt:i4>1376308</vt:i4>
      </vt:variant>
      <vt:variant>
        <vt:i4>254</vt:i4>
      </vt:variant>
      <vt:variant>
        <vt:i4>0</vt:i4>
      </vt:variant>
      <vt:variant>
        <vt:i4>5</vt:i4>
      </vt:variant>
      <vt:variant>
        <vt:lpwstr/>
      </vt:variant>
      <vt:variant>
        <vt:lpwstr>_Toc266716153</vt:lpwstr>
      </vt:variant>
      <vt:variant>
        <vt:i4>1376308</vt:i4>
      </vt:variant>
      <vt:variant>
        <vt:i4>248</vt:i4>
      </vt:variant>
      <vt:variant>
        <vt:i4>0</vt:i4>
      </vt:variant>
      <vt:variant>
        <vt:i4>5</vt:i4>
      </vt:variant>
      <vt:variant>
        <vt:lpwstr/>
      </vt:variant>
      <vt:variant>
        <vt:lpwstr>_Toc266716152</vt:lpwstr>
      </vt:variant>
      <vt:variant>
        <vt:i4>1376308</vt:i4>
      </vt:variant>
      <vt:variant>
        <vt:i4>242</vt:i4>
      </vt:variant>
      <vt:variant>
        <vt:i4>0</vt:i4>
      </vt:variant>
      <vt:variant>
        <vt:i4>5</vt:i4>
      </vt:variant>
      <vt:variant>
        <vt:lpwstr/>
      </vt:variant>
      <vt:variant>
        <vt:lpwstr>_Toc266716151</vt:lpwstr>
      </vt:variant>
      <vt:variant>
        <vt:i4>1376308</vt:i4>
      </vt:variant>
      <vt:variant>
        <vt:i4>236</vt:i4>
      </vt:variant>
      <vt:variant>
        <vt:i4>0</vt:i4>
      </vt:variant>
      <vt:variant>
        <vt:i4>5</vt:i4>
      </vt:variant>
      <vt:variant>
        <vt:lpwstr/>
      </vt:variant>
      <vt:variant>
        <vt:lpwstr>_Toc266716150</vt:lpwstr>
      </vt:variant>
      <vt:variant>
        <vt:i4>1310772</vt:i4>
      </vt:variant>
      <vt:variant>
        <vt:i4>230</vt:i4>
      </vt:variant>
      <vt:variant>
        <vt:i4>0</vt:i4>
      </vt:variant>
      <vt:variant>
        <vt:i4>5</vt:i4>
      </vt:variant>
      <vt:variant>
        <vt:lpwstr/>
      </vt:variant>
      <vt:variant>
        <vt:lpwstr>_Toc266716149</vt:lpwstr>
      </vt:variant>
      <vt:variant>
        <vt:i4>1310772</vt:i4>
      </vt:variant>
      <vt:variant>
        <vt:i4>224</vt:i4>
      </vt:variant>
      <vt:variant>
        <vt:i4>0</vt:i4>
      </vt:variant>
      <vt:variant>
        <vt:i4>5</vt:i4>
      </vt:variant>
      <vt:variant>
        <vt:lpwstr/>
      </vt:variant>
      <vt:variant>
        <vt:lpwstr>_Toc266716148</vt:lpwstr>
      </vt:variant>
      <vt:variant>
        <vt:i4>1310772</vt:i4>
      </vt:variant>
      <vt:variant>
        <vt:i4>218</vt:i4>
      </vt:variant>
      <vt:variant>
        <vt:i4>0</vt:i4>
      </vt:variant>
      <vt:variant>
        <vt:i4>5</vt:i4>
      </vt:variant>
      <vt:variant>
        <vt:lpwstr/>
      </vt:variant>
      <vt:variant>
        <vt:lpwstr>_Toc266716147</vt:lpwstr>
      </vt:variant>
      <vt:variant>
        <vt:i4>1310772</vt:i4>
      </vt:variant>
      <vt:variant>
        <vt:i4>212</vt:i4>
      </vt:variant>
      <vt:variant>
        <vt:i4>0</vt:i4>
      </vt:variant>
      <vt:variant>
        <vt:i4>5</vt:i4>
      </vt:variant>
      <vt:variant>
        <vt:lpwstr/>
      </vt:variant>
      <vt:variant>
        <vt:lpwstr>_Toc266716146</vt:lpwstr>
      </vt:variant>
      <vt:variant>
        <vt:i4>1310772</vt:i4>
      </vt:variant>
      <vt:variant>
        <vt:i4>206</vt:i4>
      </vt:variant>
      <vt:variant>
        <vt:i4>0</vt:i4>
      </vt:variant>
      <vt:variant>
        <vt:i4>5</vt:i4>
      </vt:variant>
      <vt:variant>
        <vt:lpwstr/>
      </vt:variant>
      <vt:variant>
        <vt:lpwstr>_Toc266716145</vt:lpwstr>
      </vt:variant>
      <vt:variant>
        <vt:i4>1310772</vt:i4>
      </vt:variant>
      <vt:variant>
        <vt:i4>200</vt:i4>
      </vt:variant>
      <vt:variant>
        <vt:i4>0</vt:i4>
      </vt:variant>
      <vt:variant>
        <vt:i4>5</vt:i4>
      </vt:variant>
      <vt:variant>
        <vt:lpwstr/>
      </vt:variant>
      <vt:variant>
        <vt:lpwstr>_Toc266716144</vt:lpwstr>
      </vt:variant>
      <vt:variant>
        <vt:i4>1703985</vt:i4>
      </vt:variant>
      <vt:variant>
        <vt:i4>191</vt:i4>
      </vt:variant>
      <vt:variant>
        <vt:i4>0</vt:i4>
      </vt:variant>
      <vt:variant>
        <vt:i4>5</vt:i4>
      </vt:variant>
      <vt:variant>
        <vt:lpwstr/>
      </vt:variant>
      <vt:variant>
        <vt:lpwstr>_Toc147824556</vt:lpwstr>
      </vt:variant>
      <vt:variant>
        <vt:i4>1703985</vt:i4>
      </vt:variant>
      <vt:variant>
        <vt:i4>185</vt:i4>
      </vt:variant>
      <vt:variant>
        <vt:i4>0</vt:i4>
      </vt:variant>
      <vt:variant>
        <vt:i4>5</vt:i4>
      </vt:variant>
      <vt:variant>
        <vt:lpwstr/>
      </vt:variant>
      <vt:variant>
        <vt:lpwstr>_Toc147824554</vt:lpwstr>
      </vt:variant>
      <vt:variant>
        <vt:i4>1703985</vt:i4>
      </vt:variant>
      <vt:variant>
        <vt:i4>179</vt:i4>
      </vt:variant>
      <vt:variant>
        <vt:i4>0</vt:i4>
      </vt:variant>
      <vt:variant>
        <vt:i4>5</vt:i4>
      </vt:variant>
      <vt:variant>
        <vt:lpwstr/>
      </vt:variant>
      <vt:variant>
        <vt:lpwstr>_Toc147824553</vt:lpwstr>
      </vt:variant>
      <vt:variant>
        <vt:i4>1703985</vt:i4>
      </vt:variant>
      <vt:variant>
        <vt:i4>173</vt:i4>
      </vt:variant>
      <vt:variant>
        <vt:i4>0</vt:i4>
      </vt:variant>
      <vt:variant>
        <vt:i4>5</vt:i4>
      </vt:variant>
      <vt:variant>
        <vt:lpwstr/>
      </vt:variant>
      <vt:variant>
        <vt:lpwstr>_Toc147824552</vt:lpwstr>
      </vt:variant>
      <vt:variant>
        <vt:i4>1703985</vt:i4>
      </vt:variant>
      <vt:variant>
        <vt:i4>167</vt:i4>
      </vt:variant>
      <vt:variant>
        <vt:i4>0</vt:i4>
      </vt:variant>
      <vt:variant>
        <vt:i4>5</vt:i4>
      </vt:variant>
      <vt:variant>
        <vt:lpwstr/>
      </vt:variant>
      <vt:variant>
        <vt:lpwstr>_Toc147824551</vt:lpwstr>
      </vt:variant>
      <vt:variant>
        <vt:i4>1769521</vt:i4>
      </vt:variant>
      <vt:variant>
        <vt:i4>161</vt:i4>
      </vt:variant>
      <vt:variant>
        <vt:i4>0</vt:i4>
      </vt:variant>
      <vt:variant>
        <vt:i4>5</vt:i4>
      </vt:variant>
      <vt:variant>
        <vt:lpwstr/>
      </vt:variant>
      <vt:variant>
        <vt:lpwstr>_Toc147824549</vt:lpwstr>
      </vt:variant>
      <vt:variant>
        <vt:i4>1769521</vt:i4>
      </vt:variant>
      <vt:variant>
        <vt:i4>155</vt:i4>
      </vt:variant>
      <vt:variant>
        <vt:i4>0</vt:i4>
      </vt:variant>
      <vt:variant>
        <vt:i4>5</vt:i4>
      </vt:variant>
      <vt:variant>
        <vt:lpwstr/>
      </vt:variant>
      <vt:variant>
        <vt:lpwstr>_Toc147824548</vt:lpwstr>
      </vt:variant>
      <vt:variant>
        <vt:i4>1769521</vt:i4>
      </vt:variant>
      <vt:variant>
        <vt:i4>149</vt:i4>
      </vt:variant>
      <vt:variant>
        <vt:i4>0</vt:i4>
      </vt:variant>
      <vt:variant>
        <vt:i4>5</vt:i4>
      </vt:variant>
      <vt:variant>
        <vt:lpwstr/>
      </vt:variant>
      <vt:variant>
        <vt:lpwstr>_Toc147824547</vt:lpwstr>
      </vt:variant>
      <vt:variant>
        <vt:i4>1769521</vt:i4>
      </vt:variant>
      <vt:variant>
        <vt:i4>143</vt:i4>
      </vt:variant>
      <vt:variant>
        <vt:i4>0</vt:i4>
      </vt:variant>
      <vt:variant>
        <vt:i4>5</vt:i4>
      </vt:variant>
      <vt:variant>
        <vt:lpwstr/>
      </vt:variant>
      <vt:variant>
        <vt:lpwstr>_Toc147824546</vt:lpwstr>
      </vt:variant>
      <vt:variant>
        <vt:i4>1769521</vt:i4>
      </vt:variant>
      <vt:variant>
        <vt:i4>137</vt:i4>
      </vt:variant>
      <vt:variant>
        <vt:i4>0</vt:i4>
      </vt:variant>
      <vt:variant>
        <vt:i4>5</vt:i4>
      </vt:variant>
      <vt:variant>
        <vt:lpwstr/>
      </vt:variant>
      <vt:variant>
        <vt:lpwstr>_Toc147824545</vt:lpwstr>
      </vt:variant>
      <vt:variant>
        <vt:i4>1769521</vt:i4>
      </vt:variant>
      <vt:variant>
        <vt:i4>131</vt:i4>
      </vt:variant>
      <vt:variant>
        <vt:i4>0</vt:i4>
      </vt:variant>
      <vt:variant>
        <vt:i4>5</vt:i4>
      </vt:variant>
      <vt:variant>
        <vt:lpwstr/>
      </vt:variant>
      <vt:variant>
        <vt:lpwstr>_Toc147824544</vt:lpwstr>
      </vt:variant>
      <vt:variant>
        <vt:i4>1769521</vt:i4>
      </vt:variant>
      <vt:variant>
        <vt:i4>125</vt:i4>
      </vt:variant>
      <vt:variant>
        <vt:i4>0</vt:i4>
      </vt:variant>
      <vt:variant>
        <vt:i4>5</vt:i4>
      </vt:variant>
      <vt:variant>
        <vt:lpwstr/>
      </vt:variant>
      <vt:variant>
        <vt:lpwstr>_Toc147824543</vt:lpwstr>
      </vt:variant>
      <vt:variant>
        <vt:i4>1769521</vt:i4>
      </vt:variant>
      <vt:variant>
        <vt:i4>119</vt:i4>
      </vt:variant>
      <vt:variant>
        <vt:i4>0</vt:i4>
      </vt:variant>
      <vt:variant>
        <vt:i4>5</vt:i4>
      </vt:variant>
      <vt:variant>
        <vt:lpwstr/>
      </vt:variant>
      <vt:variant>
        <vt:lpwstr>_Toc147824542</vt:lpwstr>
      </vt:variant>
      <vt:variant>
        <vt:i4>1769521</vt:i4>
      </vt:variant>
      <vt:variant>
        <vt:i4>113</vt:i4>
      </vt:variant>
      <vt:variant>
        <vt:i4>0</vt:i4>
      </vt:variant>
      <vt:variant>
        <vt:i4>5</vt:i4>
      </vt:variant>
      <vt:variant>
        <vt:lpwstr/>
      </vt:variant>
      <vt:variant>
        <vt:lpwstr>_Toc147824541</vt:lpwstr>
      </vt:variant>
      <vt:variant>
        <vt:i4>1769521</vt:i4>
      </vt:variant>
      <vt:variant>
        <vt:i4>107</vt:i4>
      </vt:variant>
      <vt:variant>
        <vt:i4>0</vt:i4>
      </vt:variant>
      <vt:variant>
        <vt:i4>5</vt:i4>
      </vt:variant>
      <vt:variant>
        <vt:lpwstr/>
      </vt:variant>
      <vt:variant>
        <vt:lpwstr>_Toc147824540</vt:lpwstr>
      </vt:variant>
      <vt:variant>
        <vt:i4>1835057</vt:i4>
      </vt:variant>
      <vt:variant>
        <vt:i4>101</vt:i4>
      </vt:variant>
      <vt:variant>
        <vt:i4>0</vt:i4>
      </vt:variant>
      <vt:variant>
        <vt:i4>5</vt:i4>
      </vt:variant>
      <vt:variant>
        <vt:lpwstr/>
      </vt:variant>
      <vt:variant>
        <vt:lpwstr>_Toc147824539</vt:lpwstr>
      </vt:variant>
      <vt:variant>
        <vt:i4>1835057</vt:i4>
      </vt:variant>
      <vt:variant>
        <vt:i4>95</vt:i4>
      </vt:variant>
      <vt:variant>
        <vt:i4>0</vt:i4>
      </vt:variant>
      <vt:variant>
        <vt:i4>5</vt:i4>
      </vt:variant>
      <vt:variant>
        <vt:lpwstr/>
      </vt:variant>
      <vt:variant>
        <vt:lpwstr>_Toc147824538</vt:lpwstr>
      </vt:variant>
      <vt:variant>
        <vt:i4>1835057</vt:i4>
      </vt:variant>
      <vt:variant>
        <vt:i4>89</vt:i4>
      </vt:variant>
      <vt:variant>
        <vt:i4>0</vt:i4>
      </vt:variant>
      <vt:variant>
        <vt:i4>5</vt:i4>
      </vt:variant>
      <vt:variant>
        <vt:lpwstr/>
      </vt:variant>
      <vt:variant>
        <vt:lpwstr>_Toc147824537</vt:lpwstr>
      </vt:variant>
      <vt:variant>
        <vt:i4>1835057</vt:i4>
      </vt:variant>
      <vt:variant>
        <vt:i4>83</vt:i4>
      </vt:variant>
      <vt:variant>
        <vt:i4>0</vt:i4>
      </vt:variant>
      <vt:variant>
        <vt:i4>5</vt:i4>
      </vt:variant>
      <vt:variant>
        <vt:lpwstr/>
      </vt:variant>
      <vt:variant>
        <vt:lpwstr>_Toc147824536</vt:lpwstr>
      </vt:variant>
      <vt:variant>
        <vt:i4>1835057</vt:i4>
      </vt:variant>
      <vt:variant>
        <vt:i4>77</vt:i4>
      </vt:variant>
      <vt:variant>
        <vt:i4>0</vt:i4>
      </vt:variant>
      <vt:variant>
        <vt:i4>5</vt:i4>
      </vt:variant>
      <vt:variant>
        <vt:lpwstr/>
      </vt:variant>
      <vt:variant>
        <vt:lpwstr>_Toc147824535</vt:lpwstr>
      </vt:variant>
      <vt:variant>
        <vt:i4>1835057</vt:i4>
      </vt:variant>
      <vt:variant>
        <vt:i4>71</vt:i4>
      </vt:variant>
      <vt:variant>
        <vt:i4>0</vt:i4>
      </vt:variant>
      <vt:variant>
        <vt:i4>5</vt:i4>
      </vt:variant>
      <vt:variant>
        <vt:lpwstr/>
      </vt:variant>
      <vt:variant>
        <vt:lpwstr>_Toc147824534</vt:lpwstr>
      </vt:variant>
      <vt:variant>
        <vt:i4>1835057</vt:i4>
      </vt:variant>
      <vt:variant>
        <vt:i4>65</vt:i4>
      </vt:variant>
      <vt:variant>
        <vt:i4>0</vt:i4>
      </vt:variant>
      <vt:variant>
        <vt:i4>5</vt:i4>
      </vt:variant>
      <vt:variant>
        <vt:lpwstr/>
      </vt:variant>
      <vt:variant>
        <vt:lpwstr>_Toc147824533</vt:lpwstr>
      </vt:variant>
      <vt:variant>
        <vt:i4>1835057</vt:i4>
      </vt:variant>
      <vt:variant>
        <vt:i4>59</vt:i4>
      </vt:variant>
      <vt:variant>
        <vt:i4>0</vt:i4>
      </vt:variant>
      <vt:variant>
        <vt:i4>5</vt:i4>
      </vt:variant>
      <vt:variant>
        <vt:lpwstr/>
      </vt:variant>
      <vt:variant>
        <vt:lpwstr>_Toc147824532</vt:lpwstr>
      </vt:variant>
      <vt:variant>
        <vt:i4>1835057</vt:i4>
      </vt:variant>
      <vt:variant>
        <vt:i4>53</vt:i4>
      </vt:variant>
      <vt:variant>
        <vt:i4>0</vt:i4>
      </vt:variant>
      <vt:variant>
        <vt:i4>5</vt:i4>
      </vt:variant>
      <vt:variant>
        <vt:lpwstr/>
      </vt:variant>
      <vt:variant>
        <vt:lpwstr>_Toc147824531</vt:lpwstr>
      </vt:variant>
      <vt:variant>
        <vt:i4>1835057</vt:i4>
      </vt:variant>
      <vt:variant>
        <vt:i4>47</vt:i4>
      </vt:variant>
      <vt:variant>
        <vt:i4>0</vt:i4>
      </vt:variant>
      <vt:variant>
        <vt:i4>5</vt:i4>
      </vt:variant>
      <vt:variant>
        <vt:lpwstr/>
      </vt:variant>
      <vt:variant>
        <vt:lpwstr>_Toc147824530</vt:lpwstr>
      </vt:variant>
      <vt:variant>
        <vt:i4>1900593</vt:i4>
      </vt:variant>
      <vt:variant>
        <vt:i4>41</vt:i4>
      </vt:variant>
      <vt:variant>
        <vt:i4>0</vt:i4>
      </vt:variant>
      <vt:variant>
        <vt:i4>5</vt:i4>
      </vt:variant>
      <vt:variant>
        <vt:lpwstr/>
      </vt:variant>
      <vt:variant>
        <vt:lpwstr>_Toc147824529</vt:lpwstr>
      </vt:variant>
      <vt:variant>
        <vt:i4>1900593</vt:i4>
      </vt:variant>
      <vt:variant>
        <vt:i4>35</vt:i4>
      </vt:variant>
      <vt:variant>
        <vt:i4>0</vt:i4>
      </vt:variant>
      <vt:variant>
        <vt:i4>5</vt:i4>
      </vt:variant>
      <vt:variant>
        <vt:lpwstr/>
      </vt:variant>
      <vt:variant>
        <vt:lpwstr>_Toc147824528</vt:lpwstr>
      </vt:variant>
      <vt:variant>
        <vt:i4>1900593</vt:i4>
      </vt:variant>
      <vt:variant>
        <vt:i4>29</vt:i4>
      </vt:variant>
      <vt:variant>
        <vt:i4>0</vt:i4>
      </vt:variant>
      <vt:variant>
        <vt:i4>5</vt:i4>
      </vt:variant>
      <vt:variant>
        <vt:lpwstr/>
      </vt:variant>
      <vt:variant>
        <vt:lpwstr>_Toc147824527</vt:lpwstr>
      </vt:variant>
      <vt:variant>
        <vt:i4>1900593</vt:i4>
      </vt:variant>
      <vt:variant>
        <vt:i4>23</vt:i4>
      </vt:variant>
      <vt:variant>
        <vt:i4>0</vt:i4>
      </vt:variant>
      <vt:variant>
        <vt:i4>5</vt:i4>
      </vt:variant>
      <vt:variant>
        <vt:lpwstr/>
      </vt:variant>
      <vt:variant>
        <vt:lpwstr>_Toc147824527</vt:lpwstr>
      </vt:variant>
      <vt:variant>
        <vt:i4>1900593</vt:i4>
      </vt:variant>
      <vt:variant>
        <vt:i4>17</vt:i4>
      </vt:variant>
      <vt:variant>
        <vt:i4>0</vt:i4>
      </vt:variant>
      <vt:variant>
        <vt:i4>5</vt:i4>
      </vt:variant>
      <vt:variant>
        <vt:lpwstr/>
      </vt:variant>
      <vt:variant>
        <vt:lpwstr>_Toc147824526</vt:lpwstr>
      </vt:variant>
      <vt:variant>
        <vt:i4>1900593</vt:i4>
      </vt:variant>
      <vt:variant>
        <vt:i4>11</vt:i4>
      </vt:variant>
      <vt:variant>
        <vt:i4>0</vt:i4>
      </vt:variant>
      <vt:variant>
        <vt:i4>5</vt:i4>
      </vt:variant>
      <vt:variant>
        <vt:lpwstr/>
      </vt:variant>
      <vt:variant>
        <vt:lpwstr>_Toc147824525</vt:lpwstr>
      </vt:variant>
      <vt:variant>
        <vt:i4>1900593</vt:i4>
      </vt:variant>
      <vt:variant>
        <vt:i4>5</vt:i4>
      </vt:variant>
      <vt:variant>
        <vt:i4>0</vt:i4>
      </vt:variant>
      <vt:variant>
        <vt:i4>5</vt:i4>
      </vt:variant>
      <vt:variant>
        <vt:lpwstr/>
      </vt:variant>
      <vt:variant>
        <vt:lpwstr>_Toc147824524</vt:lpwstr>
      </vt:variant>
      <vt:variant>
        <vt:i4>4653106</vt:i4>
      </vt:variant>
      <vt:variant>
        <vt:i4>0</vt:i4>
      </vt:variant>
      <vt:variant>
        <vt:i4>0</vt:i4>
      </vt:variant>
      <vt:variant>
        <vt:i4>5</vt:i4>
      </vt:variant>
      <vt:variant>
        <vt:lpwstr>mailto:Hhernandez.oscar@epa.gov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creator>Houtman C u225724</dc:creator>
  <cp:lastModifiedBy>FRISON BEAU Valerie</cp:lastModifiedBy>
  <cp:revision>14</cp:revision>
  <cp:lastPrinted>2011-11-17T21:08:00Z</cp:lastPrinted>
  <dcterms:created xsi:type="dcterms:W3CDTF">2014-07-31T13:09:00Z</dcterms:created>
  <dcterms:modified xsi:type="dcterms:W3CDTF">2014-09-03T20:10:00Z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_Steward">
    <vt:lpwstr>Moore J na28698</vt:lpwstr>
  </property>
  <property fmtid="{D5CDD505-2E9C-101B-9397-08002B2CF9AE}" pid="3" name="Retention_Period_Start_Date">
    <vt:lpwstr>9/23/2012 3:11:09 PM</vt:lpwstr>
  </property>
  <property fmtid="{D5CDD505-2E9C-101B-9397-08002B2CF9AE}" pid="4" name="Information_Classification">
    <vt:lpwstr>DOW RESTRICTED - For internal use only</vt:lpwstr>
  </property>
  <property fmtid="{D5CDD505-2E9C-101B-9397-08002B2CF9AE}" pid="5" name="Record_Title_ID">
    <vt:lpwstr>72</vt:lpwstr>
  </property>
  <property fmtid="{D5CDD505-2E9C-101B-9397-08002B2CF9AE}" pid="6" name="Initial_Creation_Date">
    <vt:lpwstr>9/23/2012 3:11:09 PM</vt:lpwstr>
  </property>
  <property fmtid="{D5CDD505-2E9C-101B-9397-08002B2CF9AE}" pid="7" name="Last_Reviewed_Date">
    <vt:lpwstr/>
  </property>
  <property fmtid="{D5CDD505-2E9C-101B-9397-08002B2CF9AE}" pid="8" name="Retention_Review_Frequency">
    <vt:lpwstr/>
  </property>
  <property fmtid="{D5CDD505-2E9C-101B-9397-08002B2CF9AE}" pid="9" name="_AdHocReviewCycleID">
    <vt:i4>4573913</vt:i4>
  </property>
  <property fmtid="{D5CDD505-2E9C-101B-9397-08002B2CF9AE}" pid="10" name="_NewReviewCycle">
    <vt:lpwstr/>
  </property>
  <property fmtid="{D5CDD505-2E9C-101B-9397-08002B2CF9AE}" pid="11" name="_EmailSubject">
    <vt:lpwstr>Nitroparaffins from SIAM 31 - Final EPA comments</vt:lpwstr>
  </property>
  <property fmtid="{D5CDD505-2E9C-101B-9397-08002B2CF9AE}" pid="12" name="_AuthorEmail">
    <vt:lpwstr>Moore8@dow.com</vt:lpwstr>
  </property>
  <property fmtid="{D5CDD505-2E9C-101B-9397-08002B2CF9AE}" pid="13" name="_AuthorEmailDisplayName">
    <vt:lpwstr>Moore, Justin (JM)</vt:lpwstr>
  </property>
  <property fmtid="{D5CDD505-2E9C-101B-9397-08002B2CF9AE}" pid="14" name="_PreviousAdHocReviewCycleID">
    <vt:i4>666303043</vt:i4>
  </property>
  <property fmtid="{D5CDD505-2E9C-101B-9397-08002B2CF9AE}" pid="15" name="_ReviewingToolsShownOnce">
    <vt:lpwstr/>
  </property>
</Properties>
</file>