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1E2" w:rsidRPr="004B7EF4" w:rsidRDefault="001D41E2" w:rsidP="001D379D">
      <w:pPr>
        <w:pStyle w:val="CoverTitle"/>
        <w:rPr>
          <w:lang w:val="en-US"/>
        </w:rPr>
      </w:pPr>
      <w:r w:rsidRPr="004B7EF4">
        <w:rPr>
          <w:lang w:val="en-US"/>
        </w:rPr>
        <w:t>SIDS Initial Assessment Report</w:t>
      </w:r>
    </w:p>
    <w:p w:rsidR="001D41E2" w:rsidRPr="004B7EF4" w:rsidRDefault="001D41E2" w:rsidP="001D379D">
      <w:pPr>
        <w:pStyle w:val="CoverTitle"/>
        <w:rPr>
          <w:lang w:val="en-US"/>
        </w:rPr>
      </w:pPr>
      <w:r w:rsidRPr="004B7EF4">
        <w:rPr>
          <w:lang w:val="en-US"/>
        </w:rPr>
        <w:t>Fo</w:t>
      </w:r>
      <w:r>
        <w:rPr>
          <w:lang w:val="en-US"/>
        </w:rPr>
        <w:t>r</w:t>
      </w:r>
    </w:p>
    <w:p w:rsidR="001D41E2" w:rsidRPr="004B7EF4" w:rsidRDefault="001D41E2" w:rsidP="001D379D">
      <w:pPr>
        <w:pStyle w:val="CoverTitle"/>
        <w:rPr>
          <w:lang w:val="en-US"/>
        </w:rPr>
      </w:pPr>
      <w:smartTag w:uri="urn:schemas-microsoft-com:office:smarttags" w:element="country-region">
        <w:smartTag w:uri="urn:schemas-microsoft-com:office:smarttags" w:element="place">
          <w:r w:rsidRPr="004B7EF4">
            <w:rPr>
              <w:lang w:val="en-US"/>
            </w:rPr>
            <w:t>SIAM</w:t>
          </w:r>
        </w:smartTag>
      </w:smartTag>
      <w:r w:rsidRPr="004B7EF4">
        <w:rPr>
          <w:lang w:val="en-US"/>
        </w:rPr>
        <w:t xml:space="preserve"> 3</w:t>
      </w:r>
      <w:r>
        <w:rPr>
          <w:lang w:val="en-US"/>
        </w:rPr>
        <w:t>1</w:t>
      </w:r>
    </w:p>
    <w:p w:rsidR="001D41E2" w:rsidRDefault="001D41E2" w:rsidP="001D379D">
      <w:pPr>
        <w:pStyle w:val="BodyText"/>
        <w:jc w:val="center"/>
        <w:rPr>
          <w:lang w:val="en-US"/>
        </w:rPr>
      </w:pPr>
      <w:smartTag w:uri="urn:schemas-microsoft-com:office:smarttags" w:element="City">
        <w:smartTag w:uri="urn:schemas-microsoft-com:office:smarttags" w:element="place">
          <w:smartTag w:uri="urn:schemas-microsoft-com:office:smarttags" w:element="City">
            <w:r>
              <w:rPr>
                <w:lang w:val="en-US"/>
              </w:rPr>
              <w:t>Oxford</w:t>
            </w:r>
          </w:smartTag>
          <w:r>
            <w:rPr>
              <w:lang w:val="en-US"/>
            </w:rPr>
            <w:t xml:space="preserve">, </w:t>
          </w:r>
          <w:smartTag w:uri="urn:schemas-microsoft-com:office:smarttags" w:element="country-region">
            <w:r>
              <w:rPr>
                <w:lang w:val="en-US"/>
              </w:rPr>
              <w:t>United Kingdom</w:t>
            </w:r>
          </w:smartTag>
        </w:smartTag>
      </w:smartTag>
      <w:r>
        <w:rPr>
          <w:lang w:val="en-US"/>
        </w:rPr>
        <w:t>, October 19-22, 2010</w:t>
      </w:r>
    </w:p>
    <w:p w:rsidR="009D5214" w:rsidRDefault="009D5214" w:rsidP="001D379D">
      <w:pPr>
        <w:pStyle w:val="BodyText"/>
        <w:jc w:val="center"/>
        <w:rPr>
          <w:lang w:val="en-US"/>
        </w:rPr>
      </w:pPr>
    </w:p>
    <w:tbl>
      <w:tblPr>
        <w:tblW w:w="9982" w:type="dxa"/>
        <w:tblInd w:w="-106" w:type="dxa"/>
        <w:tblLayout w:type="fixed"/>
        <w:tblLook w:val="0000"/>
      </w:tblPr>
      <w:tblGrid>
        <w:gridCol w:w="3475"/>
        <w:gridCol w:w="6507"/>
      </w:tblGrid>
      <w:tr w:rsidR="001D41E2" w:rsidRPr="004B7EF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1.</w:t>
            </w:r>
            <w:r w:rsidRPr="004639D2">
              <w:rPr>
                <w:b/>
                <w:bCs/>
                <w:szCs w:val="24"/>
                <w:lang w:val="en-US"/>
              </w:rPr>
              <w:tab/>
              <w:t>Chemical Category:</w:t>
            </w:r>
          </w:p>
        </w:tc>
        <w:tc>
          <w:tcPr>
            <w:tcW w:w="6507" w:type="dxa"/>
          </w:tcPr>
          <w:p w:rsidR="001D41E2" w:rsidRPr="004639D2" w:rsidRDefault="001D41E2" w:rsidP="00773BAB">
            <w:pPr>
              <w:pStyle w:val="BodyText2"/>
              <w:rPr>
                <w:szCs w:val="24"/>
                <w:lang w:val="en-US"/>
              </w:rPr>
            </w:pPr>
            <w:r w:rsidRPr="004639D2">
              <w:rPr>
                <w:szCs w:val="24"/>
                <w:lang w:val="en-US"/>
              </w:rPr>
              <w:t>Chloroformates</w:t>
            </w:r>
          </w:p>
        </w:tc>
      </w:tr>
      <w:tr w:rsidR="001D41E2" w:rsidRPr="00681851"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2.</w:t>
            </w:r>
            <w:r w:rsidRPr="004639D2">
              <w:rPr>
                <w:b/>
                <w:bCs/>
                <w:szCs w:val="24"/>
                <w:lang w:val="en-US"/>
              </w:rPr>
              <w:tab/>
              <w:t xml:space="preserve">CAS Numbers, Chemical </w:t>
            </w:r>
            <w:r w:rsidRPr="004639D2">
              <w:rPr>
                <w:b/>
                <w:bCs/>
                <w:szCs w:val="24"/>
                <w:lang w:val="en-US"/>
              </w:rPr>
              <w:tab/>
              <w:t>Names and Abbreviations:</w:t>
            </w:r>
          </w:p>
        </w:tc>
        <w:tc>
          <w:tcPr>
            <w:tcW w:w="6507" w:type="dxa"/>
          </w:tcPr>
          <w:p w:rsidR="001D41E2" w:rsidRPr="004639D2" w:rsidRDefault="001D41E2" w:rsidP="00773BAB">
            <w:pPr>
              <w:pStyle w:val="BodyText2"/>
              <w:tabs>
                <w:tab w:val="left" w:pos="1332"/>
              </w:tabs>
              <w:ind w:left="1339" w:hanging="1339"/>
              <w:rPr>
                <w:szCs w:val="24"/>
                <w:lang w:val="en-US"/>
              </w:rPr>
            </w:pPr>
            <w:r w:rsidRPr="004639D2">
              <w:rPr>
                <w:b/>
                <w:bCs/>
                <w:szCs w:val="24"/>
                <w:lang w:val="en-US"/>
              </w:rPr>
              <w:t>Sponsored substances</w:t>
            </w:r>
            <w:r w:rsidRPr="004639D2">
              <w:rPr>
                <w:szCs w:val="24"/>
                <w:lang w:val="en-US"/>
              </w:rPr>
              <w:t>:</w:t>
            </w:r>
          </w:p>
          <w:p w:rsidR="001D41E2" w:rsidRPr="004639D2" w:rsidRDefault="001D41E2" w:rsidP="00773BAB">
            <w:pPr>
              <w:pStyle w:val="BodyText2"/>
              <w:tabs>
                <w:tab w:val="left" w:pos="1332"/>
              </w:tabs>
              <w:spacing w:before="120"/>
              <w:ind w:left="1339" w:hanging="1339"/>
              <w:rPr>
                <w:szCs w:val="24"/>
                <w:lang w:val="en-US"/>
              </w:rPr>
            </w:pPr>
            <w:r w:rsidRPr="004639D2">
              <w:rPr>
                <w:szCs w:val="24"/>
                <w:lang w:val="en-US"/>
              </w:rPr>
              <w:t>79-22-1</w:t>
            </w:r>
            <w:r w:rsidRPr="004639D2">
              <w:rPr>
                <w:szCs w:val="24"/>
                <w:lang w:val="en-US"/>
              </w:rPr>
              <w:tab/>
              <w:t>Methyl chloroformate (MeCF)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541-41-3</w:t>
            </w:r>
            <w:r w:rsidRPr="004639D2">
              <w:rPr>
                <w:szCs w:val="24"/>
                <w:lang w:val="fr-FR"/>
              </w:rPr>
              <w:tab/>
              <w:t>Ethyl chloroformate (EtCF)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109-61-5</w:t>
            </w:r>
            <w:r w:rsidRPr="004639D2">
              <w:rPr>
                <w:szCs w:val="24"/>
                <w:lang w:val="fr-FR"/>
              </w:rPr>
              <w:tab/>
              <w:t>Propyl chloroformate (PrCF)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108-23-6</w:t>
            </w:r>
            <w:r w:rsidRPr="004639D2">
              <w:rPr>
                <w:szCs w:val="24"/>
                <w:lang w:val="fr-FR"/>
              </w:rPr>
              <w:tab/>
              <w:t>Isopropyl chloroformate (IpCF)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17462-58-7</w:t>
            </w:r>
            <w:r w:rsidRPr="004639D2">
              <w:rPr>
                <w:szCs w:val="24"/>
                <w:lang w:val="fr-FR"/>
              </w:rPr>
              <w:tab/>
              <w:t>Sec-Butyl chloroformate (SbCF)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106-75-2</w:t>
            </w:r>
            <w:r w:rsidRPr="004639D2">
              <w:rPr>
                <w:szCs w:val="24"/>
                <w:lang w:val="fr-FR"/>
              </w:rPr>
              <w:tab/>
              <w:t xml:space="preserve">Oxydiethylene </w:t>
            </w:r>
            <w:proofErr w:type="gramStart"/>
            <w:r w:rsidRPr="004639D2">
              <w:rPr>
                <w:szCs w:val="24"/>
                <w:lang w:val="fr-FR"/>
              </w:rPr>
              <w:t>bis(</w:t>
            </w:r>
            <w:proofErr w:type="gramEnd"/>
            <w:r w:rsidRPr="004639D2">
              <w:rPr>
                <w:szCs w:val="24"/>
                <w:lang w:val="fr-FR"/>
              </w:rPr>
              <w:t>chloroformate) (ObCF)</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24468-13-1</w:t>
            </w:r>
            <w:r w:rsidRPr="004639D2">
              <w:rPr>
                <w:szCs w:val="24"/>
                <w:lang w:val="fr-FR"/>
              </w:rPr>
              <w:tab/>
              <w:t>2-Ethylhexyl chloroformate (EhCF)</w:t>
            </w:r>
          </w:p>
          <w:p w:rsidR="001D41E2" w:rsidRPr="004639D2" w:rsidRDefault="001D41E2" w:rsidP="00773BAB">
            <w:pPr>
              <w:pStyle w:val="BodyText2"/>
              <w:tabs>
                <w:tab w:val="left" w:pos="1332"/>
              </w:tabs>
              <w:spacing w:before="120"/>
              <w:ind w:left="1339" w:hanging="1339"/>
              <w:rPr>
                <w:b/>
                <w:bCs/>
                <w:szCs w:val="24"/>
                <w:lang w:val="fr-FR"/>
              </w:rPr>
            </w:pPr>
            <w:r w:rsidRPr="004639D2">
              <w:rPr>
                <w:b/>
                <w:bCs/>
                <w:szCs w:val="24"/>
                <w:lang w:val="fr-FR"/>
              </w:rPr>
              <w:t>Hydrolysis products:</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67-56-1</w:t>
            </w:r>
            <w:r w:rsidRPr="004639D2">
              <w:rPr>
                <w:szCs w:val="24"/>
                <w:lang w:val="fr-FR"/>
              </w:rPr>
              <w:tab/>
              <w:t>Methanol (Me)</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64-17-5</w:t>
            </w:r>
            <w:r w:rsidRPr="004639D2">
              <w:rPr>
                <w:szCs w:val="24"/>
                <w:lang w:val="fr-FR"/>
              </w:rPr>
              <w:tab/>
              <w:t>Ethanol (Et)</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71-23-8</w:t>
            </w:r>
            <w:r w:rsidRPr="004639D2">
              <w:rPr>
                <w:szCs w:val="24"/>
                <w:lang w:val="fr-FR"/>
              </w:rPr>
              <w:tab/>
              <w:t xml:space="preserve">1-Propanol (Pr) </w:t>
            </w:r>
          </w:p>
          <w:p w:rsidR="001D41E2" w:rsidRPr="004639D2" w:rsidRDefault="001D41E2" w:rsidP="00773BAB">
            <w:pPr>
              <w:pStyle w:val="BodyText2"/>
              <w:tabs>
                <w:tab w:val="left" w:pos="1332"/>
              </w:tabs>
              <w:spacing w:before="120"/>
              <w:ind w:left="1339" w:hanging="1339"/>
              <w:rPr>
                <w:szCs w:val="24"/>
                <w:lang w:val="it-IT"/>
              </w:rPr>
            </w:pPr>
            <w:proofErr w:type="gramStart"/>
            <w:r w:rsidRPr="004639D2">
              <w:rPr>
                <w:szCs w:val="24"/>
                <w:lang w:val="it-IT"/>
              </w:rPr>
              <w:t>67-63-0</w:t>
            </w:r>
            <w:proofErr w:type="gramEnd"/>
            <w:r w:rsidRPr="004639D2">
              <w:rPr>
                <w:szCs w:val="24"/>
                <w:lang w:val="it-IT"/>
              </w:rPr>
              <w:tab/>
              <w:t>Isopropanol (Ip)</w:t>
            </w:r>
          </w:p>
          <w:p w:rsidR="001D41E2" w:rsidRPr="004639D2" w:rsidRDefault="001D41E2" w:rsidP="00773BAB">
            <w:pPr>
              <w:pStyle w:val="BodyText2"/>
              <w:tabs>
                <w:tab w:val="left" w:pos="1332"/>
              </w:tabs>
              <w:spacing w:before="120"/>
              <w:ind w:left="1339" w:hanging="1339"/>
              <w:rPr>
                <w:szCs w:val="24"/>
                <w:lang w:val="it-IT"/>
              </w:rPr>
            </w:pPr>
            <w:proofErr w:type="gramStart"/>
            <w:r w:rsidRPr="004639D2">
              <w:rPr>
                <w:szCs w:val="24"/>
                <w:lang w:val="it-IT"/>
              </w:rPr>
              <w:t>78-92-2</w:t>
            </w:r>
            <w:proofErr w:type="gramEnd"/>
            <w:r w:rsidRPr="004639D2">
              <w:rPr>
                <w:szCs w:val="24"/>
                <w:lang w:val="it-IT"/>
              </w:rPr>
              <w:tab/>
              <w:t>Sec-Butanol (Sb)</w:t>
            </w:r>
          </w:p>
          <w:p w:rsidR="001D41E2" w:rsidRPr="001D41E2" w:rsidRDefault="007D3E3E" w:rsidP="00773BAB">
            <w:pPr>
              <w:pStyle w:val="BodyText2"/>
              <w:tabs>
                <w:tab w:val="left" w:pos="1332"/>
              </w:tabs>
              <w:spacing w:before="120"/>
              <w:ind w:left="1339" w:hanging="1339"/>
              <w:rPr>
                <w:sz w:val="22"/>
                <w:szCs w:val="24"/>
                <w:lang w:val="it-IT"/>
              </w:rPr>
            </w:pPr>
            <w:proofErr w:type="gramStart"/>
            <w:r w:rsidRPr="007D3E3E">
              <w:rPr>
                <w:szCs w:val="24"/>
                <w:lang w:val="it-IT"/>
              </w:rPr>
              <w:t>111-46-6</w:t>
            </w:r>
            <w:proofErr w:type="gramEnd"/>
            <w:r w:rsidR="001D41E2" w:rsidRPr="004639D2">
              <w:rPr>
                <w:szCs w:val="24"/>
                <w:lang w:val="it-IT"/>
              </w:rPr>
              <w:tab/>
            </w:r>
            <w:r w:rsidRPr="007D3E3E">
              <w:rPr>
                <w:szCs w:val="24"/>
                <w:lang w:val="it-IT"/>
              </w:rPr>
              <w:t>Diethylene glycol (DEG)</w:t>
            </w:r>
          </w:p>
          <w:p w:rsidR="001D41E2" w:rsidRPr="001D41E2" w:rsidRDefault="007D3E3E" w:rsidP="00773BAB">
            <w:pPr>
              <w:pStyle w:val="BodyText2"/>
              <w:tabs>
                <w:tab w:val="left" w:pos="1332"/>
              </w:tabs>
              <w:spacing w:before="120"/>
              <w:ind w:left="1339" w:hanging="1339"/>
              <w:rPr>
                <w:sz w:val="22"/>
                <w:szCs w:val="24"/>
                <w:lang w:val="it-IT"/>
              </w:rPr>
            </w:pPr>
            <w:proofErr w:type="gramStart"/>
            <w:r w:rsidRPr="007D3E3E">
              <w:rPr>
                <w:szCs w:val="24"/>
                <w:lang w:val="it-IT"/>
              </w:rPr>
              <w:t>104-76-7</w:t>
            </w:r>
            <w:proofErr w:type="gramEnd"/>
            <w:r w:rsidR="001D41E2" w:rsidRPr="004639D2">
              <w:rPr>
                <w:szCs w:val="24"/>
                <w:lang w:val="it-IT"/>
              </w:rPr>
              <w:tab/>
            </w:r>
            <w:r w:rsidRPr="007D3E3E">
              <w:rPr>
                <w:szCs w:val="24"/>
                <w:lang w:val="it-IT"/>
              </w:rPr>
              <w:t>2-Ethyl hexanol (Eh)</w:t>
            </w:r>
          </w:p>
          <w:p w:rsidR="001D41E2" w:rsidRPr="004639D2" w:rsidRDefault="001D41E2" w:rsidP="00773BAB">
            <w:pPr>
              <w:pStyle w:val="BodyText2"/>
              <w:tabs>
                <w:tab w:val="left" w:pos="1332"/>
              </w:tabs>
              <w:spacing w:before="120"/>
              <w:ind w:left="1339" w:hanging="1339"/>
              <w:rPr>
                <w:szCs w:val="24"/>
                <w:lang w:val="fr-FR"/>
              </w:rPr>
            </w:pPr>
            <w:r w:rsidRPr="004639D2">
              <w:rPr>
                <w:szCs w:val="24"/>
                <w:lang w:val="fr-FR"/>
              </w:rPr>
              <w:t>7647-01-0</w:t>
            </w:r>
            <w:r w:rsidRPr="004639D2">
              <w:rPr>
                <w:szCs w:val="24"/>
                <w:lang w:val="fr-FR"/>
              </w:rPr>
              <w:tab/>
              <w:t>Hydrogen chloride (HCl)</w:t>
            </w:r>
          </w:p>
          <w:p w:rsidR="001D41E2" w:rsidRPr="004639D2" w:rsidRDefault="001D41E2" w:rsidP="00773BAB">
            <w:pPr>
              <w:pStyle w:val="BodyText2"/>
              <w:tabs>
                <w:tab w:val="left" w:pos="1332"/>
              </w:tabs>
              <w:spacing w:before="120"/>
              <w:ind w:left="1339" w:hanging="1339"/>
              <w:rPr>
                <w:szCs w:val="24"/>
                <w:lang w:val="fr-FR"/>
              </w:rPr>
            </w:pPr>
          </w:p>
        </w:tc>
      </w:tr>
      <w:tr w:rsidR="001D41E2" w:rsidRPr="009D521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3.</w:t>
            </w:r>
            <w:r w:rsidRPr="004639D2">
              <w:rPr>
                <w:b/>
                <w:bCs/>
                <w:szCs w:val="24"/>
                <w:lang w:val="en-US"/>
              </w:rPr>
              <w:tab/>
              <w:t>Sponsor Country:</w:t>
            </w:r>
          </w:p>
        </w:tc>
        <w:tc>
          <w:tcPr>
            <w:tcW w:w="6507" w:type="dxa"/>
          </w:tcPr>
          <w:p w:rsidR="001D41E2" w:rsidRPr="004639D2" w:rsidRDefault="001D41E2" w:rsidP="00773BAB">
            <w:pPr>
              <w:pStyle w:val="BodyText2"/>
              <w:rPr>
                <w:szCs w:val="24"/>
                <w:lang w:val="en-US"/>
              </w:rPr>
            </w:pPr>
            <w:smartTag w:uri="urn:schemas-microsoft-com:office:smarttags" w:element="country-region">
              <w:smartTag w:uri="urn:schemas-microsoft-com:office:smarttags" w:element="place">
                <w:r w:rsidRPr="004639D2">
                  <w:rPr>
                    <w:szCs w:val="24"/>
                    <w:lang w:val="en-US"/>
                  </w:rPr>
                  <w:t>United States of America</w:t>
                </w:r>
              </w:smartTag>
            </w:smartTag>
          </w:p>
          <w:p w:rsidR="001D41E2" w:rsidRPr="004639D2" w:rsidRDefault="001D41E2" w:rsidP="00773BAB">
            <w:pPr>
              <w:pStyle w:val="BodyText2"/>
              <w:rPr>
                <w:szCs w:val="24"/>
                <w:lang w:val="en-US"/>
              </w:rPr>
            </w:pPr>
            <w:smartTag w:uri="urn:schemas-microsoft-com:office:smarttags" w:element="country-region">
              <w:smartTag w:uri="urn:schemas-microsoft-com:office:smarttags" w:element="place">
                <w:r w:rsidRPr="004639D2">
                  <w:rPr>
                    <w:szCs w:val="24"/>
                    <w:lang w:val="en-US"/>
                  </w:rPr>
                  <w:t>U.S.</w:t>
                </w:r>
              </w:smartTag>
            </w:smartTag>
            <w:r w:rsidRPr="004639D2">
              <w:rPr>
                <w:szCs w:val="24"/>
                <w:lang w:val="en-US"/>
              </w:rPr>
              <w:t xml:space="preserve"> Environmental Protection Agency</w:t>
            </w:r>
          </w:p>
          <w:p w:rsidR="001D41E2" w:rsidRPr="004639D2" w:rsidRDefault="001D41E2" w:rsidP="00773BAB">
            <w:pPr>
              <w:pStyle w:val="BodyText2"/>
              <w:rPr>
                <w:szCs w:val="24"/>
                <w:lang w:val="en-US"/>
              </w:rPr>
            </w:pPr>
            <w:r w:rsidRPr="004639D2">
              <w:rPr>
                <w:szCs w:val="24"/>
                <w:lang w:val="en-US"/>
              </w:rPr>
              <w:t>Dr. Oscar Hernandez, Director</w:t>
            </w:r>
          </w:p>
          <w:p w:rsidR="001D41E2" w:rsidRPr="004639D2" w:rsidRDefault="001D41E2" w:rsidP="00773BAB">
            <w:pPr>
              <w:pStyle w:val="BodyText2"/>
              <w:rPr>
                <w:szCs w:val="24"/>
                <w:lang w:val="en-US"/>
              </w:rPr>
            </w:pPr>
            <w:r w:rsidRPr="004639D2">
              <w:rPr>
                <w:szCs w:val="24"/>
                <w:lang w:val="en-US"/>
              </w:rPr>
              <w:t>Risk Assessment Division (7403M)</w:t>
            </w:r>
          </w:p>
          <w:p w:rsidR="001D41E2" w:rsidRPr="004639D2" w:rsidRDefault="001D41E2" w:rsidP="00773BAB">
            <w:pPr>
              <w:pStyle w:val="BodyText2"/>
              <w:rPr>
                <w:szCs w:val="24"/>
                <w:lang w:val="en-US"/>
              </w:rPr>
            </w:pPr>
            <w:smartTag w:uri="urn:schemas-microsoft-com:office:smarttags" w:element="address">
              <w:smartTag w:uri="urn:schemas-microsoft-com:office:smarttags" w:element="Street">
                <w:r w:rsidRPr="004639D2">
                  <w:rPr>
                    <w:szCs w:val="24"/>
                    <w:lang w:val="en-US"/>
                  </w:rPr>
                  <w:t>1200 Pennsylvania Ave., NW</w:t>
                </w:r>
              </w:smartTag>
            </w:smartTag>
          </w:p>
          <w:p w:rsidR="001D41E2" w:rsidRPr="004639D2" w:rsidRDefault="001D41E2" w:rsidP="00773BAB">
            <w:pPr>
              <w:pStyle w:val="BodyText2"/>
              <w:rPr>
                <w:szCs w:val="24"/>
                <w:lang w:val="en-US"/>
              </w:rPr>
            </w:pPr>
            <w:smartTag w:uri="urn:schemas-microsoft-com:office:smarttags" w:element="City">
              <w:smartTag w:uri="urn:schemas-microsoft-com:office:smarttags" w:element="place">
                <w:smartTag w:uri="urn:schemas-microsoft-com:office:smarttags" w:element="City">
                  <w:r w:rsidRPr="004639D2">
                    <w:rPr>
                      <w:szCs w:val="24"/>
                      <w:lang w:val="en-US"/>
                    </w:rPr>
                    <w:t>Washington</w:t>
                  </w:r>
                </w:smartTag>
                <w:r w:rsidRPr="004639D2">
                  <w:rPr>
                    <w:szCs w:val="24"/>
                    <w:lang w:val="en-US"/>
                  </w:rPr>
                  <w:t xml:space="preserve">, </w:t>
                </w:r>
                <w:smartTag w:uri="urn:schemas-microsoft-com:office:smarttags" w:element="State">
                  <w:r w:rsidRPr="004639D2">
                    <w:rPr>
                      <w:szCs w:val="24"/>
                      <w:lang w:val="en-US"/>
                    </w:rPr>
                    <w:t>DC</w:t>
                  </w:r>
                </w:smartTag>
                <w:r w:rsidRPr="004639D2">
                  <w:rPr>
                    <w:szCs w:val="24"/>
                    <w:lang w:val="en-US"/>
                  </w:rPr>
                  <w:t xml:space="preserve"> </w:t>
                </w:r>
                <w:smartTag w:uri="urn:schemas-microsoft-com:office:smarttags" w:element="PostalCode">
                  <w:r w:rsidRPr="004639D2">
                    <w:rPr>
                      <w:szCs w:val="24"/>
                      <w:lang w:val="en-US"/>
                    </w:rPr>
                    <w:t>20460</w:t>
                  </w:r>
                </w:smartTag>
              </w:smartTag>
            </w:smartTag>
          </w:p>
          <w:p w:rsidR="001D41E2" w:rsidRPr="009D5214" w:rsidRDefault="001D41E2" w:rsidP="00773BAB">
            <w:pPr>
              <w:pStyle w:val="BodyText2"/>
              <w:rPr>
                <w:szCs w:val="24"/>
                <w:lang w:val="fr-FR"/>
              </w:rPr>
            </w:pPr>
            <w:r w:rsidRPr="009D5214">
              <w:rPr>
                <w:szCs w:val="24"/>
                <w:lang w:val="fr-FR"/>
              </w:rPr>
              <w:t>Phone: 202-564-7641</w:t>
            </w:r>
          </w:p>
          <w:p w:rsidR="001D41E2" w:rsidRPr="009D5214" w:rsidRDefault="001D41E2" w:rsidP="009D5214">
            <w:pPr>
              <w:pStyle w:val="BodyText2"/>
              <w:rPr>
                <w:szCs w:val="24"/>
                <w:lang w:val="fr-FR"/>
              </w:rPr>
            </w:pPr>
          </w:p>
        </w:tc>
      </w:tr>
      <w:tr w:rsidR="001D41E2" w:rsidRPr="004B7EF4" w:rsidTr="009D5214">
        <w:tc>
          <w:tcPr>
            <w:tcW w:w="3475" w:type="dxa"/>
          </w:tcPr>
          <w:p w:rsidR="001D41E2" w:rsidRPr="004639D2" w:rsidRDefault="001D41E2" w:rsidP="009D5214">
            <w:pPr>
              <w:pStyle w:val="BodyText"/>
              <w:tabs>
                <w:tab w:val="left" w:pos="360"/>
              </w:tabs>
              <w:ind w:left="360" w:hanging="360"/>
              <w:jc w:val="left"/>
              <w:rPr>
                <w:b/>
                <w:bCs/>
                <w:szCs w:val="24"/>
                <w:lang w:val="en-US"/>
              </w:rPr>
            </w:pPr>
            <w:r w:rsidRPr="004639D2">
              <w:rPr>
                <w:b/>
                <w:bCs/>
                <w:szCs w:val="24"/>
                <w:lang w:val="en-US"/>
              </w:rPr>
              <w:t>4.</w:t>
            </w:r>
            <w:r w:rsidRPr="004639D2">
              <w:rPr>
                <w:b/>
                <w:bCs/>
                <w:szCs w:val="24"/>
                <w:lang w:val="en-US"/>
              </w:rPr>
              <w:tab/>
              <w:t>Shared Partnership with:</w:t>
            </w:r>
          </w:p>
        </w:tc>
        <w:tc>
          <w:tcPr>
            <w:tcW w:w="6507" w:type="dxa"/>
          </w:tcPr>
          <w:p w:rsidR="001D41E2" w:rsidRPr="004639D2" w:rsidRDefault="001D41E2" w:rsidP="009D5214">
            <w:pPr>
              <w:pStyle w:val="BodyText"/>
              <w:rPr>
                <w:color w:val="000000"/>
                <w:szCs w:val="24"/>
                <w:lang w:val="en-US"/>
              </w:rPr>
            </w:pPr>
            <w:r w:rsidRPr="004639D2">
              <w:rPr>
                <w:color w:val="000000"/>
                <w:szCs w:val="24"/>
                <w:lang w:val="en-US"/>
              </w:rPr>
              <w:t>ICCA</w:t>
            </w:r>
          </w:p>
          <w:p w:rsidR="001D41E2" w:rsidRPr="004639D2" w:rsidRDefault="001D41E2" w:rsidP="009D5214">
            <w:pPr>
              <w:pStyle w:val="BodyText"/>
              <w:spacing w:after="0"/>
              <w:rPr>
                <w:color w:val="000000"/>
                <w:szCs w:val="24"/>
                <w:lang w:val="en-US"/>
              </w:rPr>
            </w:pPr>
            <w:r w:rsidRPr="004639D2">
              <w:rPr>
                <w:color w:val="000000"/>
                <w:szCs w:val="24"/>
                <w:lang w:val="en-US"/>
              </w:rPr>
              <w:t>Synthetic Organic Chemical Manufacturers Association</w:t>
            </w:r>
          </w:p>
          <w:p w:rsidR="001D41E2" w:rsidRPr="004639D2" w:rsidRDefault="001D41E2" w:rsidP="009D5214">
            <w:pPr>
              <w:pStyle w:val="BodyText"/>
              <w:spacing w:after="0"/>
              <w:rPr>
                <w:color w:val="000000"/>
                <w:szCs w:val="24"/>
                <w:lang w:val="en-US"/>
              </w:rPr>
            </w:pPr>
            <w:r w:rsidRPr="004639D2">
              <w:rPr>
                <w:color w:val="000000"/>
                <w:szCs w:val="24"/>
                <w:lang w:val="en-US"/>
              </w:rPr>
              <w:t>Chloroformates and Acid Chlorides (CFACC) Panel</w:t>
            </w:r>
          </w:p>
          <w:p w:rsidR="001D41E2" w:rsidRPr="00F761CE" w:rsidRDefault="001D41E2" w:rsidP="009D5214">
            <w:pPr>
              <w:autoSpaceDE w:val="0"/>
              <w:autoSpaceDN w:val="0"/>
              <w:adjustRightInd w:val="0"/>
              <w:jc w:val="both"/>
              <w:rPr>
                <w:rFonts w:eastAsia="Batang"/>
                <w:color w:val="000000"/>
                <w:lang w:val="pt-PT" w:eastAsia="zh-CN"/>
              </w:rPr>
            </w:pPr>
            <w:r w:rsidRPr="00F761CE">
              <w:rPr>
                <w:rFonts w:eastAsia="Batang"/>
                <w:color w:val="000000"/>
                <w:lang w:val="pt-PT" w:eastAsia="zh-CN"/>
              </w:rPr>
              <w:t>Dr. C. T. Helmes</w:t>
            </w:r>
          </w:p>
          <w:p w:rsidR="001D41E2" w:rsidRPr="00F761CE" w:rsidRDefault="001D41E2" w:rsidP="009D5214">
            <w:pPr>
              <w:autoSpaceDE w:val="0"/>
              <w:autoSpaceDN w:val="0"/>
              <w:adjustRightInd w:val="0"/>
              <w:jc w:val="both"/>
              <w:rPr>
                <w:rFonts w:eastAsia="Batang"/>
                <w:color w:val="000000"/>
                <w:lang w:val="pt-PT" w:eastAsia="zh-CN"/>
              </w:rPr>
            </w:pPr>
            <w:r w:rsidRPr="00F761CE">
              <w:rPr>
                <w:rFonts w:eastAsia="Batang"/>
                <w:color w:val="000000"/>
                <w:lang w:val="pt-PT" w:eastAsia="zh-CN"/>
              </w:rPr>
              <w:t>Senior Director</w:t>
            </w:r>
          </w:p>
          <w:p w:rsidR="001D41E2" w:rsidRPr="004B7EF4" w:rsidRDefault="001D41E2" w:rsidP="009D5214">
            <w:pPr>
              <w:autoSpaceDE w:val="0"/>
              <w:autoSpaceDN w:val="0"/>
              <w:adjustRightInd w:val="0"/>
              <w:jc w:val="both"/>
              <w:rPr>
                <w:rFonts w:eastAsia="Batang"/>
                <w:color w:val="000000"/>
                <w:lang w:eastAsia="zh-CN"/>
              </w:rPr>
            </w:pPr>
            <w:r w:rsidRPr="004B7EF4">
              <w:rPr>
                <w:rFonts w:eastAsia="Batang"/>
                <w:color w:val="000000"/>
                <w:lang w:eastAsia="zh-CN"/>
              </w:rPr>
              <w:lastRenderedPageBreak/>
              <w:t>1850 M Street, NW #700</w:t>
            </w:r>
          </w:p>
          <w:p w:rsidR="001D41E2" w:rsidRPr="004B7EF4" w:rsidRDefault="001D41E2" w:rsidP="009D5214">
            <w:pPr>
              <w:autoSpaceDE w:val="0"/>
              <w:autoSpaceDN w:val="0"/>
              <w:adjustRightInd w:val="0"/>
              <w:jc w:val="both"/>
              <w:rPr>
                <w:rFonts w:eastAsia="Batang"/>
                <w:color w:val="000000"/>
                <w:lang w:eastAsia="zh-CN"/>
              </w:rPr>
            </w:pPr>
            <w:smartTag w:uri="urn:schemas-microsoft-com:office:smarttags" w:element="City">
              <w:smartTag w:uri="urn:schemas-microsoft-com:office:smarttags" w:element="place">
                <w:smartTag w:uri="urn:schemas-microsoft-com:office:smarttags" w:element="City">
                  <w:r w:rsidRPr="004B7EF4">
                    <w:rPr>
                      <w:rFonts w:eastAsia="Batang"/>
                      <w:color w:val="000000"/>
                      <w:lang w:eastAsia="zh-CN"/>
                    </w:rPr>
                    <w:t>Washington</w:t>
                  </w:r>
                </w:smartTag>
                <w:r w:rsidRPr="004B7EF4">
                  <w:rPr>
                    <w:rFonts w:eastAsia="Batang"/>
                    <w:color w:val="000000"/>
                    <w:lang w:eastAsia="zh-CN"/>
                  </w:rPr>
                  <w:t xml:space="preserve">, </w:t>
                </w:r>
                <w:smartTag w:uri="urn:schemas-microsoft-com:office:smarttags" w:element="State">
                  <w:r w:rsidRPr="004B7EF4">
                    <w:rPr>
                      <w:rFonts w:eastAsia="Batang"/>
                      <w:color w:val="000000"/>
                      <w:lang w:eastAsia="zh-CN"/>
                    </w:rPr>
                    <w:t>DC</w:t>
                  </w:r>
                </w:smartTag>
                <w:r w:rsidRPr="004B7EF4">
                  <w:rPr>
                    <w:rFonts w:eastAsia="Batang"/>
                    <w:color w:val="000000"/>
                    <w:lang w:eastAsia="zh-CN"/>
                  </w:rPr>
                  <w:t xml:space="preserve"> </w:t>
                </w:r>
                <w:smartTag w:uri="urn:schemas-microsoft-com:office:smarttags" w:element="PostalCode">
                  <w:r w:rsidRPr="004B7EF4">
                    <w:rPr>
                      <w:rFonts w:eastAsia="Batang"/>
                      <w:color w:val="000000"/>
                      <w:lang w:eastAsia="zh-CN"/>
                    </w:rPr>
                    <w:t>20036</w:t>
                  </w:r>
                </w:smartTag>
              </w:smartTag>
            </w:smartTag>
            <w:r w:rsidRPr="004B7EF4">
              <w:rPr>
                <w:rFonts w:eastAsia="Batang"/>
                <w:color w:val="000000"/>
                <w:lang w:eastAsia="zh-CN"/>
              </w:rPr>
              <w:t xml:space="preserve"> </w:t>
            </w:r>
          </w:p>
          <w:p w:rsidR="001D41E2" w:rsidRPr="004B7EF4" w:rsidRDefault="001D41E2" w:rsidP="009D5214">
            <w:pPr>
              <w:autoSpaceDE w:val="0"/>
              <w:autoSpaceDN w:val="0"/>
              <w:adjustRightInd w:val="0"/>
              <w:jc w:val="both"/>
              <w:rPr>
                <w:rFonts w:eastAsia="Batang"/>
                <w:color w:val="000000"/>
                <w:lang w:eastAsia="zh-CN"/>
              </w:rPr>
            </w:pPr>
            <w:r w:rsidRPr="004B7EF4">
              <w:rPr>
                <w:rFonts w:eastAsia="Batang"/>
                <w:color w:val="000000"/>
                <w:lang w:eastAsia="zh-CN"/>
              </w:rPr>
              <w:t>Tel 202-721-4154 / Fax 202-296-8120</w:t>
            </w:r>
          </w:p>
          <w:p w:rsidR="001D41E2" w:rsidRDefault="00BB0749" w:rsidP="009D5214">
            <w:pPr>
              <w:autoSpaceDE w:val="0"/>
              <w:autoSpaceDN w:val="0"/>
              <w:adjustRightInd w:val="0"/>
              <w:jc w:val="both"/>
              <w:rPr>
                <w:color w:val="000000"/>
              </w:rPr>
            </w:pPr>
            <w:hyperlink r:id="rId8" w:history="1">
              <w:r w:rsidR="001D41E2" w:rsidRPr="007839EA">
                <w:rPr>
                  <w:rFonts w:eastAsia="Batang"/>
                  <w:color w:val="000000"/>
                  <w:lang w:eastAsia="zh-CN"/>
                </w:rPr>
                <w:t>helmest@socma.com</w:t>
              </w:r>
            </w:hyperlink>
          </w:p>
          <w:p w:rsidR="001D41E2" w:rsidRPr="004639D2" w:rsidRDefault="001D41E2" w:rsidP="009D5214">
            <w:pPr>
              <w:pStyle w:val="BodyText2"/>
              <w:rPr>
                <w:color w:val="000000"/>
                <w:szCs w:val="24"/>
                <w:lang w:val="en-US"/>
              </w:rPr>
            </w:pPr>
          </w:p>
        </w:tc>
      </w:tr>
      <w:tr w:rsidR="001D41E2" w:rsidRPr="004B7EF4" w:rsidTr="009D5214">
        <w:tc>
          <w:tcPr>
            <w:tcW w:w="3475" w:type="dxa"/>
          </w:tcPr>
          <w:p w:rsidR="001D41E2" w:rsidRPr="004639D2" w:rsidRDefault="001D41E2" w:rsidP="009D5214">
            <w:pPr>
              <w:pStyle w:val="BodyText"/>
              <w:tabs>
                <w:tab w:val="left" w:pos="360"/>
              </w:tabs>
              <w:ind w:left="360" w:hanging="360"/>
              <w:jc w:val="left"/>
              <w:rPr>
                <w:b/>
                <w:bCs/>
                <w:szCs w:val="24"/>
                <w:lang w:val="en-US"/>
              </w:rPr>
            </w:pPr>
            <w:r w:rsidRPr="004639D2">
              <w:rPr>
                <w:b/>
                <w:bCs/>
                <w:szCs w:val="24"/>
                <w:lang w:val="en-US"/>
              </w:rPr>
              <w:lastRenderedPageBreak/>
              <w:t>5.</w:t>
            </w:r>
            <w:r w:rsidRPr="004639D2">
              <w:rPr>
                <w:b/>
                <w:bCs/>
                <w:szCs w:val="24"/>
                <w:lang w:val="en-US"/>
              </w:rPr>
              <w:tab/>
              <w:t>Roles/Responsibilities of the Partners:</w:t>
            </w:r>
          </w:p>
        </w:tc>
        <w:tc>
          <w:tcPr>
            <w:tcW w:w="6507" w:type="dxa"/>
          </w:tcPr>
          <w:p w:rsidR="001D41E2" w:rsidRPr="004639D2" w:rsidRDefault="001D41E2" w:rsidP="009D5214">
            <w:pPr>
              <w:pStyle w:val="BodyText2"/>
              <w:rPr>
                <w:szCs w:val="24"/>
                <w:lang w:val="en-US"/>
              </w:rPr>
            </w:pPr>
          </w:p>
        </w:tc>
      </w:tr>
      <w:tr w:rsidR="001D41E2" w:rsidRPr="00F761CE" w:rsidTr="009D5214">
        <w:tc>
          <w:tcPr>
            <w:tcW w:w="3475" w:type="dxa"/>
          </w:tcPr>
          <w:p w:rsidR="001D41E2" w:rsidRPr="004B7EF4" w:rsidRDefault="001D41E2" w:rsidP="009D5214">
            <w:pPr>
              <w:pStyle w:val="ListBullet"/>
              <w:numPr>
                <w:ilvl w:val="0"/>
                <w:numId w:val="35"/>
              </w:numPr>
              <w:spacing w:after="180"/>
              <w:jc w:val="left"/>
            </w:pPr>
            <w:r w:rsidRPr="004B7EF4">
              <w:t>Name of industry sponsor /consortium</w:t>
            </w:r>
          </w:p>
        </w:tc>
        <w:tc>
          <w:tcPr>
            <w:tcW w:w="6507" w:type="dxa"/>
          </w:tcPr>
          <w:p w:rsidR="001D41E2" w:rsidRPr="004639D2" w:rsidRDefault="001D41E2" w:rsidP="009D5214">
            <w:pPr>
              <w:pStyle w:val="BodyText2"/>
              <w:rPr>
                <w:szCs w:val="24"/>
                <w:lang w:val="en-US"/>
              </w:rPr>
            </w:pPr>
            <w:r w:rsidRPr="004639D2">
              <w:rPr>
                <w:szCs w:val="24"/>
                <w:lang w:val="en-US"/>
              </w:rPr>
              <w:t>CFACC Panel:</w:t>
            </w:r>
          </w:p>
          <w:p w:rsidR="001D41E2" w:rsidRPr="004639D2" w:rsidRDefault="001D41E2" w:rsidP="009D5214">
            <w:pPr>
              <w:pStyle w:val="BodyText2"/>
              <w:rPr>
                <w:szCs w:val="24"/>
                <w:lang w:val="en-US"/>
              </w:rPr>
            </w:pPr>
          </w:p>
          <w:p w:rsidR="001D41E2" w:rsidRPr="004639D2" w:rsidRDefault="001D41E2" w:rsidP="009D5214">
            <w:pPr>
              <w:pStyle w:val="BodyText2"/>
              <w:rPr>
                <w:szCs w:val="24"/>
                <w:lang w:val="fr-FR"/>
              </w:rPr>
            </w:pPr>
            <w:r w:rsidRPr="004639D2">
              <w:rPr>
                <w:szCs w:val="24"/>
                <w:lang w:val="fr-FR"/>
              </w:rPr>
              <w:t>BASF SE</w:t>
            </w:r>
          </w:p>
          <w:p w:rsidR="001D41E2" w:rsidRPr="004639D2" w:rsidRDefault="001D41E2" w:rsidP="009D5214">
            <w:pPr>
              <w:pStyle w:val="BodyText2"/>
              <w:rPr>
                <w:szCs w:val="24"/>
                <w:lang w:val="fr-FR"/>
              </w:rPr>
            </w:pPr>
            <w:r w:rsidRPr="004639D2">
              <w:rPr>
                <w:szCs w:val="24"/>
                <w:lang w:val="fr-FR"/>
              </w:rPr>
              <w:t>PPG Industries, Inc</w:t>
            </w:r>
          </w:p>
          <w:p w:rsidR="001D41E2" w:rsidRPr="004639D2" w:rsidRDefault="001D41E2" w:rsidP="009D5214">
            <w:pPr>
              <w:pStyle w:val="BodyText2"/>
              <w:rPr>
                <w:szCs w:val="24"/>
                <w:lang w:val="fr-FR"/>
              </w:rPr>
            </w:pPr>
          </w:p>
        </w:tc>
      </w:tr>
      <w:tr w:rsidR="001D41E2" w:rsidRPr="004B7EF4" w:rsidTr="009D5214">
        <w:tc>
          <w:tcPr>
            <w:tcW w:w="3475" w:type="dxa"/>
          </w:tcPr>
          <w:p w:rsidR="001D41E2" w:rsidRPr="004B7EF4" w:rsidRDefault="001D41E2" w:rsidP="009D5214">
            <w:pPr>
              <w:pStyle w:val="ListBullet"/>
              <w:numPr>
                <w:ilvl w:val="0"/>
                <w:numId w:val="35"/>
              </w:numPr>
              <w:spacing w:after="180"/>
              <w:jc w:val="left"/>
            </w:pPr>
            <w:r w:rsidRPr="004B7EF4">
              <w:t>Process used</w:t>
            </w:r>
          </w:p>
        </w:tc>
        <w:tc>
          <w:tcPr>
            <w:tcW w:w="6507" w:type="dxa"/>
          </w:tcPr>
          <w:p w:rsidR="001D41E2" w:rsidRPr="004639D2" w:rsidRDefault="001D41E2" w:rsidP="009D5214">
            <w:pPr>
              <w:pStyle w:val="BodyText2"/>
              <w:rPr>
                <w:szCs w:val="24"/>
                <w:lang w:val="en-US"/>
              </w:rPr>
            </w:pPr>
            <w:r w:rsidRPr="004639D2">
              <w:rPr>
                <w:szCs w:val="24"/>
                <w:lang w:val="en-US"/>
              </w:rPr>
              <w:t>The CFACC Panel conducted a comprehensive literature search, including all generally accepted databases, reference books, unpublished studies, and data in company files. This information formed the basis for compilation of the IUCLID dossiers. EPA reviewed the documents and provided additional information where there were data gaps.</w:t>
            </w:r>
          </w:p>
        </w:tc>
      </w:tr>
      <w:tr w:rsidR="001D41E2" w:rsidRPr="004B7EF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6.</w:t>
            </w:r>
            <w:r w:rsidRPr="004639D2">
              <w:rPr>
                <w:b/>
                <w:bCs/>
                <w:szCs w:val="24"/>
                <w:lang w:val="en-US"/>
              </w:rPr>
              <w:tab/>
              <w:t>Sponsorship History</w:t>
            </w:r>
          </w:p>
        </w:tc>
        <w:tc>
          <w:tcPr>
            <w:tcW w:w="6507" w:type="dxa"/>
          </w:tcPr>
          <w:p w:rsidR="001D41E2" w:rsidRPr="004639D2" w:rsidRDefault="001D41E2" w:rsidP="009D5214">
            <w:pPr>
              <w:pStyle w:val="BodyText2"/>
              <w:rPr>
                <w:szCs w:val="24"/>
                <w:lang w:val="en-US"/>
              </w:rPr>
            </w:pPr>
          </w:p>
        </w:tc>
      </w:tr>
      <w:tr w:rsidR="001D41E2" w:rsidRPr="004B7EF4" w:rsidTr="009D5214">
        <w:trPr>
          <w:trHeight w:val="1671"/>
        </w:trPr>
        <w:tc>
          <w:tcPr>
            <w:tcW w:w="3475" w:type="dxa"/>
          </w:tcPr>
          <w:p w:rsidR="001D41E2" w:rsidRPr="004B7EF4" w:rsidRDefault="001D41E2" w:rsidP="009D5214">
            <w:pPr>
              <w:pStyle w:val="ListBullet"/>
              <w:numPr>
                <w:ilvl w:val="0"/>
                <w:numId w:val="35"/>
              </w:numPr>
              <w:spacing w:after="180"/>
              <w:jc w:val="left"/>
            </w:pPr>
            <w:r w:rsidRPr="004B7EF4">
              <w:t>How was the chemical or category brought into the OECD HPV Chemicals Program</w:t>
            </w:r>
            <w:r w:rsidR="009D5214">
              <w:t>me</w:t>
            </w:r>
            <w:r w:rsidRPr="004B7EF4">
              <w:t>?</w:t>
            </w:r>
          </w:p>
        </w:tc>
        <w:tc>
          <w:tcPr>
            <w:tcW w:w="6507" w:type="dxa"/>
          </w:tcPr>
          <w:p w:rsidR="001D41E2" w:rsidRPr="004B7EF4" w:rsidRDefault="001D41E2" w:rsidP="009D5214">
            <w:pPr>
              <w:jc w:val="both"/>
            </w:pPr>
            <w:r w:rsidRPr="004B7EF4">
              <w:t xml:space="preserve">Documents were prepared and reviewed by industry prior to submission to sponsor country.  Sponsor country conducted reviews of submitted data and offered comments to industry.  Industry prepared and resubmitted documents for consideration at </w:t>
            </w:r>
            <w:smartTag w:uri="urn:schemas-microsoft-com:office:smarttags" w:element="country-region">
              <w:smartTag w:uri="urn:schemas-microsoft-com:office:smarttags" w:element="place">
                <w:r w:rsidRPr="004B7EF4">
                  <w:t>SIAM</w:t>
                </w:r>
              </w:smartTag>
            </w:smartTag>
            <w:r w:rsidRPr="004B7EF4">
              <w:t xml:space="preserve"> </w:t>
            </w:r>
            <w:r>
              <w:t>31</w:t>
            </w:r>
            <w:r w:rsidRPr="004B7EF4">
              <w:t xml:space="preserve">.  </w:t>
            </w:r>
          </w:p>
          <w:p w:rsidR="001D41E2" w:rsidRPr="004B7EF4" w:rsidRDefault="001D41E2" w:rsidP="009D5214">
            <w:pPr>
              <w:jc w:val="both"/>
            </w:pPr>
            <w:r>
              <w:t xml:space="preserve">                 </w:t>
            </w:r>
            <w:r w:rsidRPr="004B7EF4">
              <w:t>no testing</w:t>
            </w:r>
            <w:r w:rsidRPr="004B7EF4">
              <w:tab/>
            </w:r>
            <w:r>
              <w:t xml:space="preserve">          </w:t>
            </w:r>
            <w:r w:rsidRPr="004B7EF4">
              <w:t>( X )</w:t>
            </w:r>
          </w:p>
          <w:p w:rsidR="001D41E2" w:rsidRPr="004639D2" w:rsidRDefault="001D41E2" w:rsidP="009D5214">
            <w:pPr>
              <w:pStyle w:val="BodyText2"/>
              <w:rPr>
                <w:szCs w:val="24"/>
                <w:lang w:val="en-US"/>
              </w:rPr>
            </w:pPr>
            <w:r w:rsidRPr="004639D2">
              <w:rPr>
                <w:szCs w:val="24"/>
                <w:lang w:val="en-US"/>
              </w:rPr>
              <w:t xml:space="preserve">                      testing</w:t>
            </w:r>
            <w:r w:rsidRPr="004639D2">
              <w:rPr>
                <w:szCs w:val="24"/>
                <w:lang w:val="en-US"/>
              </w:rPr>
              <w:tab/>
            </w:r>
            <w:r w:rsidRPr="004639D2">
              <w:rPr>
                <w:szCs w:val="24"/>
                <w:lang w:val="en-US"/>
              </w:rPr>
              <w:tab/>
              <w:t>(   )</w:t>
            </w:r>
          </w:p>
          <w:p w:rsidR="001D41E2" w:rsidRPr="004639D2" w:rsidRDefault="001D41E2" w:rsidP="009D5214">
            <w:pPr>
              <w:pStyle w:val="BodyText2"/>
              <w:rPr>
                <w:szCs w:val="24"/>
                <w:lang w:val="en-US"/>
              </w:rPr>
            </w:pPr>
          </w:p>
        </w:tc>
      </w:tr>
      <w:tr w:rsidR="001D41E2" w:rsidRPr="004B7EF4" w:rsidTr="009D5214">
        <w:tc>
          <w:tcPr>
            <w:tcW w:w="3475" w:type="dxa"/>
          </w:tcPr>
          <w:p w:rsidR="001D41E2" w:rsidRPr="004639D2" w:rsidRDefault="001D41E2" w:rsidP="009D5214">
            <w:pPr>
              <w:pStyle w:val="BodyText"/>
              <w:tabs>
                <w:tab w:val="left" w:pos="360"/>
              </w:tabs>
              <w:ind w:left="360" w:hanging="360"/>
              <w:jc w:val="left"/>
              <w:rPr>
                <w:b/>
                <w:bCs/>
                <w:szCs w:val="24"/>
                <w:lang w:val="en-US"/>
              </w:rPr>
            </w:pPr>
            <w:r w:rsidRPr="004639D2">
              <w:rPr>
                <w:b/>
                <w:bCs/>
                <w:szCs w:val="24"/>
                <w:lang w:val="en-US"/>
              </w:rPr>
              <w:t>7.</w:t>
            </w:r>
            <w:r w:rsidRPr="004639D2">
              <w:rPr>
                <w:b/>
                <w:bCs/>
                <w:szCs w:val="24"/>
                <w:lang w:val="en-US"/>
              </w:rPr>
              <w:tab/>
              <w:t xml:space="preserve">Review Process Prior to the </w:t>
            </w:r>
            <w:smartTag w:uri="urn:schemas-microsoft-com:office:smarttags" w:element="country-region">
              <w:smartTag w:uri="urn:schemas-microsoft-com:office:smarttags" w:element="place">
                <w:r w:rsidRPr="004639D2">
                  <w:rPr>
                    <w:b/>
                    <w:bCs/>
                    <w:szCs w:val="24"/>
                    <w:lang w:val="en-US"/>
                  </w:rPr>
                  <w:t>SIAM</w:t>
                </w:r>
              </w:smartTag>
            </w:smartTag>
            <w:r w:rsidRPr="004639D2">
              <w:rPr>
                <w:b/>
                <w:bCs/>
                <w:szCs w:val="24"/>
                <w:lang w:val="en-US"/>
              </w:rPr>
              <w:t>:</w:t>
            </w:r>
          </w:p>
        </w:tc>
        <w:tc>
          <w:tcPr>
            <w:tcW w:w="6507" w:type="dxa"/>
          </w:tcPr>
          <w:p w:rsidR="001D41E2" w:rsidRPr="004639D2" w:rsidRDefault="001D41E2" w:rsidP="009D5214">
            <w:pPr>
              <w:pStyle w:val="BodyText2"/>
              <w:rPr>
                <w:szCs w:val="24"/>
                <w:lang w:val="en-US"/>
              </w:rPr>
            </w:pPr>
            <w:r w:rsidRPr="004639D2">
              <w:rPr>
                <w:szCs w:val="24"/>
                <w:lang w:val="en-US"/>
              </w:rPr>
              <w:br/>
              <w:t xml:space="preserve">The U.S. EPA reviewed, commented and edited this case.  </w:t>
            </w:r>
          </w:p>
        </w:tc>
      </w:tr>
      <w:tr w:rsidR="001D41E2" w:rsidRPr="004B7EF4" w:rsidTr="009D5214">
        <w:tc>
          <w:tcPr>
            <w:tcW w:w="3475" w:type="dxa"/>
          </w:tcPr>
          <w:p w:rsidR="001D41E2" w:rsidRPr="004639D2" w:rsidRDefault="001D41E2" w:rsidP="009D5214">
            <w:pPr>
              <w:pStyle w:val="BodyText"/>
              <w:tabs>
                <w:tab w:val="left" w:pos="360"/>
              </w:tabs>
              <w:ind w:left="360" w:hanging="360"/>
              <w:jc w:val="left"/>
              <w:rPr>
                <w:b/>
                <w:bCs/>
                <w:szCs w:val="24"/>
                <w:lang w:val="en-US"/>
              </w:rPr>
            </w:pPr>
            <w:r w:rsidRPr="004639D2">
              <w:rPr>
                <w:b/>
                <w:bCs/>
                <w:szCs w:val="24"/>
                <w:lang w:val="en-US"/>
              </w:rPr>
              <w:t>8.</w:t>
            </w:r>
            <w:r w:rsidRPr="004639D2">
              <w:rPr>
                <w:b/>
                <w:bCs/>
                <w:szCs w:val="24"/>
                <w:lang w:val="en-US"/>
              </w:rPr>
              <w:tab/>
              <w:t>Quality check process:</w:t>
            </w:r>
          </w:p>
        </w:tc>
        <w:tc>
          <w:tcPr>
            <w:tcW w:w="6507" w:type="dxa"/>
          </w:tcPr>
          <w:p w:rsidR="001D41E2" w:rsidRPr="004639D2" w:rsidRDefault="001D41E2" w:rsidP="009D5214">
            <w:pPr>
              <w:pStyle w:val="BodyText2"/>
              <w:rPr>
                <w:szCs w:val="24"/>
                <w:lang w:val="en-US"/>
              </w:rPr>
            </w:pPr>
            <w:r w:rsidRPr="004639D2">
              <w:rPr>
                <w:szCs w:val="24"/>
                <w:lang w:val="en-US"/>
              </w:rPr>
              <w:t>On completing the literature search and data collection, important and significant studies were identified for all endpoints.  These studies were reviewed and summarized following current guidelines for robust summaries.  Reliability ratings were assigned following the Klimisch rating system.  Studies assigned reliability ratings of 1 or 2 were considered to be acceptable.</w:t>
            </w:r>
            <w:r w:rsidRPr="004639D2">
              <w:rPr>
                <w:color w:val="000080"/>
                <w:szCs w:val="24"/>
                <w:lang w:val="en-US"/>
              </w:rPr>
              <w:t xml:space="preserve"> </w:t>
            </w:r>
            <w:r w:rsidRPr="004639D2">
              <w:rPr>
                <w:szCs w:val="24"/>
                <w:lang w:val="en-US"/>
              </w:rPr>
              <w:t>The key studies were identified based on completeness, protocol and GLP use and other quality factors.  These were flagged as critical studies. The summaries were compiled using the IUCLID 5 software.</w:t>
            </w:r>
          </w:p>
          <w:p w:rsidR="001D41E2" w:rsidRPr="004639D2" w:rsidRDefault="001D41E2" w:rsidP="009D5214">
            <w:pPr>
              <w:pStyle w:val="BodyText2"/>
              <w:rPr>
                <w:szCs w:val="24"/>
                <w:lang w:val="en-US"/>
              </w:rPr>
            </w:pPr>
          </w:p>
        </w:tc>
      </w:tr>
      <w:tr w:rsidR="001D41E2" w:rsidRPr="004B7EF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9.</w:t>
            </w:r>
            <w:r w:rsidRPr="004639D2">
              <w:rPr>
                <w:b/>
                <w:bCs/>
                <w:szCs w:val="24"/>
                <w:lang w:val="en-US"/>
              </w:rPr>
              <w:tab/>
              <w:t>Date of Submission:</w:t>
            </w:r>
          </w:p>
        </w:tc>
        <w:tc>
          <w:tcPr>
            <w:tcW w:w="6507" w:type="dxa"/>
          </w:tcPr>
          <w:p w:rsidR="001D41E2" w:rsidRPr="004639D2" w:rsidRDefault="001D41E2" w:rsidP="009D5214">
            <w:pPr>
              <w:pStyle w:val="BodyText2"/>
              <w:rPr>
                <w:szCs w:val="24"/>
                <w:lang w:val="en-US"/>
              </w:rPr>
            </w:pPr>
            <w:r w:rsidRPr="004639D2">
              <w:rPr>
                <w:szCs w:val="24"/>
                <w:lang w:val="en-US"/>
              </w:rPr>
              <w:t>November 20, 2009.</w:t>
            </w:r>
          </w:p>
        </w:tc>
      </w:tr>
      <w:tr w:rsidR="001D41E2" w:rsidRPr="004B7EF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10.</w:t>
            </w:r>
            <w:r w:rsidRPr="004639D2">
              <w:rPr>
                <w:b/>
                <w:bCs/>
                <w:szCs w:val="24"/>
                <w:lang w:val="en-US"/>
              </w:rPr>
              <w:tab/>
              <w:t>Date of last Update:</w:t>
            </w:r>
          </w:p>
        </w:tc>
        <w:tc>
          <w:tcPr>
            <w:tcW w:w="6507" w:type="dxa"/>
          </w:tcPr>
          <w:p w:rsidR="001D41E2" w:rsidRPr="004639D2" w:rsidRDefault="001D41E2" w:rsidP="009D5214">
            <w:pPr>
              <w:pStyle w:val="BodyText2"/>
              <w:rPr>
                <w:szCs w:val="24"/>
                <w:lang w:val="en-US"/>
              </w:rPr>
            </w:pPr>
            <w:r w:rsidRPr="004639D2">
              <w:rPr>
                <w:szCs w:val="24"/>
                <w:lang w:val="en-US"/>
              </w:rPr>
              <w:t>June, 2010</w:t>
            </w:r>
          </w:p>
        </w:tc>
      </w:tr>
      <w:tr w:rsidR="001D41E2" w:rsidRPr="004B7EF4" w:rsidTr="009D5214">
        <w:tc>
          <w:tcPr>
            <w:tcW w:w="3475" w:type="dxa"/>
          </w:tcPr>
          <w:p w:rsidR="001D41E2" w:rsidRPr="004639D2" w:rsidRDefault="001D41E2" w:rsidP="009D5214">
            <w:pPr>
              <w:pStyle w:val="BodyText"/>
              <w:tabs>
                <w:tab w:val="left" w:pos="360"/>
              </w:tabs>
              <w:jc w:val="left"/>
              <w:rPr>
                <w:b/>
                <w:bCs/>
                <w:szCs w:val="24"/>
                <w:lang w:val="en-US"/>
              </w:rPr>
            </w:pPr>
            <w:r w:rsidRPr="004639D2">
              <w:rPr>
                <w:b/>
                <w:bCs/>
                <w:szCs w:val="24"/>
                <w:lang w:val="en-US"/>
              </w:rPr>
              <w:t>11.</w:t>
            </w:r>
            <w:r w:rsidRPr="004639D2">
              <w:rPr>
                <w:b/>
                <w:bCs/>
                <w:szCs w:val="24"/>
                <w:lang w:val="en-US"/>
              </w:rPr>
              <w:tab/>
              <w:t>Comments:</w:t>
            </w:r>
          </w:p>
        </w:tc>
        <w:tc>
          <w:tcPr>
            <w:tcW w:w="6507" w:type="dxa"/>
          </w:tcPr>
          <w:p w:rsidR="001D41E2" w:rsidRDefault="001D41E2" w:rsidP="009D5214">
            <w:pPr>
              <w:pStyle w:val="BodyText2"/>
              <w:rPr>
                <w:szCs w:val="24"/>
                <w:lang w:val="en-US"/>
              </w:rPr>
            </w:pPr>
            <w:r w:rsidRPr="004639D2">
              <w:rPr>
                <w:szCs w:val="24"/>
                <w:lang w:val="en-US"/>
              </w:rPr>
              <w:t xml:space="preserve">The Chloroformates Category uses data from the hydrolysis product hydrogen chloride (HCl; CAS No. 7647-01-0) as well as from several other hydrolysis products including methanol (CAS No. 67-56-1), ethanol (CAS No. 64-17-5), 1-propanol (CAS No. 71-23-8), isopropanol (CAS No. 67-63-0), sec-butanol (CAS No. 78-92-2), diethylene glycol (CAS No. 111-46-6) and 2-ethyl hexanol (CAS No. 104-76-7).  The hydrolysis products have been assessed in the OECD HPV Programme. Diethylene glycol is a member of the Ethylene Glycols category. These documents are available for review at </w:t>
            </w:r>
            <w:hyperlink r:id="rId9" w:history="1">
              <w:r w:rsidRPr="00E148D4">
                <w:rPr>
                  <w:rStyle w:val="Hyperlink"/>
                  <w:sz w:val="24"/>
                  <w:szCs w:val="24"/>
                </w:rPr>
                <w:t>http://webnet.oecd.org/hpv/ui/Search.aspx</w:t>
              </w:r>
            </w:hyperlink>
            <w:r w:rsidR="00BB0749" w:rsidRPr="004639D2">
              <w:rPr>
                <w:szCs w:val="24"/>
                <w:lang w:val="en-US"/>
              </w:rPr>
              <w:fldChar w:fldCharType="begin"/>
            </w:r>
            <w:r w:rsidRPr="004639D2">
              <w:rPr>
                <w:szCs w:val="24"/>
                <w:lang w:val="en-US"/>
              </w:rPr>
              <w:instrText xml:space="preserve"> http://www.chem.unep.ch/irptc/sids/OECDSIDS/7647010.pdf </w:instrText>
            </w:r>
            <w:r w:rsidR="00BB0749" w:rsidRPr="004639D2">
              <w:rPr>
                <w:szCs w:val="24"/>
                <w:lang w:val="en-US"/>
              </w:rPr>
              <w:fldChar w:fldCharType="separate"/>
            </w:r>
            <w:r w:rsidRPr="004B7EF4">
              <w:rPr>
                <w:rStyle w:val="Hyperlink"/>
                <w:sz w:val="24"/>
                <w:szCs w:val="24"/>
                <w:lang w:val="en-US"/>
              </w:rPr>
              <w:t>http://www.chem.unep.ch/irptc/sids/OECDSIDS/64175.pdf</w:t>
            </w:r>
            <w:r w:rsidR="00BB0749" w:rsidRPr="004639D2">
              <w:rPr>
                <w:szCs w:val="24"/>
                <w:lang w:val="en-US"/>
              </w:rPr>
              <w:fldChar w:fldCharType="end"/>
            </w:r>
            <w:r w:rsidRPr="004639D2">
              <w:rPr>
                <w:szCs w:val="24"/>
                <w:lang w:val="en-US"/>
              </w:rPr>
              <w:t>.  1-Propanol was extensively evaluated under the EU 2</w:t>
            </w:r>
            <w:r w:rsidRPr="004639D2">
              <w:rPr>
                <w:szCs w:val="24"/>
                <w:vertAlign w:val="superscript"/>
                <w:lang w:val="en-US"/>
              </w:rPr>
              <w:t>nd</w:t>
            </w:r>
            <w:r w:rsidRPr="004639D2">
              <w:rPr>
                <w:szCs w:val="24"/>
                <w:lang w:val="en-US"/>
              </w:rPr>
              <w:t xml:space="preserve"> priority list of existing substances (</w:t>
            </w:r>
            <w:hyperlink r:id="rId10" w:history="1">
              <w:r w:rsidRPr="00E148D4">
                <w:rPr>
                  <w:rStyle w:val="Hyperlink"/>
                  <w:sz w:val="24"/>
                  <w:szCs w:val="24"/>
                </w:rPr>
                <w:t>http://ecb.jrc.ec.europa.eu/esis/</w:t>
              </w:r>
            </w:hyperlink>
            <w:r w:rsidRPr="004639D2">
              <w:rPr>
                <w:szCs w:val="24"/>
                <w:lang w:val="en-US"/>
              </w:rPr>
              <w:t>).</w:t>
            </w:r>
          </w:p>
          <w:p w:rsidR="009D5214" w:rsidRPr="00C72E83" w:rsidRDefault="009D5214" w:rsidP="009D5214">
            <w:pPr>
              <w:spacing w:before="240"/>
              <w:jc w:val="both"/>
            </w:pPr>
            <w:bookmarkStart w:id="0" w:name="OLE_LINK1"/>
            <w:bookmarkStart w:id="1" w:name="OLE_LINK2"/>
            <w:r w:rsidRPr="00C72E83">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9D5214" w:rsidRPr="00A744FE" w:rsidRDefault="009D5214" w:rsidP="009D5214">
            <w:pPr>
              <w:pStyle w:val="ListParagraph"/>
              <w:numPr>
                <w:ilvl w:val="0"/>
                <w:numId w:val="36"/>
              </w:numPr>
              <w:jc w:val="both"/>
              <w:rPr>
                <w:rFonts w:ascii="Times New Roman" w:hAnsi="Times New Roman"/>
                <w:sz w:val="24"/>
                <w:szCs w:val="24"/>
              </w:rPr>
            </w:pPr>
            <w:r w:rsidRPr="00A744FE">
              <w:rPr>
                <w:rFonts w:ascii="Times New Roman" w:hAnsi="Times New Roman"/>
                <w:sz w:val="24"/>
                <w:szCs w:val="24"/>
              </w:rPr>
              <w:t>the owner of the data; or</w:t>
            </w:r>
          </w:p>
          <w:p w:rsidR="009D5214" w:rsidRPr="00A744FE" w:rsidRDefault="009D5214" w:rsidP="009D5214">
            <w:pPr>
              <w:pStyle w:val="ListParagraph"/>
              <w:numPr>
                <w:ilvl w:val="0"/>
                <w:numId w:val="36"/>
              </w:numPr>
              <w:jc w:val="both"/>
              <w:rPr>
                <w:rFonts w:ascii="Times New Roman" w:hAnsi="Times New Roman"/>
                <w:sz w:val="24"/>
                <w:szCs w:val="24"/>
              </w:rPr>
            </w:pPr>
            <w:r w:rsidRPr="00A744FE">
              <w:rPr>
                <w:rFonts w:ascii="Times New Roman" w:hAnsi="Times New Roman"/>
                <w:sz w:val="24"/>
                <w:szCs w:val="24"/>
              </w:rPr>
              <w:t>a second party that has obtained permission from the owner of the data for this purpose; or alternatively</w:t>
            </w:r>
          </w:p>
          <w:p w:rsidR="009D5214" w:rsidRPr="00A744FE" w:rsidRDefault="009D5214" w:rsidP="009D5214">
            <w:pPr>
              <w:pStyle w:val="ListParagraph"/>
              <w:numPr>
                <w:ilvl w:val="0"/>
                <w:numId w:val="36"/>
              </w:numPr>
              <w:jc w:val="both"/>
              <w:rPr>
                <w:rFonts w:ascii="Times New Roman" w:hAnsi="Times New Roman"/>
                <w:sz w:val="24"/>
                <w:szCs w:val="24"/>
              </w:rPr>
            </w:pPr>
            <w:r w:rsidRPr="00A744FE">
              <w:rPr>
                <w:rFonts w:ascii="Times New Roman" w:hAnsi="Times New Roman"/>
                <w:sz w:val="24"/>
                <w:szCs w:val="24"/>
              </w:rPr>
              <w:t>the applicant has received permission from the data owner that the summary and evaluation contained in this [these] assessment report[s] may be used in lieu of the data; or</w:t>
            </w:r>
          </w:p>
          <w:p w:rsidR="009D5214" w:rsidRPr="00A744FE" w:rsidRDefault="009D5214" w:rsidP="009D5214">
            <w:pPr>
              <w:pStyle w:val="ListParagraph"/>
              <w:numPr>
                <w:ilvl w:val="0"/>
                <w:numId w:val="36"/>
              </w:numPr>
              <w:jc w:val="both"/>
              <w:rPr>
                <w:rFonts w:ascii="Times New Roman" w:hAnsi="Times New Roman"/>
                <w:sz w:val="24"/>
                <w:szCs w:val="24"/>
              </w:rPr>
            </w:pPr>
            <w:proofErr w:type="gramStart"/>
            <w:r w:rsidRPr="00A744FE">
              <w:rPr>
                <w:rFonts w:ascii="Times New Roman" w:hAnsi="Times New Roman"/>
                <w:sz w:val="24"/>
                <w:szCs w:val="24"/>
              </w:rPr>
              <w:t>following</w:t>
            </w:r>
            <w:proofErr w:type="gramEnd"/>
            <w:r w:rsidRPr="00A744FE">
              <w:rPr>
                <w:rFonts w:ascii="Times New Roman" w:hAnsi="Times New Roman"/>
                <w:sz w:val="24"/>
                <w:szCs w:val="24"/>
              </w:rPr>
              <w:t xml:space="preserve"> expiry of any period of exclusive use, mandatory compensation, where required, has been offered unless the period of protection for the proprietary data concerned has expired.</w:t>
            </w:r>
          </w:p>
          <w:p w:rsidR="009D5214" w:rsidRPr="009D5214" w:rsidRDefault="009D5214" w:rsidP="00020DAA">
            <w:pPr>
              <w:jc w:val="both"/>
              <w:rPr>
                <w:lang w:val="en-AU"/>
              </w:rPr>
            </w:pPr>
            <w:r w:rsidRPr="00C72E83">
              <w:rPr>
                <w:lang w:val="en-AU"/>
              </w:rPr>
              <w:t>Applicants who wish to use data in this assessment report should ensure that the use is consistent with the legal requirements in the country/region in which it is proposed to use the data.</w:t>
            </w:r>
            <w:bookmarkEnd w:id="0"/>
            <w:bookmarkEnd w:id="1"/>
          </w:p>
        </w:tc>
      </w:tr>
    </w:tbl>
    <w:p w:rsidR="009D5214" w:rsidRPr="009D5214" w:rsidRDefault="009D5214" w:rsidP="00020DAA">
      <w:pPr>
        <w:pageBreakBefore/>
        <w:jc w:val="center"/>
        <w:rPr>
          <w:rFonts w:ascii="Times" w:hAnsi="Times"/>
          <w:b/>
          <w:sz w:val="22"/>
          <w:u w:val="single"/>
        </w:rPr>
      </w:pPr>
      <w:r w:rsidRPr="009D5214">
        <w:rPr>
          <w:rFonts w:ascii="Times" w:hAnsi="Times"/>
          <w:b/>
          <w:sz w:val="22"/>
          <w:u w:val="single"/>
        </w:rPr>
        <w:t>SIDS INITIAL ASSESSMENT PROFILE</w:t>
      </w:r>
    </w:p>
    <w:p w:rsidR="009D5214" w:rsidRPr="004D5F2B" w:rsidRDefault="009D5214" w:rsidP="009D5214">
      <w:pPr>
        <w:jc w:val="center"/>
      </w:pPr>
    </w:p>
    <w:tbl>
      <w:tblPr>
        <w:tblW w:w="9640" w:type="dxa"/>
        <w:tblInd w:w="70" w:type="dxa"/>
        <w:tblLayout w:type="fixed"/>
        <w:tblCellMar>
          <w:left w:w="70" w:type="dxa"/>
          <w:right w:w="70" w:type="dxa"/>
        </w:tblCellMar>
        <w:tblLook w:val="0000"/>
      </w:tblPr>
      <w:tblGrid>
        <w:gridCol w:w="3261"/>
        <w:gridCol w:w="3189"/>
        <w:gridCol w:w="3190"/>
      </w:tblGrid>
      <w:tr w:rsidR="009D5214" w:rsidRPr="004D5F2B" w:rsidTr="00E8253A">
        <w:trPr>
          <w:trHeight w:hRule="exact" w:val="720"/>
        </w:trPr>
        <w:tc>
          <w:tcPr>
            <w:tcW w:w="3261" w:type="dxa"/>
            <w:tcBorders>
              <w:top w:val="double" w:sz="6" w:space="0" w:color="auto"/>
              <w:left w:val="double" w:sz="6" w:space="0" w:color="auto"/>
              <w:bottom w:val="single" w:sz="12" w:space="0" w:color="auto"/>
              <w:right w:val="double" w:sz="6" w:space="0" w:color="auto"/>
            </w:tcBorders>
            <w:shd w:val="pct10" w:color="auto" w:fill="auto"/>
          </w:tcPr>
          <w:p w:rsidR="009D5214" w:rsidRPr="009D5214" w:rsidRDefault="009D5214" w:rsidP="00E8253A">
            <w:pPr>
              <w:spacing w:before="240"/>
              <w:ind w:left="284"/>
              <w:jc w:val="both"/>
              <w:rPr>
                <w:b/>
                <w:sz w:val="22"/>
                <w:szCs w:val="22"/>
              </w:rPr>
            </w:pPr>
            <w:r>
              <w:rPr>
                <w:b/>
                <w:sz w:val="22"/>
                <w:szCs w:val="22"/>
              </w:rPr>
              <w:t>Category Name</w:t>
            </w:r>
          </w:p>
        </w:tc>
        <w:tc>
          <w:tcPr>
            <w:tcW w:w="6379" w:type="dxa"/>
            <w:gridSpan w:val="2"/>
            <w:tcBorders>
              <w:top w:val="double" w:sz="6" w:space="0" w:color="auto"/>
              <w:left w:val="double" w:sz="6" w:space="0" w:color="auto"/>
              <w:bottom w:val="single" w:sz="12" w:space="0" w:color="auto"/>
              <w:right w:val="double" w:sz="6" w:space="0" w:color="auto"/>
            </w:tcBorders>
          </w:tcPr>
          <w:p w:rsidR="009D5214" w:rsidRPr="009D5214" w:rsidRDefault="00E8253A" w:rsidP="009D5214">
            <w:pPr>
              <w:spacing w:before="240"/>
              <w:ind w:left="1135" w:hanging="851"/>
              <w:jc w:val="both"/>
              <w:rPr>
                <w:sz w:val="22"/>
                <w:szCs w:val="22"/>
              </w:rPr>
            </w:pPr>
            <w:r w:rsidRPr="009D5214">
              <w:rPr>
                <w:sz w:val="22"/>
                <w:szCs w:val="22"/>
              </w:rPr>
              <w:t>Chloroformates</w:t>
            </w:r>
          </w:p>
        </w:tc>
      </w:tr>
      <w:tr w:rsidR="009D5214" w:rsidRPr="004D5F2B" w:rsidTr="00E8253A">
        <w:trPr>
          <w:trHeight w:hRule="exact" w:val="6718"/>
        </w:trPr>
        <w:tc>
          <w:tcPr>
            <w:tcW w:w="3261" w:type="dxa"/>
            <w:tcBorders>
              <w:top w:val="single" w:sz="12" w:space="0" w:color="auto"/>
              <w:left w:val="double" w:sz="6" w:space="0" w:color="auto"/>
              <w:bottom w:val="single" w:sz="12" w:space="0" w:color="auto"/>
              <w:right w:val="double" w:sz="6" w:space="0" w:color="auto"/>
            </w:tcBorders>
            <w:shd w:val="pct10" w:color="auto" w:fill="auto"/>
            <w:vAlign w:val="center"/>
          </w:tcPr>
          <w:p w:rsidR="009D5214" w:rsidRPr="009D5214" w:rsidRDefault="009D5214" w:rsidP="00E8253A">
            <w:pPr>
              <w:spacing w:before="240"/>
              <w:ind w:left="284"/>
              <w:jc w:val="center"/>
              <w:rPr>
                <w:b/>
                <w:sz w:val="22"/>
                <w:szCs w:val="22"/>
              </w:rPr>
            </w:pPr>
            <w:r w:rsidRPr="009D5214">
              <w:rPr>
                <w:b/>
                <w:sz w:val="22"/>
                <w:szCs w:val="22"/>
              </w:rPr>
              <w:t xml:space="preserve">CAS Registry Numbers,  </w:t>
            </w:r>
            <w:r w:rsidRPr="009D5214">
              <w:rPr>
                <w:b/>
                <w:sz w:val="22"/>
                <w:szCs w:val="22"/>
              </w:rPr>
              <w:br/>
              <w:t>Chemical Names and their Abbreviations</w:t>
            </w:r>
          </w:p>
        </w:tc>
        <w:tc>
          <w:tcPr>
            <w:tcW w:w="6379" w:type="dxa"/>
            <w:gridSpan w:val="2"/>
            <w:tcBorders>
              <w:top w:val="single" w:sz="12" w:space="0" w:color="auto"/>
              <w:left w:val="double" w:sz="6" w:space="0" w:color="auto"/>
              <w:bottom w:val="single" w:sz="12" w:space="0" w:color="auto"/>
              <w:right w:val="double" w:sz="6" w:space="0" w:color="auto"/>
            </w:tcBorders>
          </w:tcPr>
          <w:p w:rsidR="009D5214" w:rsidRPr="009D5214" w:rsidRDefault="009D5214" w:rsidP="009D5214">
            <w:pPr>
              <w:pStyle w:val="BodyText2"/>
              <w:tabs>
                <w:tab w:val="left" w:pos="1332"/>
              </w:tabs>
              <w:spacing w:before="120"/>
              <w:ind w:left="1135" w:hanging="851"/>
              <w:rPr>
                <w:sz w:val="22"/>
                <w:szCs w:val="22"/>
              </w:rPr>
            </w:pPr>
            <w:r w:rsidRPr="009D5214">
              <w:rPr>
                <w:b/>
                <w:sz w:val="22"/>
                <w:szCs w:val="22"/>
              </w:rPr>
              <w:t>Sponsored substances</w:t>
            </w:r>
            <w:r w:rsidRPr="009D5214">
              <w:rPr>
                <w:sz w:val="22"/>
                <w:szCs w:val="22"/>
              </w:rPr>
              <w:t>:</w:t>
            </w:r>
          </w:p>
          <w:p w:rsidR="009D5214" w:rsidRPr="009D5214" w:rsidRDefault="009D5214" w:rsidP="00E8253A">
            <w:pPr>
              <w:pStyle w:val="BodyText2"/>
              <w:tabs>
                <w:tab w:val="left" w:pos="1332"/>
              </w:tabs>
              <w:spacing w:before="120"/>
              <w:ind w:left="1135" w:hanging="851"/>
              <w:jc w:val="center"/>
              <w:rPr>
                <w:sz w:val="22"/>
                <w:szCs w:val="22"/>
              </w:rPr>
            </w:pPr>
            <w:r w:rsidRPr="009D5214">
              <w:rPr>
                <w:sz w:val="22"/>
                <w:szCs w:val="22"/>
              </w:rPr>
              <w:t>79-22-1</w:t>
            </w:r>
            <w:r w:rsidRPr="009D5214">
              <w:rPr>
                <w:sz w:val="22"/>
                <w:szCs w:val="22"/>
              </w:rPr>
              <w:tab/>
            </w:r>
            <w:r w:rsidRPr="009D5214">
              <w:rPr>
                <w:sz w:val="22"/>
                <w:szCs w:val="22"/>
              </w:rPr>
              <w:tab/>
              <w:t>Methyl chloroformate (MeCF)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541-41-3</w:t>
            </w:r>
            <w:r w:rsidRPr="009D5214">
              <w:rPr>
                <w:sz w:val="22"/>
                <w:szCs w:val="22"/>
                <w:lang w:val="fr-FR"/>
              </w:rPr>
              <w:tab/>
            </w:r>
            <w:r w:rsidRPr="009D5214">
              <w:rPr>
                <w:sz w:val="22"/>
                <w:szCs w:val="22"/>
                <w:lang w:val="fr-FR"/>
              </w:rPr>
              <w:tab/>
              <w:t>Ethyl chloroformate (EtCF)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109-61-5</w:t>
            </w:r>
            <w:r w:rsidRPr="009D5214">
              <w:rPr>
                <w:sz w:val="22"/>
                <w:szCs w:val="22"/>
                <w:lang w:val="fr-FR"/>
              </w:rPr>
              <w:tab/>
            </w:r>
            <w:r w:rsidRPr="009D5214">
              <w:rPr>
                <w:sz w:val="22"/>
                <w:szCs w:val="22"/>
                <w:lang w:val="fr-FR"/>
              </w:rPr>
              <w:tab/>
              <w:t>Propyl chloroformate (PrCF)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108-23-6</w:t>
            </w:r>
            <w:r w:rsidRPr="009D5214">
              <w:rPr>
                <w:sz w:val="22"/>
                <w:szCs w:val="22"/>
                <w:lang w:val="fr-FR"/>
              </w:rPr>
              <w:tab/>
            </w:r>
            <w:r w:rsidRPr="009D5214">
              <w:rPr>
                <w:sz w:val="22"/>
                <w:szCs w:val="22"/>
                <w:lang w:val="fr-FR"/>
              </w:rPr>
              <w:tab/>
              <w:t>Isopropyl chloroformate (IpCF)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17462-58-7</w:t>
            </w:r>
            <w:r w:rsidRPr="009D5214">
              <w:rPr>
                <w:sz w:val="22"/>
                <w:szCs w:val="22"/>
                <w:lang w:val="fr-FR"/>
              </w:rPr>
              <w:tab/>
              <w:t>Sec-Butyl chloroformate (SbCF)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106-75-2</w:t>
            </w:r>
            <w:r w:rsidRPr="009D5214">
              <w:rPr>
                <w:sz w:val="22"/>
                <w:szCs w:val="22"/>
                <w:lang w:val="fr-FR"/>
              </w:rPr>
              <w:tab/>
            </w:r>
            <w:r w:rsidRPr="009D5214">
              <w:rPr>
                <w:sz w:val="22"/>
                <w:szCs w:val="22"/>
                <w:lang w:val="fr-FR"/>
              </w:rPr>
              <w:tab/>
              <w:t xml:space="preserve">Oxydiethylene </w:t>
            </w:r>
            <w:proofErr w:type="gramStart"/>
            <w:r w:rsidRPr="009D5214">
              <w:rPr>
                <w:sz w:val="22"/>
                <w:szCs w:val="22"/>
                <w:lang w:val="fr-FR"/>
              </w:rPr>
              <w:t>bis(</w:t>
            </w:r>
            <w:proofErr w:type="gramEnd"/>
            <w:r w:rsidRPr="009D5214">
              <w:rPr>
                <w:sz w:val="22"/>
                <w:szCs w:val="22"/>
                <w:lang w:val="fr-FR"/>
              </w:rPr>
              <w:t>chloroformate) (ObCF)</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24468-13-1</w:t>
            </w:r>
            <w:r w:rsidRPr="009D5214">
              <w:rPr>
                <w:sz w:val="22"/>
                <w:szCs w:val="22"/>
                <w:lang w:val="fr-FR"/>
              </w:rPr>
              <w:tab/>
              <w:t>2-Ethylhexyl chloroformate (EhCF)</w:t>
            </w:r>
          </w:p>
          <w:p w:rsidR="009D5214" w:rsidRPr="009D5214" w:rsidRDefault="009D5214" w:rsidP="009D5214">
            <w:pPr>
              <w:pStyle w:val="BodyText2"/>
              <w:tabs>
                <w:tab w:val="left" w:pos="1332"/>
              </w:tabs>
              <w:spacing w:before="240"/>
              <w:ind w:left="1135" w:hanging="851"/>
              <w:rPr>
                <w:b/>
                <w:sz w:val="22"/>
                <w:szCs w:val="22"/>
                <w:lang w:val="fr-FR"/>
              </w:rPr>
            </w:pPr>
            <w:r w:rsidRPr="009D5214">
              <w:rPr>
                <w:b/>
                <w:sz w:val="22"/>
                <w:szCs w:val="22"/>
                <w:lang w:val="fr-FR"/>
              </w:rPr>
              <w:t>Hydrolysis products:</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67-56-1</w:t>
            </w:r>
            <w:r w:rsidRPr="009D5214">
              <w:rPr>
                <w:sz w:val="22"/>
                <w:szCs w:val="22"/>
                <w:lang w:val="fr-FR"/>
              </w:rPr>
              <w:tab/>
            </w:r>
            <w:r w:rsidRPr="009D5214">
              <w:rPr>
                <w:sz w:val="22"/>
                <w:szCs w:val="22"/>
                <w:lang w:val="fr-FR"/>
              </w:rPr>
              <w:tab/>
              <w:t>Methanol (Me)</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64-17-5</w:t>
            </w:r>
            <w:r w:rsidRPr="009D5214">
              <w:rPr>
                <w:sz w:val="22"/>
                <w:szCs w:val="22"/>
                <w:lang w:val="fr-FR"/>
              </w:rPr>
              <w:tab/>
            </w:r>
            <w:r w:rsidRPr="009D5214">
              <w:rPr>
                <w:sz w:val="22"/>
                <w:szCs w:val="22"/>
                <w:lang w:val="fr-FR"/>
              </w:rPr>
              <w:tab/>
              <w:t>Ethanol (Et)</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71-23-8</w:t>
            </w:r>
            <w:r w:rsidRPr="009D5214">
              <w:rPr>
                <w:sz w:val="22"/>
                <w:szCs w:val="22"/>
                <w:lang w:val="fr-FR"/>
              </w:rPr>
              <w:tab/>
            </w:r>
            <w:r w:rsidRPr="009D5214">
              <w:rPr>
                <w:sz w:val="22"/>
                <w:szCs w:val="22"/>
                <w:lang w:val="fr-FR"/>
              </w:rPr>
              <w:tab/>
              <w:t>1-Propanol (Pr)</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67-63-0</w:t>
            </w:r>
            <w:r w:rsidRPr="009D5214">
              <w:rPr>
                <w:sz w:val="22"/>
                <w:szCs w:val="22"/>
                <w:lang w:val="fr-FR"/>
              </w:rPr>
              <w:tab/>
            </w:r>
            <w:r w:rsidRPr="009D5214">
              <w:rPr>
                <w:sz w:val="22"/>
                <w:szCs w:val="22"/>
                <w:lang w:val="fr-FR"/>
              </w:rPr>
              <w:tab/>
              <w:t>Isopropanol (Ip)</w:t>
            </w:r>
          </w:p>
          <w:p w:rsidR="009D5214" w:rsidRPr="009D5214" w:rsidRDefault="009D5214" w:rsidP="00E8253A">
            <w:pPr>
              <w:pStyle w:val="BodyText2"/>
              <w:tabs>
                <w:tab w:val="left" w:pos="1332"/>
              </w:tabs>
              <w:spacing w:before="120"/>
              <w:ind w:left="1135" w:hanging="851"/>
              <w:jc w:val="center"/>
              <w:rPr>
                <w:sz w:val="22"/>
                <w:szCs w:val="22"/>
                <w:lang w:val="fr-FR"/>
              </w:rPr>
            </w:pPr>
            <w:r w:rsidRPr="009D5214">
              <w:rPr>
                <w:sz w:val="22"/>
                <w:szCs w:val="22"/>
                <w:lang w:val="fr-FR"/>
              </w:rPr>
              <w:t>78-92-2</w:t>
            </w:r>
            <w:r w:rsidRPr="009D5214">
              <w:rPr>
                <w:sz w:val="22"/>
                <w:szCs w:val="22"/>
                <w:lang w:val="fr-FR"/>
              </w:rPr>
              <w:tab/>
            </w:r>
            <w:r w:rsidRPr="009D5214">
              <w:rPr>
                <w:sz w:val="22"/>
                <w:szCs w:val="22"/>
                <w:lang w:val="fr-FR"/>
              </w:rPr>
              <w:tab/>
              <w:t>Sec-Butanol (Sb)</w:t>
            </w:r>
          </w:p>
          <w:p w:rsidR="009D5214" w:rsidRPr="009D5214" w:rsidRDefault="009D5214" w:rsidP="00E8253A">
            <w:pPr>
              <w:pStyle w:val="BodyText2"/>
              <w:tabs>
                <w:tab w:val="left" w:pos="1332"/>
              </w:tabs>
              <w:spacing w:before="120"/>
              <w:ind w:left="1135" w:hanging="851"/>
              <w:jc w:val="center"/>
              <w:rPr>
                <w:sz w:val="22"/>
                <w:szCs w:val="22"/>
              </w:rPr>
            </w:pPr>
            <w:r w:rsidRPr="009D5214">
              <w:rPr>
                <w:sz w:val="22"/>
                <w:szCs w:val="22"/>
              </w:rPr>
              <w:t>111-46-6</w:t>
            </w:r>
            <w:r w:rsidRPr="009D5214">
              <w:rPr>
                <w:sz w:val="22"/>
                <w:szCs w:val="22"/>
              </w:rPr>
              <w:tab/>
            </w:r>
            <w:r w:rsidRPr="009D5214">
              <w:rPr>
                <w:sz w:val="22"/>
                <w:szCs w:val="22"/>
              </w:rPr>
              <w:tab/>
              <w:t>Diethylene glycol (DEG)</w:t>
            </w:r>
          </w:p>
          <w:p w:rsidR="009D5214" w:rsidRPr="009D5214" w:rsidRDefault="009D5214" w:rsidP="00E8253A">
            <w:pPr>
              <w:pStyle w:val="BodyText2"/>
              <w:tabs>
                <w:tab w:val="left" w:pos="1332"/>
              </w:tabs>
              <w:spacing w:before="120"/>
              <w:ind w:left="1135" w:hanging="851"/>
              <w:jc w:val="center"/>
              <w:rPr>
                <w:sz w:val="22"/>
                <w:szCs w:val="22"/>
              </w:rPr>
            </w:pPr>
            <w:r w:rsidRPr="009D5214">
              <w:rPr>
                <w:sz w:val="22"/>
                <w:szCs w:val="22"/>
              </w:rPr>
              <w:t>104-76-7</w:t>
            </w:r>
            <w:r w:rsidRPr="009D5214">
              <w:rPr>
                <w:sz w:val="22"/>
                <w:szCs w:val="22"/>
              </w:rPr>
              <w:tab/>
            </w:r>
            <w:r w:rsidRPr="009D5214">
              <w:rPr>
                <w:sz w:val="22"/>
                <w:szCs w:val="22"/>
              </w:rPr>
              <w:tab/>
              <w:t>2-Ethyl hexanol (Eh)</w:t>
            </w:r>
          </w:p>
          <w:p w:rsidR="009D5214" w:rsidRPr="009D5214" w:rsidRDefault="009D5214" w:rsidP="00E8253A">
            <w:pPr>
              <w:spacing w:before="120"/>
              <w:ind w:left="1135" w:hanging="851"/>
              <w:jc w:val="center"/>
              <w:rPr>
                <w:sz w:val="22"/>
                <w:szCs w:val="22"/>
              </w:rPr>
            </w:pPr>
            <w:r w:rsidRPr="009D5214">
              <w:rPr>
                <w:sz w:val="22"/>
                <w:szCs w:val="22"/>
              </w:rPr>
              <w:t>7647-01-0</w:t>
            </w:r>
            <w:r w:rsidRPr="009D5214">
              <w:rPr>
                <w:sz w:val="22"/>
                <w:szCs w:val="22"/>
              </w:rPr>
              <w:tab/>
              <w:t>Hydrogen chloride (HCl)</w:t>
            </w:r>
          </w:p>
        </w:tc>
      </w:tr>
      <w:tr w:rsidR="009D5214" w:rsidRPr="004D5F2B" w:rsidTr="00043B9C">
        <w:trPr>
          <w:trHeight w:val="1396"/>
        </w:trPr>
        <w:tc>
          <w:tcPr>
            <w:tcW w:w="3261" w:type="dxa"/>
            <w:vMerge w:val="restart"/>
            <w:tcBorders>
              <w:top w:val="single" w:sz="12" w:space="0" w:color="auto"/>
              <w:left w:val="double" w:sz="6" w:space="0" w:color="auto"/>
              <w:right w:val="double" w:sz="6" w:space="0" w:color="auto"/>
            </w:tcBorders>
            <w:shd w:val="pct10" w:color="auto" w:fill="auto"/>
            <w:vAlign w:val="center"/>
          </w:tcPr>
          <w:p w:rsidR="009D5214" w:rsidRPr="009D5214" w:rsidRDefault="009D5214"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9D5214" w:rsidRDefault="009D5214" w:rsidP="00020DAA">
            <w:pPr>
              <w:spacing w:before="240"/>
              <w:jc w:val="center"/>
              <w:rPr>
                <w:b/>
                <w:sz w:val="22"/>
                <w:szCs w:val="22"/>
              </w:rPr>
            </w:pPr>
            <w:r w:rsidRPr="009D5214">
              <w:rPr>
                <w:b/>
                <w:sz w:val="22"/>
                <w:szCs w:val="22"/>
              </w:rPr>
              <w:t>Structural Formula</w:t>
            </w: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ind w:left="284"/>
              <w:jc w:val="center"/>
              <w:rPr>
                <w:b/>
                <w:sz w:val="22"/>
                <w:szCs w:val="22"/>
              </w:rPr>
            </w:pPr>
          </w:p>
          <w:p w:rsidR="00E8253A" w:rsidRDefault="00E8253A" w:rsidP="00E8253A">
            <w:pPr>
              <w:spacing w:before="240"/>
              <w:rPr>
                <w:b/>
                <w:sz w:val="22"/>
                <w:szCs w:val="22"/>
              </w:rPr>
            </w:pPr>
          </w:p>
          <w:p w:rsidR="00E8253A" w:rsidRPr="009D5214" w:rsidRDefault="00E8253A" w:rsidP="00E8253A">
            <w:pPr>
              <w:spacing w:before="240"/>
              <w:rPr>
                <w:b/>
                <w:sz w:val="22"/>
                <w:szCs w:val="22"/>
              </w:rPr>
            </w:pPr>
          </w:p>
        </w:tc>
        <w:tc>
          <w:tcPr>
            <w:tcW w:w="3189" w:type="dxa"/>
            <w:tcBorders>
              <w:top w:val="single" w:sz="12" w:space="0" w:color="auto"/>
              <w:left w:val="double" w:sz="6" w:space="0" w:color="auto"/>
              <w:bottom w:val="double" w:sz="6" w:space="0" w:color="auto"/>
              <w:right w:val="double" w:sz="6" w:space="0" w:color="auto"/>
            </w:tcBorders>
            <w:vAlign w:val="center"/>
          </w:tcPr>
          <w:p w:rsidR="009D5214" w:rsidRPr="009D5214" w:rsidRDefault="009D5214" w:rsidP="009D5214">
            <w:pPr>
              <w:pStyle w:val="BodyText2"/>
              <w:tabs>
                <w:tab w:val="left" w:pos="1332"/>
              </w:tabs>
              <w:spacing w:before="100" w:beforeAutospacing="1" w:after="100" w:afterAutospacing="1"/>
              <w:jc w:val="center"/>
              <w:rPr>
                <w:b/>
                <w:sz w:val="22"/>
                <w:szCs w:val="22"/>
              </w:rPr>
            </w:pPr>
            <w:r w:rsidRPr="009D5214">
              <w:rPr>
                <w:b/>
                <w:sz w:val="22"/>
                <w:szCs w:val="22"/>
              </w:rPr>
              <w:t>Sponsored substances</w:t>
            </w:r>
          </w:p>
        </w:tc>
        <w:tc>
          <w:tcPr>
            <w:tcW w:w="3190" w:type="dxa"/>
            <w:tcBorders>
              <w:top w:val="single" w:sz="12" w:space="0" w:color="auto"/>
              <w:left w:val="double" w:sz="6" w:space="0" w:color="auto"/>
              <w:bottom w:val="double" w:sz="6" w:space="0" w:color="auto"/>
              <w:right w:val="double" w:sz="6" w:space="0" w:color="auto"/>
            </w:tcBorders>
            <w:vAlign w:val="center"/>
          </w:tcPr>
          <w:p w:rsidR="009D5214" w:rsidRPr="009D5214" w:rsidRDefault="009D5214" w:rsidP="009D5214">
            <w:pPr>
              <w:pStyle w:val="BodyText2"/>
              <w:tabs>
                <w:tab w:val="left" w:pos="132"/>
              </w:tabs>
              <w:spacing w:before="100" w:beforeAutospacing="1" w:after="100" w:afterAutospacing="1"/>
              <w:jc w:val="center"/>
              <w:rPr>
                <w:b/>
                <w:sz w:val="22"/>
                <w:szCs w:val="22"/>
              </w:rPr>
            </w:pPr>
            <w:r w:rsidRPr="009D5214">
              <w:rPr>
                <w:b/>
                <w:sz w:val="22"/>
                <w:szCs w:val="22"/>
              </w:rPr>
              <w:t>Hydrolysis products</w:t>
            </w:r>
          </w:p>
        </w:tc>
      </w:tr>
      <w:tr w:rsidR="009D5214" w:rsidRPr="004D5F2B" w:rsidTr="00E8253A">
        <w:trPr>
          <w:trHeight w:val="776"/>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ind w:left="1338" w:hanging="1268"/>
              <w:jc w:val="left"/>
              <w:rPr>
                <w:sz w:val="22"/>
                <w:szCs w:val="22"/>
              </w:rPr>
            </w:pPr>
            <w:r>
              <w:rPr>
                <w:noProof/>
                <w:sz w:val="22"/>
                <w:szCs w:val="22"/>
                <w:lang w:val="en-US"/>
              </w:rPr>
              <w:drawing>
                <wp:anchor distT="0" distB="0" distL="114300" distR="114300" simplePos="0" relativeHeight="251658240" behindDoc="0" locked="0" layoutInCell="1" allowOverlap="1">
                  <wp:simplePos x="0" y="0"/>
                  <wp:positionH relativeFrom="column">
                    <wp:posOffset>727075</wp:posOffset>
                  </wp:positionH>
                  <wp:positionV relativeFrom="paragraph">
                    <wp:posOffset>44450</wp:posOffset>
                  </wp:positionV>
                  <wp:extent cx="857250" cy="371475"/>
                  <wp:effectExtent l="19050" t="0" r="0" b="0"/>
                  <wp:wrapThrough wrapText="bothSides">
                    <wp:wrapPolygon edited="0">
                      <wp:start x="5760" y="1108"/>
                      <wp:lineTo x="-480" y="14400"/>
                      <wp:lineTo x="0" y="17723"/>
                      <wp:lineTo x="19200" y="18831"/>
                      <wp:lineTo x="19200" y="18831"/>
                      <wp:lineTo x="21600" y="18831"/>
                      <wp:lineTo x="21600" y="14400"/>
                      <wp:lineTo x="19680" y="11077"/>
                      <wp:lineTo x="8160" y="1108"/>
                      <wp:lineTo x="5760" y="1108"/>
                    </wp:wrapPolygon>
                  </wp:wrapThrough>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857250" cy="371475"/>
                          </a:xfrm>
                          <a:prstGeom prst="rect">
                            <a:avLst/>
                          </a:prstGeom>
                          <a:noFill/>
                          <a:ln w="9525">
                            <a:noFill/>
                            <a:miter lim="800000"/>
                            <a:headEnd/>
                            <a:tailEnd/>
                          </a:ln>
                        </pic:spPr>
                      </pic:pic>
                    </a:graphicData>
                  </a:graphic>
                </wp:anchor>
              </w:drawing>
            </w:r>
            <w:r w:rsidR="009D5214" w:rsidRPr="009D5214">
              <w:rPr>
                <w:sz w:val="22"/>
                <w:szCs w:val="22"/>
              </w:rPr>
              <w:t>MeCF:</w:t>
            </w:r>
            <w:r w:rsidR="009D5214" w:rsidRPr="009D5214">
              <w:rPr>
                <w:sz w:val="22"/>
                <w:szCs w:val="22"/>
              </w:rPr>
              <w:tab/>
            </w: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ind w:left="1338" w:hanging="1196"/>
              <w:jc w:val="left"/>
              <w:rPr>
                <w:b/>
                <w:sz w:val="22"/>
                <w:szCs w:val="22"/>
              </w:rPr>
            </w:pPr>
            <w:r>
              <w:rPr>
                <w:noProof/>
                <w:sz w:val="22"/>
                <w:szCs w:val="22"/>
                <w:lang w:val="en-US"/>
              </w:rPr>
              <w:drawing>
                <wp:anchor distT="0" distB="0" distL="114300" distR="114300" simplePos="0" relativeHeight="251659264" behindDoc="0" locked="0" layoutInCell="1" allowOverlap="1">
                  <wp:simplePos x="0" y="0"/>
                  <wp:positionH relativeFrom="column">
                    <wp:posOffset>867410</wp:posOffset>
                  </wp:positionH>
                  <wp:positionV relativeFrom="paragraph">
                    <wp:posOffset>177165</wp:posOffset>
                  </wp:positionV>
                  <wp:extent cx="513080" cy="182880"/>
                  <wp:effectExtent l="19050" t="0" r="1270" b="0"/>
                  <wp:wrapThrough wrapText="bothSides">
                    <wp:wrapPolygon edited="0">
                      <wp:start x="-802" y="2250"/>
                      <wp:lineTo x="-802" y="11250"/>
                      <wp:lineTo x="4812" y="15750"/>
                      <wp:lineTo x="17644" y="15750"/>
                      <wp:lineTo x="21653" y="15750"/>
                      <wp:lineTo x="20050" y="2250"/>
                      <wp:lineTo x="-802" y="2250"/>
                    </wp:wrapPolygon>
                  </wp:wrapThrough>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13080" cy="182880"/>
                          </a:xfrm>
                          <a:prstGeom prst="rect">
                            <a:avLst/>
                          </a:prstGeom>
                          <a:noFill/>
                          <a:ln w="9525">
                            <a:noFill/>
                            <a:miter lim="800000"/>
                            <a:headEnd/>
                            <a:tailEnd/>
                          </a:ln>
                        </pic:spPr>
                      </pic:pic>
                    </a:graphicData>
                  </a:graphic>
                </wp:anchor>
              </w:drawing>
            </w:r>
            <w:r w:rsidR="009D5214" w:rsidRPr="009D5214">
              <w:rPr>
                <w:sz w:val="22"/>
                <w:szCs w:val="22"/>
              </w:rPr>
              <w:t>Me:</w:t>
            </w:r>
            <w:r w:rsidR="009D5214" w:rsidRPr="009D5214">
              <w:rPr>
                <w:b/>
                <w:sz w:val="22"/>
                <w:szCs w:val="22"/>
              </w:rPr>
              <w:tab/>
            </w:r>
          </w:p>
        </w:tc>
      </w:tr>
      <w:tr w:rsidR="009D5214" w:rsidRPr="004D5F2B" w:rsidTr="00043B9C">
        <w:trPr>
          <w:trHeight w:val="915"/>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after="100" w:afterAutospacing="1"/>
              <w:ind w:left="1338" w:hanging="1268"/>
              <w:jc w:val="left"/>
              <w:rPr>
                <w:sz w:val="22"/>
                <w:szCs w:val="22"/>
              </w:rPr>
            </w:pPr>
            <w:r>
              <w:rPr>
                <w:noProof/>
                <w:sz w:val="22"/>
                <w:szCs w:val="22"/>
                <w:lang w:val="en-US"/>
              </w:rPr>
              <w:drawing>
                <wp:anchor distT="0" distB="0" distL="114300" distR="114300" simplePos="0" relativeHeight="251660288" behindDoc="0" locked="0" layoutInCell="1" allowOverlap="1">
                  <wp:simplePos x="0" y="0"/>
                  <wp:positionH relativeFrom="column">
                    <wp:posOffset>659765</wp:posOffset>
                  </wp:positionH>
                  <wp:positionV relativeFrom="paragraph">
                    <wp:posOffset>45720</wp:posOffset>
                  </wp:positionV>
                  <wp:extent cx="1069975" cy="476885"/>
                  <wp:effectExtent l="19050" t="0" r="0" b="0"/>
                  <wp:wrapThrough wrapText="bothSides">
                    <wp:wrapPolygon edited="0">
                      <wp:start x="4615" y="863"/>
                      <wp:lineTo x="-385" y="11217"/>
                      <wp:lineTo x="0" y="13806"/>
                      <wp:lineTo x="12306" y="14668"/>
                      <wp:lineTo x="13460" y="18983"/>
                      <wp:lineTo x="13845" y="18983"/>
                      <wp:lineTo x="15767" y="18983"/>
                      <wp:lineTo x="16152" y="18983"/>
                      <wp:lineTo x="21536" y="14668"/>
                      <wp:lineTo x="21536" y="11217"/>
                      <wp:lineTo x="17690" y="6903"/>
                      <wp:lineTo x="6538" y="863"/>
                      <wp:lineTo x="4615" y="863"/>
                    </wp:wrapPolygon>
                  </wp:wrapThrough>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069975" cy="476885"/>
                          </a:xfrm>
                          <a:prstGeom prst="rect">
                            <a:avLst/>
                          </a:prstGeom>
                          <a:noFill/>
                          <a:ln w="9525">
                            <a:noFill/>
                            <a:miter lim="800000"/>
                            <a:headEnd/>
                            <a:tailEnd/>
                          </a:ln>
                        </pic:spPr>
                      </pic:pic>
                    </a:graphicData>
                  </a:graphic>
                </wp:anchor>
              </w:drawing>
            </w:r>
            <w:r w:rsidR="009D5214" w:rsidRPr="009D5214">
              <w:rPr>
                <w:sz w:val="22"/>
                <w:szCs w:val="22"/>
              </w:rPr>
              <w:t>EtCF:</w:t>
            </w:r>
            <w:r w:rsidR="009D5214" w:rsidRPr="009D5214">
              <w:rPr>
                <w:sz w:val="22"/>
                <w:szCs w:val="22"/>
              </w:rPr>
              <w:tab/>
            </w: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after="100" w:afterAutospacing="1"/>
              <w:ind w:left="1338" w:hanging="1196"/>
              <w:jc w:val="left"/>
              <w:rPr>
                <w:b/>
                <w:sz w:val="22"/>
                <w:szCs w:val="22"/>
              </w:rPr>
            </w:pPr>
            <w:r>
              <w:rPr>
                <w:noProof/>
                <w:sz w:val="22"/>
                <w:szCs w:val="22"/>
                <w:lang w:val="en-US"/>
              </w:rPr>
              <w:drawing>
                <wp:anchor distT="0" distB="0" distL="114300" distR="114300" simplePos="0" relativeHeight="251661312" behindDoc="0" locked="0" layoutInCell="1" allowOverlap="1">
                  <wp:simplePos x="0" y="0"/>
                  <wp:positionH relativeFrom="column">
                    <wp:posOffset>779780</wp:posOffset>
                  </wp:positionH>
                  <wp:positionV relativeFrom="paragraph">
                    <wp:posOffset>125095</wp:posOffset>
                  </wp:positionV>
                  <wp:extent cx="704215" cy="278130"/>
                  <wp:effectExtent l="19050" t="0" r="0" b="0"/>
                  <wp:wrapThrough wrapText="bothSides">
                    <wp:wrapPolygon edited="0">
                      <wp:start x="-584" y="1479"/>
                      <wp:lineTo x="-584" y="7397"/>
                      <wp:lineTo x="6427" y="17753"/>
                      <wp:lineTo x="10518" y="17753"/>
                      <wp:lineTo x="13439" y="17753"/>
                      <wp:lineTo x="18114" y="17753"/>
                      <wp:lineTo x="21035" y="10356"/>
                      <wp:lineTo x="20451" y="1479"/>
                      <wp:lineTo x="-584" y="1479"/>
                    </wp:wrapPolygon>
                  </wp:wrapThrough>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704215" cy="278130"/>
                          </a:xfrm>
                          <a:prstGeom prst="rect">
                            <a:avLst/>
                          </a:prstGeom>
                          <a:noFill/>
                          <a:ln w="9525">
                            <a:noFill/>
                            <a:miter lim="800000"/>
                            <a:headEnd/>
                            <a:tailEnd/>
                          </a:ln>
                        </pic:spPr>
                      </pic:pic>
                    </a:graphicData>
                  </a:graphic>
                </wp:anchor>
              </w:drawing>
            </w:r>
            <w:r w:rsidR="009D5214" w:rsidRPr="009D5214">
              <w:rPr>
                <w:sz w:val="22"/>
                <w:szCs w:val="22"/>
              </w:rPr>
              <w:t>Et:</w:t>
            </w:r>
            <w:r w:rsidR="009D5214" w:rsidRPr="009D5214">
              <w:rPr>
                <w:b/>
                <w:sz w:val="22"/>
                <w:szCs w:val="22"/>
              </w:rPr>
              <w:tab/>
            </w:r>
          </w:p>
        </w:tc>
      </w:tr>
      <w:tr w:rsidR="009D5214" w:rsidRPr="004D5F2B" w:rsidTr="00E8253A">
        <w:trPr>
          <w:trHeight w:val="1280"/>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after="100" w:afterAutospacing="1"/>
              <w:ind w:left="1338" w:hanging="1268"/>
              <w:jc w:val="left"/>
              <w:rPr>
                <w:sz w:val="22"/>
                <w:szCs w:val="22"/>
              </w:rPr>
            </w:pPr>
            <w:r>
              <w:rPr>
                <w:noProof/>
                <w:sz w:val="22"/>
                <w:szCs w:val="22"/>
                <w:lang w:val="en-US"/>
              </w:rPr>
              <w:drawing>
                <wp:anchor distT="0" distB="0" distL="114300" distR="114300" simplePos="0" relativeHeight="251663360" behindDoc="0" locked="0" layoutInCell="1" allowOverlap="1">
                  <wp:simplePos x="0" y="0"/>
                  <wp:positionH relativeFrom="column">
                    <wp:posOffset>584200</wp:posOffset>
                  </wp:positionH>
                  <wp:positionV relativeFrom="paragraph">
                    <wp:posOffset>208915</wp:posOffset>
                  </wp:positionV>
                  <wp:extent cx="1238250" cy="466725"/>
                  <wp:effectExtent l="19050" t="0" r="0" b="0"/>
                  <wp:wrapThrough wrapText="bothSides">
                    <wp:wrapPolygon edited="0">
                      <wp:start x="3988" y="882"/>
                      <wp:lineTo x="-332" y="11461"/>
                      <wp:lineTo x="0" y="14106"/>
                      <wp:lineTo x="10302" y="14988"/>
                      <wp:lineTo x="11298" y="19396"/>
                      <wp:lineTo x="11963" y="19396"/>
                      <wp:lineTo x="16948" y="19396"/>
                      <wp:lineTo x="17280" y="19396"/>
                      <wp:lineTo x="21600" y="14988"/>
                      <wp:lineTo x="21600" y="10580"/>
                      <wp:lineTo x="19938" y="8816"/>
                      <wp:lineTo x="5649" y="882"/>
                      <wp:lineTo x="3988" y="882"/>
                    </wp:wrapPolygon>
                  </wp:wrapThrough>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1238250" cy="466725"/>
                          </a:xfrm>
                          <a:prstGeom prst="rect">
                            <a:avLst/>
                          </a:prstGeom>
                          <a:noFill/>
                          <a:ln w="9525">
                            <a:noFill/>
                            <a:miter lim="800000"/>
                            <a:headEnd/>
                            <a:tailEnd/>
                          </a:ln>
                        </pic:spPr>
                      </pic:pic>
                    </a:graphicData>
                  </a:graphic>
                </wp:anchor>
              </w:drawing>
            </w:r>
            <w:r w:rsidR="009D5214" w:rsidRPr="009D5214">
              <w:rPr>
                <w:sz w:val="22"/>
                <w:szCs w:val="22"/>
              </w:rPr>
              <w:t>PrCF:</w:t>
            </w:r>
            <w:r w:rsidR="009D5214" w:rsidRPr="009D5214">
              <w:rPr>
                <w:sz w:val="22"/>
                <w:szCs w:val="22"/>
              </w:rPr>
              <w:tab/>
            </w: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after="100" w:afterAutospacing="1"/>
              <w:ind w:left="1338" w:hanging="1196"/>
              <w:jc w:val="left"/>
              <w:rPr>
                <w:b/>
                <w:sz w:val="22"/>
                <w:szCs w:val="22"/>
              </w:rPr>
            </w:pPr>
            <w:r>
              <w:rPr>
                <w:noProof/>
                <w:sz w:val="22"/>
                <w:szCs w:val="22"/>
                <w:lang w:val="en-US"/>
              </w:rPr>
              <w:drawing>
                <wp:anchor distT="0" distB="0" distL="114300" distR="114300" simplePos="0" relativeHeight="251662336" behindDoc="0" locked="0" layoutInCell="1" allowOverlap="1">
                  <wp:simplePos x="0" y="0"/>
                  <wp:positionH relativeFrom="column">
                    <wp:posOffset>684530</wp:posOffset>
                  </wp:positionH>
                  <wp:positionV relativeFrom="paragraph">
                    <wp:posOffset>320040</wp:posOffset>
                  </wp:positionV>
                  <wp:extent cx="887095" cy="278130"/>
                  <wp:effectExtent l="19050" t="0" r="0" b="0"/>
                  <wp:wrapThrough wrapText="bothSides">
                    <wp:wrapPolygon edited="0">
                      <wp:start x="-464" y="1479"/>
                      <wp:lineTo x="-464" y="7397"/>
                      <wp:lineTo x="5102" y="17753"/>
                      <wp:lineTo x="8349" y="17753"/>
                      <wp:lineTo x="15307" y="17753"/>
                      <wp:lineTo x="19018" y="17753"/>
                      <wp:lineTo x="21337" y="10356"/>
                      <wp:lineTo x="20873" y="1479"/>
                      <wp:lineTo x="-464" y="1479"/>
                    </wp:wrapPolygon>
                  </wp:wrapThrough>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887095" cy="278130"/>
                          </a:xfrm>
                          <a:prstGeom prst="rect">
                            <a:avLst/>
                          </a:prstGeom>
                          <a:noFill/>
                          <a:ln w="9525">
                            <a:noFill/>
                            <a:miter lim="800000"/>
                            <a:headEnd/>
                            <a:tailEnd/>
                          </a:ln>
                        </pic:spPr>
                      </pic:pic>
                    </a:graphicData>
                  </a:graphic>
                </wp:anchor>
              </w:drawing>
            </w:r>
            <w:r w:rsidR="009D5214" w:rsidRPr="009D5214">
              <w:rPr>
                <w:sz w:val="22"/>
                <w:szCs w:val="22"/>
              </w:rPr>
              <w:t>Pr:</w:t>
            </w:r>
            <w:r w:rsidR="009D5214" w:rsidRPr="009D5214">
              <w:rPr>
                <w:sz w:val="22"/>
                <w:szCs w:val="22"/>
              </w:rPr>
              <w:tab/>
            </w:r>
          </w:p>
        </w:tc>
      </w:tr>
      <w:tr w:rsidR="009D5214" w:rsidRPr="004D5F2B" w:rsidTr="00E8253A">
        <w:trPr>
          <w:trHeight w:val="260"/>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9D5214" w:rsidP="00043B9C">
            <w:pPr>
              <w:pStyle w:val="BodyText2"/>
              <w:tabs>
                <w:tab w:val="left" w:pos="1332"/>
              </w:tabs>
              <w:spacing w:before="240" w:after="100" w:afterAutospacing="1"/>
              <w:ind w:left="1338" w:hanging="1268"/>
              <w:jc w:val="left"/>
              <w:rPr>
                <w:sz w:val="22"/>
                <w:szCs w:val="22"/>
              </w:rPr>
            </w:pPr>
            <w:r w:rsidRPr="009D5214">
              <w:rPr>
                <w:sz w:val="22"/>
                <w:szCs w:val="22"/>
              </w:rPr>
              <w:t>IpCF:</w:t>
            </w:r>
            <w:r w:rsidRPr="009D5214">
              <w:rPr>
                <w:sz w:val="22"/>
                <w:szCs w:val="22"/>
              </w:rPr>
              <w:tab/>
            </w:r>
            <w:r w:rsidRPr="009D5214">
              <w:rPr>
                <w:noProof/>
                <w:sz w:val="22"/>
                <w:szCs w:val="22"/>
                <w:lang w:val="en-US"/>
              </w:rPr>
              <w:drawing>
                <wp:anchor distT="0" distB="0" distL="114300" distR="114300" simplePos="0" relativeHeight="251664384" behindDoc="0" locked="0" layoutInCell="1" allowOverlap="1">
                  <wp:simplePos x="0" y="0"/>
                  <wp:positionH relativeFrom="column">
                    <wp:posOffset>860425</wp:posOffset>
                  </wp:positionH>
                  <wp:positionV relativeFrom="paragraph">
                    <wp:posOffset>-3810</wp:posOffset>
                  </wp:positionV>
                  <wp:extent cx="1047750" cy="438150"/>
                  <wp:effectExtent l="19050" t="0" r="0" b="0"/>
                  <wp:wrapThrough wrapText="bothSides">
                    <wp:wrapPolygon edited="0">
                      <wp:start x="4713" y="939"/>
                      <wp:lineTo x="-393" y="12209"/>
                      <wp:lineTo x="0" y="15026"/>
                      <wp:lineTo x="12175" y="15965"/>
                      <wp:lineTo x="12175" y="18783"/>
                      <wp:lineTo x="14924" y="18783"/>
                      <wp:lineTo x="16102" y="18783"/>
                      <wp:lineTo x="21600" y="16904"/>
                      <wp:lineTo x="21600" y="15026"/>
                      <wp:lineTo x="20029" y="9391"/>
                      <wp:lineTo x="16887" y="939"/>
                      <wp:lineTo x="4713" y="939"/>
                    </wp:wrapPolygon>
                  </wp:wrapThrough>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1047750" cy="438150"/>
                          </a:xfrm>
                          <a:prstGeom prst="rect">
                            <a:avLst/>
                          </a:prstGeom>
                          <a:noFill/>
                          <a:ln w="9525">
                            <a:noFill/>
                            <a:miter lim="800000"/>
                            <a:headEnd/>
                            <a:tailEnd/>
                          </a:ln>
                        </pic:spPr>
                      </pic:pic>
                    </a:graphicData>
                  </a:graphic>
                </wp:anchor>
              </w:drawing>
            </w: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043B9C" w:rsidP="00043B9C">
            <w:pPr>
              <w:pStyle w:val="BodyText2"/>
              <w:tabs>
                <w:tab w:val="left" w:pos="1332"/>
              </w:tabs>
              <w:spacing w:before="240" w:after="100" w:afterAutospacing="1"/>
              <w:ind w:left="1338" w:hanging="1196"/>
              <w:jc w:val="left"/>
              <w:rPr>
                <w:sz w:val="22"/>
                <w:szCs w:val="22"/>
              </w:rPr>
            </w:pPr>
            <w:r>
              <w:rPr>
                <w:noProof/>
                <w:sz w:val="22"/>
                <w:szCs w:val="22"/>
                <w:lang w:val="en-US"/>
              </w:rPr>
              <w:drawing>
                <wp:anchor distT="0" distB="0" distL="114300" distR="114300" simplePos="0" relativeHeight="251665408" behindDoc="0" locked="0" layoutInCell="1" allowOverlap="1">
                  <wp:simplePos x="0" y="0"/>
                  <wp:positionH relativeFrom="column">
                    <wp:posOffset>673735</wp:posOffset>
                  </wp:positionH>
                  <wp:positionV relativeFrom="paragraph">
                    <wp:posOffset>3810</wp:posOffset>
                  </wp:positionV>
                  <wp:extent cx="707390" cy="436880"/>
                  <wp:effectExtent l="0" t="0" r="0" b="0"/>
                  <wp:wrapThrough wrapText="bothSides">
                    <wp:wrapPolygon edited="0">
                      <wp:start x="8144" y="942"/>
                      <wp:lineTo x="0" y="9419"/>
                      <wp:lineTo x="0" y="15070"/>
                      <wp:lineTo x="7562" y="18837"/>
                      <wp:lineTo x="11634" y="18837"/>
                      <wp:lineTo x="13379" y="18837"/>
                      <wp:lineTo x="21522" y="16953"/>
                      <wp:lineTo x="21522" y="15070"/>
                      <wp:lineTo x="19196" y="9419"/>
                      <wp:lineTo x="14542" y="942"/>
                      <wp:lineTo x="8144" y="942"/>
                    </wp:wrapPolygon>
                  </wp:wrapThrough>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707390" cy="436880"/>
                          </a:xfrm>
                          <a:prstGeom prst="rect">
                            <a:avLst/>
                          </a:prstGeom>
                          <a:noFill/>
                          <a:ln w="9525">
                            <a:noFill/>
                            <a:miter lim="800000"/>
                            <a:headEnd/>
                            <a:tailEnd/>
                          </a:ln>
                        </pic:spPr>
                      </pic:pic>
                    </a:graphicData>
                  </a:graphic>
                </wp:anchor>
              </w:drawing>
            </w:r>
            <w:r w:rsidR="009D5214" w:rsidRPr="009D5214">
              <w:rPr>
                <w:sz w:val="22"/>
                <w:szCs w:val="22"/>
              </w:rPr>
              <w:t>Ip:</w:t>
            </w:r>
            <w:r w:rsidR="009D5214" w:rsidRPr="009D5214">
              <w:rPr>
                <w:sz w:val="22"/>
                <w:szCs w:val="22"/>
              </w:rPr>
              <w:tab/>
            </w:r>
          </w:p>
        </w:tc>
      </w:tr>
      <w:tr w:rsidR="009D5214" w:rsidRPr="004D5F2B" w:rsidTr="00043B9C">
        <w:trPr>
          <w:trHeight w:val="1324"/>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043B9C" w:rsidP="00043B9C">
            <w:pPr>
              <w:pStyle w:val="BodyText2"/>
              <w:tabs>
                <w:tab w:val="left" w:pos="1332"/>
              </w:tabs>
              <w:spacing w:before="240" w:after="60"/>
              <w:ind w:left="1338" w:hanging="1268"/>
              <w:jc w:val="left"/>
              <w:rPr>
                <w:sz w:val="22"/>
                <w:szCs w:val="22"/>
              </w:rPr>
            </w:pPr>
            <w:r>
              <w:rPr>
                <w:noProof/>
                <w:sz w:val="22"/>
                <w:szCs w:val="22"/>
                <w:lang w:val="en-US"/>
              </w:rPr>
              <w:drawing>
                <wp:anchor distT="0" distB="0" distL="114300" distR="114300" simplePos="0" relativeHeight="251666432" behindDoc="0" locked="0" layoutInCell="1" allowOverlap="1">
                  <wp:simplePos x="0" y="0"/>
                  <wp:positionH relativeFrom="column">
                    <wp:posOffset>539115</wp:posOffset>
                  </wp:positionH>
                  <wp:positionV relativeFrom="paragraph">
                    <wp:posOffset>257175</wp:posOffset>
                  </wp:positionV>
                  <wp:extent cx="1230630" cy="468630"/>
                  <wp:effectExtent l="19050" t="0" r="7620" b="0"/>
                  <wp:wrapThrough wrapText="bothSides">
                    <wp:wrapPolygon edited="0">
                      <wp:start x="4012" y="878"/>
                      <wp:lineTo x="-334" y="11415"/>
                      <wp:lineTo x="0" y="14049"/>
                      <wp:lineTo x="10365" y="14927"/>
                      <wp:lineTo x="10365" y="17561"/>
                      <wp:lineTo x="12706" y="19317"/>
                      <wp:lineTo x="15381" y="19317"/>
                      <wp:lineTo x="17053" y="19317"/>
                      <wp:lineTo x="17387" y="19317"/>
                      <wp:lineTo x="21734" y="14927"/>
                      <wp:lineTo x="21734" y="11415"/>
                      <wp:lineTo x="19728" y="7902"/>
                      <wp:lineTo x="14378" y="878"/>
                      <wp:lineTo x="4012" y="878"/>
                    </wp:wrapPolygon>
                  </wp:wrapThrough>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1230630" cy="468630"/>
                          </a:xfrm>
                          <a:prstGeom prst="rect">
                            <a:avLst/>
                          </a:prstGeom>
                          <a:noFill/>
                          <a:ln w="9525">
                            <a:noFill/>
                            <a:miter lim="800000"/>
                            <a:headEnd/>
                            <a:tailEnd/>
                          </a:ln>
                        </pic:spPr>
                      </pic:pic>
                    </a:graphicData>
                  </a:graphic>
                </wp:anchor>
              </w:drawing>
            </w:r>
            <w:r w:rsidR="009D5214" w:rsidRPr="009D5214">
              <w:rPr>
                <w:sz w:val="22"/>
                <w:szCs w:val="22"/>
              </w:rPr>
              <w:t>SbCF:</w:t>
            </w:r>
            <w:r w:rsidR="009D5214" w:rsidRPr="009D5214">
              <w:rPr>
                <w:sz w:val="22"/>
                <w:szCs w:val="22"/>
              </w:rPr>
              <w:tab/>
            </w: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E8253A" w:rsidP="00043B9C">
            <w:pPr>
              <w:pStyle w:val="BodyText2"/>
              <w:tabs>
                <w:tab w:val="left" w:pos="1332"/>
              </w:tabs>
              <w:spacing w:before="240" w:after="60"/>
              <w:ind w:left="1338" w:hanging="1196"/>
              <w:jc w:val="left"/>
              <w:rPr>
                <w:b/>
                <w:sz w:val="22"/>
                <w:szCs w:val="22"/>
              </w:rPr>
            </w:pPr>
            <w:r>
              <w:rPr>
                <w:noProof/>
                <w:sz w:val="22"/>
                <w:szCs w:val="22"/>
                <w:lang w:val="en-US"/>
              </w:rPr>
              <w:drawing>
                <wp:anchor distT="0" distB="0" distL="114300" distR="114300" simplePos="0" relativeHeight="251667456" behindDoc="0" locked="0" layoutInCell="1" allowOverlap="1">
                  <wp:simplePos x="0" y="0"/>
                  <wp:positionH relativeFrom="column">
                    <wp:posOffset>676910</wp:posOffset>
                  </wp:positionH>
                  <wp:positionV relativeFrom="paragraph">
                    <wp:posOffset>172720</wp:posOffset>
                  </wp:positionV>
                  <wp:extent cx="897890" cy="468630"/>
                  <wp:effectExtent l="0" t="0" r="0" b="0"/>
                  <wp:wrapThrough wrapText="bothSides">
                    <wp:wrapPolygon edited="0">
                      <wp:start x="6416" y="878"/>
                      <wp:lineTo x="0" y="8780"/>
                      <wp:lineTo x="0" y="14049"/>
                      <wp:lineTo x="5958" y="17561"/>
                      <wp:lineTo x="9165" y="19317"/>
                      <wp:lineTo x="12832" y="19317"/>
                      <wp:lineTo x="15123" y="19317"/>
                      <wp:lineTo x="15581" y="19317"/>
                      <wp:lineTo x="21539" y="14927"/>
                      <wp:lineTo x="21539" y="11415"/>
                      <wp:lineTo x="18789" y="7902"/>
                      <wp:lineTo x="11457" y="878"/>
                      <wp:lineTo x="6416" y="878"/>
                    </wp:wrapPolygon>
                  </wp:wrapThrough>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897890" cy="468630"/>
                          </a:xfrm>
                          <a:prstGeom prst="rect">
                            <a:avLst/>
                          </a:prstGeom>
                          <a:noFill/>
                          <a:ln w="9525">
                            <a:noFill/>
                            <a:miter lim="800000"/>
                            <a:headEnd/>
                            <a:tailEnd/>
                          </a:ln>
                        </pic:spPr>
                      </pic:pic>
                    </a:graphicData>
                  </a:graphic>
                </wp:anchor>
              </w:drawing>
            </w:r>
            <w:r w:rsidR="009D5214" w:rsidRPr="009D5214">
              <w:rPr>
                <w:sz w:val="22"/>
                <w:szCs w:val="22"/>
              </w:rPr>
              <w:t>Sb:</w:t>
            </w:r>
            <w:r w:rsidR="009D5214" w:rsidRPr="009D5214">
              <w:rPr>
                <w:sz w:val="22"/>
                <w:szCs w:val="22"/>
              </w:rPr>
              <w:tab/>
            </w:r>
          </w:p>
        </w:tc>
      </w:tr>
      <w:tr w:rsidR="009D5214" w:rsidRPr="004D5F2B" w:rsidTr="00E8253A">
        <w:trPr>
          <w:cantSplit/>
          <w:trHeight w:val="260"/>
        </w:trPr>
        <w:tc>
          <w:tcPr>
            <w:tcW w:w="3261" w:type="dxa"/>
            <w:vMerge/>
            <w:tcBorders>
              <w:left w:val="double" w:sz="6" w:space="0" w:color="auto"/>
              <w:right w:val="double" w:sz="6" w:space="0" w:color="auto"/>
            </w:tcBorders>
            <w:shd w:val="pct10" w:color="auto" w:fill="auto"/>
            <w:vAlign w:val="center"/>
          </w:tcPr>
          <w:p w:rsidR="009D5214" w:rsidRPr="009D5214" w:rsidRDefault="009D5214" w:rsidP="00043B9C">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vAlign w:val="center"/>
          </w:tcPr>
          <w:p w:rsidR="009D5214" w:rsidRPr="009D5214" w:rsidRDefault="00043B9C" w:rsidP="009D5214">
            <w:pPr>
              <w:pStyle w:val="BodyText2"/>
              <w:tabs>
                <w:tab w:val="left" w:pos="1332"/>
              </w:tabs>
              <w:spacing w:before="100" w:beforeAutospacing="1" w:after="100" w:afterAutospacing="1"/>
              <w:ind w:left="1339" w:hanging="1339"/>
              <w:rPr>
                <w:sz w:val="22"/>
                <w:szCs w:val="22"/>
              </w:rPr>
            </w:pPr>
            <w:r>
              <w:rPr>
                <w:noProof/>
                <w:sz w:val="22"/>
                <w:szCs w:val="22"/>
                <w:lang w:val="en-US"/>
              </w:rPr>
              <w:drawing>
                <wp:anchor distT="0" distB="0" distL="114300" distR="114300" simplePos="0" relativeHeight="251668480" behindDoc="0" locked="0" layoutInCell="1" allowOverlap="1">
                  <wp:simplePos x="0" y="0"/>
                  <wp:positionH relativeFrom="column">
                    <wp:posOffset>31750</wp:posOffset>
                  </wp:positionH>
                  <wp:positionV relativeFrom="paragraph">
                    <wp:posOffset>280035</wp:posOffset>
                  </wp:positionV>
                  <wp:extent cx="1944370" cy="429260"/>
                  <wp:effectExtent l="19050" t="0" r="0" b="0"/>
                  <wp:wrapThrough wrapText="bothSides">
                    <wp:wrapPolygon edited="0">
                      <wp:start x="2116" y="0"/>
                      <wp:lineTo x="-212" y="9586"/>
                      <wp:lineTo x="-212" y="13420"/>
                      <wp:lineTo x="5926" y="15337"/>
                      <wp:lineTo x="6560" y="19172"/>
                      <wp:lineTo x="6772" y="19172"/>
                      <wp:lineTo x="16084" y="19172"/>
                      <wp:lineTo x="15872" y="16296"/>
                      <wp:lineTo x="15660" y="15337"/>
                      <wp:lineTo x="20951" y="13420"/>
                      <wp:lineTo x="21374" y="9586"/>
                      <wp:lineTo x="19046" y="0"/>
                      <wp:lineTo x="2116" y="0"/>
                    </wp:wrapPolygon>
                  </wp:wrapThrough>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1944370" cy="429260"/>
                          </a:xfrm>
                          <a:prstGeom prst="rect">
                            <a:avLst/>
                          </a:prstGeom>
                          <a:noFill/>
                          <a:ln w="9525">
                            <a:noFill/>
                            <a:miter lim="800000"/>
                            <a:headEnd/>
                            <a:tailEnd/>
                          </a:ln>
                        </pic:spPr>
                      </pic:pic>
                    </a:graphicData>
                  </a:graphic>
                </wp:anchor>
              </w:drawing>
            </w:r>
            <w:r w:rsidR="009D5214" w:rsidRPr="009D5214">
              <w:rPr>
                <w:sz w:val="22"/>
                <w:szCs w:val="22"/>
              </w:rPr>
              <w:t xml:space="preserve">ObCF:    </w:t>
            </w:r>
          </w:p>
          <w:p w:rsidR="009D5214" w:rsidRPr="009D5214" w:rsidRDefault="009D5214" w:rsidP="009D5214">
            <w:pPr>
              <w:pStyle w:val="BodyText2"/>
              <w:tabs>
                <w:tab w:val="left" w:pos="1332"/>
              </w:tabs>
              <w:spacing w:before="100" w:beforeAutospacing="1" w:after="100" w:afterAutospacing="1"/>
              <w:ind w:left="1339" w:hanging="1339"/>
              <w:jc w:val="center"/>
              <w:rPr>
                <w:sz w:val="22"/>
                <w:szCs w:val="22"/>
              </w:rPr>
            </w:pPr>
          </w:p>
        </w:tc>
        <w:tc>
          <w:tcPr>
            <w:tcW w:w="3190" w:type="dxa"/>
            <w:tcBorders>
              <w:top w:val="single" w:sz="12" w:space="0" w:color="auto"/>
              <w:left w:val="double" w:sz="6" w:space="0" w:color="auto"/>
              <w:bottom w:val="double" w:sz="6" w:space="0" w:color="auto"/>
              <w:right w:val="double" w:sz="6" w:space="0" w:color="auto"/>
            </w:tcBorders>
            <w:vAlign w:val="center"/>
          </w:tcPr>
          <w:p w:rsidR="009D5214" w:rsidRPr="009D5214" w:rsidRDefault="009D5214" w:rsidP="00043B9C">
            <w:pPr>
              <w:pStyle w:val="BodyText2"/>
              <w:tabs>
                <w:tab w:val="left" w:pos="1332"/>
              </w:tabs>
              <w:spacing w:before="240" w:after="100" w:afterAutospacing="1"/>
              <w:ind w:left="1339" w:hanging="1339"/>
              <w:rPr>
                <w:sz w:val="22"/>
                <w:szCs w:val="22"/>
              </w:rPr>
            </w:pPr>
            <w:r w:rsidRPr="009D5214">
              <w:rPr>
                <w:sz w:val="22"/>
                <w:szCs w:val="22"/>
              </w:rPr>
              <w:t>DEG:</w:t>
            </w:r>
          </w:p>
          <w:p w:rsidR="009D5214" w:rsidRPr="009D5214" w:rsidRDefault="009D5214" w:rsidP="009D5214">
            <w:pPr>
              <w:pStyle w:val="BodyText2"/>
              <w:tabs>
                <w:tab w:val="left" w:pos="1332"/>
              </w:tabs>
              <w:spacing w:before="100" w:beforeAutospacing="1" w:after="100" w:afterAutospacing="1"/>
              <w:ind w:left="1339" w:hanging="1339"/>
              <w:rPr>
                <w:sz w:val="22"/>
                <w:szCs w:val="22"/>
              </w:rPr>
            </w:pPr>
            <w:r w:rsidRPr="009D5214">
              <w:rPr>
                <w:sz w:val="22"/>
                <w:szCs w:val="22"/>
              </w:rPr>
              <w:t xml:space="preserve">           </w:t>
            </w:r>
          </w:p>
          <w:p w:rsidR="009D5214" w:rsidRPr="009D5214" w:rsidRDefault="00043B9C" w:rsidP="009D5214">
            <w:pPr>
              <w:pStyle w:val="BodyText2"/>
              <w:tabs>
                <w:tab w:val="left" w:pos="1332"/>
              </w:tabs>
              <w:spacing w:before="100" w:beforeAutospacing="1" w:after="100" w:afterAutospacing="1"/>
              <w:ind w:left="1339" w:hanging="1339"/>
              <w:rPr>
                <w:sz w:val="22"/>
                <w:szCs w:val="22"/>
              </w:rPr>
            </w:pPr>
            <w:r>
              <w:rPr>
                <w:noProof/>
                <w:sz w:val="22"/>
                <w:szCs w:val="22"/>
                <w:lang w:val="en-US"/>
              </w:rPr>
              <w:drawing>
                <wp:anchor distT="0" distB="0" distL="114300" distR="114300" simplePos="0" relativeHeight="251669504" behindDoc="0" locked="0" layoutInCell="1" allowOverlap="1">
                  <wp:simplePos x="0" y="0"/>
                  <wp:positionH relativeFrom="column">
                    <wp:posOffset>354330</wp:posOffset>
                  </wp:positionH>
                  <wp:positionV relativeFrom="paragraph">
                    <wp:posOffset>-422275</wp:posOffset>
                  </wp:positionV>
                  <wp:extent cx="1515110" cy="294005"/>
                  <wp:effectExtent l="19050" t="0" r="8890" b="0"/>
                  <wp:wrapThrough wrapText="bothSides">
                    <wp:wrapPolygon edited="0">
                      <wp:start x="-272" y="0"/>
                      <wp:lineTo x="-272" y="5598"/>
                      <wp:lineTo x="3259" y="16795"/>
                      <wp:lineTo x="4889" y="16795"/>
                      <wp:lineTo x="18196" y="16795"/>
                      <wp:lineTo x="21727" y="6998"/>
                      <wp:lineTo x="21455" y="0"/>
                      <wp:lineTo x="10863" y="0"/>
                      <wp:lineTo x="-272" y="0"/>
                    </wp:wrapPolygon>
                  </wp:wrapThrough>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srcRect/>
                          <a:stretch>
                            <a:fillRect/>
                          </a:stretch>
                        </pic:blipFill>
                        <pic:spPr bwMode="auto">
                          <a:xfrm>
                            <a:off x="0" y="0"/>
                            <a:ext cx="1515110" cy="294005"/>
                          </a:xfrm>
                          <a:prstGeom prst="rect">
                            <a:avLst/>
                          </a:prstGeom>
                          <a:noFill/>
                          <a:ln w="9525">
                            <a:noFill/>
                            <a:miter lim="800000"/>
                            <a:headEnd/>
                            <a:tailEnd/>
                          </a:ln>
                        </pic:spPr>
                      </pic:pic>
                    </a:graphicData>
                  </a:graphic>
                </wp:anchor>
              </w:drawing>
            </w:r>
            <w:r w:rsidR="009D5214" w:rsidRPr="009D5214">
              <w:rPr>
                <w:sz w:val="22"/>
                <w:szCs w:val="22"/>
              </w:rPr>
              <w:t xml:space="preserve">             </w:t>
            </w:r>
          </w:p>
        </w:tc>
      </w:tr>
      <w:tr w:rsidR="009D5214" w:rsidRPr="004D5F2B" w:rsidTr="00E8253A">
        <w:trPr>
          <w:trHeight w:val="260"/>
        </w:trPr>
        <w:tc>
          <w:tcPr>
            <w:tcW w:w="3261" w:type="dxa"/>
            <w:vMerge/>
            <w:tcBorders>
              <w:left w:val="double" w:sz="6" w:space="0" w:color="auto"/>
              <w:right w:val="double" w:sz="6" w:space="0" w:color="auto"/>
            </w:tcBorders>
            <w:shd w:val="pct10" w:color="auto" w:fill="auto"/>
            <w:vAlign w:val="center"/>
          </w:tcPr>
          <w:p w:rsidR="009D5214" w:rsidRPr="009D5214" w:rsidRDefault="009D5214" w:rsidP="00E8253A">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vAlign w:val="center"/>
          </w:tcPr>
          <w:p w:rsidR="009D5214" w:rsidRPr="009D5214" w:rsidRDefault="009D5214" w:rsidP="00043B9C">
            <w:pPr>
              <w:pStyle w:val="BodyText2"/>
              <w:tabs>
                <w:tab w:val="left" w:pos="1332"/>
              </w:tabs>
              <w:spacing w:before="240" w:after="100" w:afterAutospacing="1"/>
              <w:ind w:left="1339" w:hanging="1339"/>
              <w:rPr>
                <w:sz w:val="22"/>
                <w:szCs w:val="22"/>
              </w:rPr>
            </w:pPr>
            <w:r w:rsidRPr="009D5214">
              <w:rPr>
                <w:sz w:val="22"/>
                <w:szCs w:val="22"/>
              </w:rPr>
              <w:t>EhCF:</w:t>
            </w:r>
          </w:p>
          <w:p w:rsidR="009D5214" w:rsidRPr="009D5214" w:rsidRDefault="009D5214" w:rsidP="009D5214">
            <w:pPr>
              <w:pStyle w:val="BodyText2"/>
              <w:tabs>
                <w:tab w:val="left" w:pos="1332"/>
              </w:tabs>
              <w:spacing w:before="100" w:beforeAutospacing="1" w:after="100" w:afterAutospacing="1"/>
              <w:ind w:left="1339" w:hanging="1339"/>
              <w:jc w:val="center"/>
              <w:rPr>
                <w:sz w:val="22"/>
                <w:szCs w:val="22"/>
              </w:rPr>
            </w:pPr>
            <w:r w:rsidRPr="009D5214">
              <w:rPr>
                <w:noProof/>
                <w:sz w:val="22"/>
                <w:szCs w:val="22"/>
                <w:lang w:val="en-US"/>
              </w:rPr>
              <w:drawing>
                <wp:anchor distT="0" distB="0" distL="114300" distR="114300" simplePos="0" relativeHeight="251671552" behindDoc="0" locked="0" layoutInCell="1" allowOverlap="1">
                  <wp:simplePos x="0" y="0"/>
                  <wp:positionH relativeFrom="column">
                    <wp:posOffset>79375</wp:posOffset>
                  </wp:positionH>
                  <wp:positionV relativeFrom="paragraph">
                    <wp:posOffset>1270</wp:posOffset>
                  </wp:positionV>
                  <wp:extent cx="1790700" cy="466725"/>
                  <wp:effectExtent l="19050" t="0" r="0" b="0"/>
                  <wp:wrapThrough wrapText="bothSides">
                    <wp:wrapPolygon edited="0">
                      <wp:start x="2757" y="882"/>
                      <wp:lineTo x="-230" y="11461"/>
                      <wp:lineTo x="0" y="14106"/>
                      <wp:lineTo x="7123" y="14988"/>
                      <wp:lineTo x="7813" y="19396"/>
                      <wp:lineTo x="8043" y="19396"/>
                      <wp:lineTo x="18383" y="19396"/>
                      <wp:lineTo x="18613" y="19396"/>
                      <wp:lineTo x="21600" y="14988"/>
                      <wp:lineTo x="21600" y="11461"/>
                      <wp:lineTo x="19762" y="7053"/>
                      <wp:lineTo x="14247" y="882"/>
                      <wp:lineTo x="2757" y="882"/>
                    </wp:wrapPolygon>
                  </wp:wrapThrough>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1790700" cy="466725"/>
                          </a:xfrm>
                          <a:prstGeom prst="rect">
                            <a:avLst/>
                          </a:prstGeom>
                          <a:noFill/>
                          <a:ln w="9525">
                            <a:noFill/>
                            <a:miter lim="800000"/>
                            <a:headEnd/>
                            <a:tailEnd/>
                          </a:ln>
                        </pic:spPr>
                      </pic:pic>
                    </a:graphicData>
                  </a:graphic>
                </wp:anchor>
              </w:drawing>
            </w:r>
          </w:p>
        </w:tc>
        <w:tc>
          <w:tcPr>
            <w:tcW w:w="3190" w:type="dxa"/>
            <w:tcBorders>
              <w:top w:val="single" w:sz="12" w:space="0" w:color="auto"/>
              <w:left w:val="double" w:sz="6" w:space="0" w:color="auto"/>
              <w:bottom w:val="double" w:sz="6" w:space="0" w:color="auto"/>
              <w:right w:val="double" w:sz="6" w:space="0" w:color="auto"/>
            </w:tcBorders>
            <w:vAlign w:val="center"/>
          </w:tcPr>
          <w:p w:rsidR="009D5214" w:rsidRPr="009D5214" w:rsidRDefault="00043B9C" w:rsidP="009D5214">
            <w:pPr>
              <w:pStyle w:val="BodyText2"/>
              <w:tabs>
                <w:tab w:val="left" w:pos="1332"/>
              </w:tabs>
              <w:spacing w:before="100" w:beforeAutospacing="1" w:after="100" w:afterAutospacing="1"/>
              <w:ind w:left="1339" w:hanging="1339"/>
              <w:rPr>
                <w:b/>
                <w:sz w:val="22"/>
                <w:szCs w:val="22"/>
              </w:rPr>
            </w:pPr>
            <w:r>
              <w:rPr>
                <w:noProof/>
                <w:sz w:val="22"/>
                <w:szCs w:val="22"/>
                <w:lang w:val="en-US"/>
              </w:rPr>
              <w:drawing>
                <wp:anchor distT="0" distB="0" distL="114300" distR="114300" simplePos="0" relativeHeight="251670528" behindDoc="0" locked="0" layoutInCell="1" allowOverlap="1">
                  <wp:simplePos x="0" y="0"/>
                  <wp:positionH relativeFrom="column">
                    <wp:posOffset>357505</wp:posOffset>
                  </wp:positionH>
                  <wp:positionV relativeFrom="paragraph">
                    <wp:posOffset>167640</wp:posOffset>
                  </wp:positionV>
                  <wp:extent cx="1459230" cy="476885"/>
                  <wp:effectExtent l="0" t="0" r="7620" b="0"/>
                  <wp:wrapThrough wrapText="bothSides">
                    <wp:wrapPolygon edited="0">
                      <wp:start x="4794" y="863"/>
                      <wp:lineTo x="0" y="8628"/>
                      <wp:lineTo x="0" y="13806"/>
                      <wp:lineTo x="3666" y="14668"/>
                      <wp:lineTo x="4512" y="18983"/>
                      <wp:lineTo x="5076" y="18983"/>
                      <wp:lineTo x="17483" y="18983"/>
                      <wp:lineTo x="17765" y="18983"/>
                      <wp:lineTo x="21713" y="14668"/>
                      <wp:lineTo x="21713" y="11217"/>
                      <wp:lineTo x="19457" y="6903"/>
                      <wp:lineTo x="12689" y="863"/>
                      <wp:lineTo x="4794" y="863"/>
                    </wp:wrapPolygon>
                  </wp:wrapThrough>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1459230" cy="476885"/>
                          </a:xfrm>
                          <a:prstGeom prst="rect">
                            <a:avLst/>
                          </a:prstGeom>
                          <a:noFill/>
                          <a:ln w="9525">
                            <a:noFill/>
                            <a:miter lim="800000"/>
                            <a:headEnd/>
                            <a:tailEnd/>
                          </a:ln>
                        </pic:spPr>
                      </pic:pic>
                    </a:graphicData>
                  </a:graphic>
                </wp:anchor>
              </w:drawing>
            </w:r>
            <w:r w:rsidR="009D5214" w:rsidRPr="009D5214">
              <w:rPr>
                <w:sz w:val="22"/>
                <w:szCs w:val="22"/>
              </w:rPr>
              <w:t>Eh:</w:t>
            </w:r>
            <w:r w:rsidR="009D5214" w:rsidRPr="009D5214">
              <w:rPr>
                <w:b/>
                <w:sz w:val="22"/>
                <w:szCs w:val="22"/>
              </w:rPr>
              <w:t xml:space="preserve">         </w:t>
            </w:r>
          </w:p>
          <w:p w:rsidR="009D5214" w:rsidRPr="009D5214" w:rsidRDefault="009D5214" w:rsidP="009D5214">
            <w:pPr>
              <w:pStyle w:val="BodyText2"/>
              <w:tabs>
                <w:tab w:val="left" w:pos="1332"/>
              </w:tabs>
              <w:spacing w:before="100" w:beforeAutospacing="1" w:after="100" w:afterAutospacing="1"/>
              <w:ind w:left="1339" w:hanging="1339"/>
              <w:rPr>
                <w:b/>
                <w:sz w:val="22"/>
                <w:szCs w:val="22"/>
              </w:rPr>
            </w:pPr>
            <w:r w:rsidRPr="009D5214">
              <w:rPr>
                <w:b/>
                <w:sz w:val="22"/>
                <w:szCs w:val="22"/>
              </w:rPr>
              <w:t xml:space="preserve">             </w:t>
            </w:r>
          </w:p>
        </w:tc>
      </w:tr>
      <w:tr w:rsidR="009D5214" w:rsidRPr="004D5F2B" w:rsidTr="00043B9C">
        <w:trPr>
          <w:trHeight w:val="857"/>
        </w:trPr>
        <w:tc>
          <w:tcPr>
            <w:tcW w:w="3261" w:type="dxa"/>
            <w:vMerge/>
            <w:tcBorders>
              <w:left w:val="double" w:sz="6" w:space="0" w:color="auto"/>
              <w:bottom w:val="double" w:sz="6" w:space="0" w:color="auto"/>
              <w:right w:val="double" w:sz="6" w:space="0" w:color="auto"/>
            </w:tcBorders>
            <w:shd w:val="pct10" w:color="auto" w:fill="auto"/>
            <w:vAlign w:val="center"/>
          </w:tcPr>
          <w:p w:rsidR="009D5214" w:rsidRPr="009D5214" w:rsidRDefault="009D5214" w:rsidP="00E8253A">
            <w:pPr>
              <w:spacing w:before="240"/>
              <w:ind w:left="284"/>
              <w:jc w:val="center"/>
              <w:rPr>
                <w:b/>
                <w:sz w:val="22"/>
                <w:szCs w:val="22"/>
              </w:rPr>
            </w:pPr>
          </w:p>
        </w:tc>
        <w:tc>
          <w:tcPr>
            <w:tcW w:w="3189" w:type="dxa"/>
            <w:tcBorders>
              <w:top w:val="single" w:sz="12" w:space="0" w:color="auto"/>
              <w:left w:val="double" w:sz="6" w:space="0" w:color="auto"/>
              <w:bottom w:val="double" w:sz="6" w:space="0" w:color="auto"/>
              <w:right w:val="double" w:sz="6" w:space="0" w:color="auto"/>
            </w:tcBorders>
          </w:tcPr>
          <w:p w:rsidR="009D5214" w:rsidRPr="009D5214" w:rsidRDefault="009D5214" w:rsidP="009D5214">
            <w:pPr>
              <w:pStyle w:val="BodyText2"/>
              <w:tabs>
                <w:tab w:val="left" w:pos="1332"/>
              </w:tabs>
              <w:spacing w:before="100" w:beforeAutospacing="1" w:after="100" w:afterAutospacing="1"/>
              <w:ind w:left="1339" w:hanging="1339"/>
              <w:rPr>
                <w:sz w:val="22"/>
                <w:szCs w:val="22"/>
              </w:rPr>
            </w:pPr>
          </w:p>
        </w:tc>
        <w:tc>
          <w:tcPr>
            <w:tcW w:w="3190" w:type="dxa"/>
            <w:tcBorders>
              <w:top w:val="single" w:sz="12" w:space="0" w:color="auto"/>
              <w:left w:val="double" w:sz="6" w:space="0" w:color="auto"/>
              <w:bottom w:val="double" w:sz="6" w:space="0" w:color="auto"/>
              <w:right w:val="double" w:sz="6" w:space="0" w:color="auto"/>
            </w:tcBorders>
          </w:tcPr>
          <w:p w:rsidR="009D5214" w:rsidRPr="009D5214" w:rsidRDefault="00043B9C" w:rsidP="00043B9C">
            <w:pPr>
              <w:pStyle w:val="BodyText2"/>
              <w:tabs>
                <w:tab w:val="left" w:pos="1332"/>
              </w:tabs>
              <w:spacing w:before="240" w:after="100" w:afterAutospacing="1"/>
              <w:ind w:left="1339" w:hanging="1339"/>
              <w:rPr>
                <w:sz w:val="22"/>
                <w:szCs w:val="22"/>
              </w:rPr>
            </w:pPr>
            <w:r>
              <w:rPr>
                <w:noProof/>
                <w:sz w:val="22"/>
                <w:szCs w:val="22"/>
                <w:lang w:val="en-US"/>
              </w:rPr>
              <w:drawing>
                <wp:anchor distT="0" distB="0" distL="114300" distR="114300" simplePos="0" relativeHeight="251672576" behindDoc="0" locked="0" layoutInCell="1" allowOverlap="1">
                  <wp:simplePos x="0" y="0"/>
                  <wp:positionH relativeFrom="column">
                    <wp:posOffset>871220</wp:posOffset>
                  </wp:positionH>
                  <wp:positionV relativeFrom="paragraph">
                    <wp:posOffset>217170</wp:posOffset>
                  </wp:positionV>
                  <wp:extent cx="362585" cy="150495"/>
                  <wp:effectExtent l="19050" t="0" r="0" b="0"/>
                  <wp:wrapThrough wrapText="bothSides">
                    <wp:wrapPolygon edited="0">
                      <wp:start x="0" y="2734"/>
                      <wp:lineTo x="-1135" y="13671"/>
                      <wp:lineTo x="21562" y="13671"/>
                      <wp:lineTo x="21562" y="2734"/>
                      <wp:lineTo x="0" y="2734"/>
                    </wp:wrapPolygon>
                  </wp:wrapThrough>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srcRect/>
                          <a:stretch>
                            <a:fillRect/>
                          </a:stretch>
                        </pic:blipFill>
                        <pic:spPr bwMode="auto">
                          <a:xfrm>
                            <a:off x="0" y="0"/>
                            <a:ext cx="362585" cy="150495"/>
                          </a:xfrm>
                          <a:prstGeom prst="rect">
                            <a:avLst/>
                          </a:prstGeom>
                          <a:noFill/>
                          <a:ln w="9525">
                            <a:noFill/>
                            <a:miter lim="800000"/>
                            <a:headEnd/>
                            <a:tailEnd/>
                          </a:ln>
                        </pic:spPr>
                      </pic:pic>
                    </a:graphicData>
                  </a:graphic>
                </wp:anchor>
              </w:drawing>
            </w:r>
            <w:r w:rsidR="009D5214" w:rsidRPr="009D5214">
              <w:rPr>
                <w:sz w:val="22"/>
                <w:szCs w:val="22"/>
              </w:rPr>
              <w:t>HCl:</w:t>
            </w:r>
            <w:r w:rsidR="009D5214" w:rsidRPr="009D5214">
              <w:rPr>
                <w:sz w:val="22"/>
                <w:szCs w:val="22"/>
              </w:rPr>
              <w:tab/>
            </w:r>
          </w:p>
        </w:tc>
      </w:tr>
      <w:tr w:rsidR="009D5214" w:rsidRPr="004D5F2B" w:rsidTr="00E8253A">
        <w:trPr>
          <w:trHeight w:val="443"/>
        </w:trPr>
        <w:tc>
          <w:tcPr>
            <w:tcW w:w="9640" w:type="dxa"/>
            <w:gridSpan w:val="3"/>
            <w:tcBorders>
              <w:top w:val="single" w:sz="12" w:space="0" w:color="auto"/>
              <w:left w:val="double" w:sz="6" w:space="0" w:color="auto"/>
              <w:bottom w:val="single" w:sz="12" w:space="0" w:color="auto"/>
              <w:right w:val="double" w:sz="6" w:space="0" w:color="auto"/>
            </w:tcBorders>
            <w:vAlign w:val="center"/>
          </w:tcPr>
          <w:p w:rsidR="009D5214" w:rsidRPr="00020DAA" w:rsidRDefault="009D5214" w:rsidP="00E8253A">
            <w:pPr>
              <w:spacing w:before="240" w:after="240"/>
              <w:ind w:left="288" w:right="288"/>
              <w:jc w:val="center"/>
              <w:rPr>
                <w:rFonts w:ascii="Times" w:hAnsi="Times"/>
                <w:b/>
                <w:sz w:val="22"/>
                <w:szCs w:val="22"/>
              </w:rPr>
            </w:pPr>
            <w:r w:rsidRPr="00020DAA">
              <w:rPr>
                <w:rFonts w:ascii="Times" w:hAnsi="Times"/>
                <w:b/>
                <w:sz w:val="22"/>
                <w:szCs w:val="22"/>
              </w:rPr>
              <w:t>SUMMARY CONCLUSIONS OF THE SIAR</w:t>
            </w:r>
          </w:p>
          <w:p w:rsidR="009D5214" w:rsidRPr="00020DAA" w:rsidRDefault="009D5214" w:rsidP="00020DAA">
            <w:pPr>
              <w:tabs>
                <w:tab w:val="left" w:pos="9230"/>
              </w:tabs>
              <w:spacing w:after="120"/>
              <w:ind w:left="170" w:right="284"/>
              <w:jc w:val="both"/>
              <w:rPr>
                <w:b/>
                <w:sz w:val="20"/>
                <w:szCs w:val="20"/>
              </w:rPr>
            </w:pPr>
            <w:r w:rsidRPr="00020DAA">
              <w:rPr>
                <w:b/>
                <w:sz w:val="20"/>
                <w:szCs w:val="20"/>
              </w:rPr>
              <w:t>Category/analogue rationale</w:t>
            </w:r>
          </w:p>
          <w:p w:rsidR="009D5214" w:rsidRPr="00020DAA" w:rsidRDefault="009D5214" w:rsidP="00020DAA">
            <w:pPr>
              <w:pStyle w:val="Tabletext"/>
              <w:tabs>
                <w:tab w:val="left" w:pos="9230"/>
              </w:tabs>
              <w:spacing w:before="0" w:after="120"/>
              <w:ind w:left="170" w:right="284"/>
              <w:jc w:val="both"/>
              <w:rPr>
                <w:lang w:val="en-GB" w:eastAsia="ja-JP"/>
              </w:rPr>
            </w:pPr>
            <w:r w:rsidRPr="00020DAA">
              <w:rPr>
                <w:lang w:val="en-GB"/>
              </w:rPr>
              <w:t>T</w:t>
            </w:r>
            <w:r w:rsidRPr="00020DAA">
              <w:rPr>
                <w:bCs/>
                <w:lang w:val="en-GB"/>
              </w:rPr>
              <w:t>he category consists of seven chloroformates: MeCF, EtCF, PrCF, IpCF, SbCF, ObCF and EhCF which are grouped into a category based on similar structure (i.e., the chloroformate group), high reactivity of the chloroformate group and toxicological and environmental effects.</w:t>
            </w:r>
            <w:r w:rsidRPr="00020DAA">
              <w:rPr>
                <w:lang w:val="en-GB"/>
              </w:rPr>
              <w:t xml:space="preserve"> </w:t>
            </w:r>
            <w:r w:rsidRPr="00020DAA">
              <w:rPr>
                <w:bCs/>
                <w:lang w:val="en-GB"/>
              </w:rPr>
              <w:t>The justification for the category is based not only on a similar structure (specifically the –O(C=O)-Cl portion of the molecule) but also a similar mechanism of action which results in similar human health effects (i.e., severe irritation at the point of contact) and environmental effects.  The chloroformate group on the molecule drives the observed irritation rather than the alkyl side chain.</w:t>
            </w:r>
          </w:p>
          <w:p w:rsidR="009D5214" w:rsidRPr="00020DAA" w:rsidRDefault="009D5214" w:rsidP="00020DAA">
            <w:pPr>
              <w:pStyle w:val="Tabletext"/>
              <w:tabs>
                <w:tab w:val="left" w:pos="9230"/>
              </w:tabs>
              <w:spacing w:before="0" w:after="120"/>
              <w:ind w:left="170" w:right="284"/>
              <w:jc w:val="both"/>
              <w:rPr>
                <w:lang w:val="en-GB" w:eastAsia="de-DE"/>
              </w:rPr>
            </w:pPr>
            <w:r w:rsidRPr="00020DAA">
              <w:rPr>
                <w:lang w:val="en-GB"/>
              </w:rPr>
              <w:t xml:space="preserve">The </w:t>
            </w:r>
            <w:r w:rsidRPr="00020DAA">
              <w:rPr>
                <w:lang w:val="en-GB" w:eastAsia="ja-JP"/>
              </w:rPr>
              <w:t>chloroformate</w:t>
            </w:r>
            <w:r w:rsidRPr="00020DAA">
              <w:rPr>
                <w:lang w:val="en-GB"/>
              </w:rPr>
              <w:t xml:space="preserve"> group (i.e., -O(C=O</w:t>
            </w:r>
            <w:proofErr w:type="gramStart"/>
            <w:r w:rsidRPr="00020DAA">
              <w:rPr>
                <w:lang w:val="en-GB"/>
              </w:rPr>
              <w:t>)Cl</w:t>
            </w:r>
            <w:proofErr w:type="gramEnd"/>
            <w:r w:rsidRPr="00020DAA">
              <w:rPr>
                <w:lang w:val="en-GB"/>
              </w:rPr>
              <w:t xml:space="preserve">) is the most active functional group and determines many aspects of the behaviour of the category members.  </w:t>
            </w:r>
            <w:r w:rsidRPr="00020DAA">
              <w:rPr>
                <w:lang w:val="en-GB" w:eastAsia="ja-JP"/>
              </w:rPr>
              <w:t>Hydrolysis</w:t>
            </w:r>
            <w:r w:rsidRPr="00020DAA">
              <w:rPr>
                <w:bCs/>
                <w:lang w:val="en-GB"/>
              </w:rPr>
              <w:t xml:space="preserve"> is the primary reaction in aqueous systems and has been shown to occur very quickly (Half-life ≤ 30 min). </w:t>
            </w:r>
            <w:r w:rsidRPr="00020DAA">
              <w:rPr>
                <w:lang w:val="en-GB" w:eastAsia="de-DE"/>
              </w:rPr>
              <w:t>All category members hydrolyze in the presence of water or moisture to form hydrochloric acid (HCl), carbon dioxide (CO</w:t>
            </w:r>
            <w:r w:rsidRPr="00020DAA">
              <w:rPr>
                <w:vertAlign w:val="subscript"/>
                <w:lang w:val="en-GB" w:eastAsia="de-DE"/>
              </w:rPr>
              <w:t>2</w:t>
            </w:r>
            <w:r w:rsidRPr="00020DAA">
              <w:rPr>
                <w:lang w:val="en-GB" w:eastAsia="de-DE"/>
              </w:rPr>
              <w:t>) and the corresponding alcohol (see above) according to the following reaction:</w:t>
            </w:r>
          </w:p>
          <w:p w:rsidR="009D5214" w:rsidRPr="00020DAA" w:rsidRDefault="009D5214" w:rsidP="00020DAA">
            <w:pPr>
              <w:pStyle w:val="Tabletext"/>
              <w:tabs>
                <w:tab w:val="left" w:pos="9230"/>
              </w:tabs>
              <w:spacing w:before="0" w:after="120"/>
              <w:ind w:left="170" w:right="284"/>
              <w:jc w:val="both"/>
              <w:rPr>
                <w:vertAlign w:val="subscript"/>
                <w:lang w:val="en-GB" w:eastAsia="de-DE"/>
              </w:rPr>
            </w:pPr>
            <w:r w:rsidRPr="00020DAA">
              <w:rPr>
                <w:lang w:val="en-GB" w:eastAsia="de-DE"/>
              </w:rPr>
              <w:t>R-O(C=O)Cl + H</w:t>
            </w:r>
            <w:r w:rsidRPr="00020DAA">
              <w:rPr>
                <w:vertAlign w:val="subscript"/>
                <w:lang w:val="en-GB" w:eastAsia="de-DE"/>
              </w:rPr>
              <w:t>2</w:t>
            </w:r>
            <w:r w:rsidRPr="00020DAA">
              <w:rPr>
                <w:lang w:val="en-GB" w:eastAsia="de-DE"/>
              </w:rPr>
              <w:t xml:space="preserve">O </w:t>
            </w:r>
            <w:r w:rsidRPr="00020DAA">
              <w:rPr>
                <w:lang w:val="en-GB" w:eastAsia="de-DE"/>
              </w:rPr>
              <w:sym w:font="Symbol" w:char="F0AE"/>
            </w:r>
            <w:r w:rsidRPr="00020DAA">
              <w:rPr>
                <w:lang w:val="en-GB" w:eastAsia="de-DE"/>
              </w:rPr>
              <w:t xml:space="preserve"> R-OH + HCl + CO</w:t>
            </w:r>
            <w:r w:rsidRPr="00020DAA">
              <w:rPr>
                <w:vertAlign w:val="subscript"/>
                <w:lang w:val="en-GB" w:eastAsia="de-DE"/>
              </w:rPr>
              <w:t>2</w:t>
            </w:r>
          </w:p>
          <w:p w:rsidR="009D5214" w:rsidRPr="00020DAA" w:rsidRDefault="009D5214" w:rsidP="00020DAA">
            <w:pPr>
              <w:pStyle w:val="EndnoteText"/>
              <w:tabs>
                <w:tab w:val="left" w:pos="9230"/>
              </w:tabs>
              <w:spacing w:after="120"/>
              <w:ind w:left="170" w:right="284"/>
              <w:jc w:val="both"/>
            </w:pPr>
            <w:r w:rsidRPr="00020DAA">
              <w:rPr>
                <w:bCs/>
              </w:rPr>
              <w:t xml:space="preserve">For human health, the chloroformates </w:t>
            </w:r>
            <w:r w:rsidRPr="00020DAA">
              <w:t>react and/or hydrolyze at the portal of entry resulting in localized injury.  Systemic absorption is expected to be low.  However, data for HCl and the corresponding alcohols are available to address potential systemic toxicity.  Available toxicological data for the sponsored substances, supplemented by data for the hydrolysis products, support the grouping of these chemicals into a category.</w:t>
            </w:r>
          </w:p>
          <w:p w:rsidR="009D5214" w:rsidRPr="00020DAA" w:rsidRDefault="009D5214" w:rsidP="00020DAA">
            <w:pPr>
              <w:tabs>
                <w:tab w:val="left" w:pos="9230"/>
              </w:tabs>
              <w:spacing w:after="120"/>
              <w:ind w:left="170" w:right="284"/>
              <w:jc w:val="both"/>
              <w:rPr>
                <w:rFonts w:eastAsia="MS Mincho"/>
                <w:sz w:val="20"/>
                <w:szCs w:val="20"/>
                <w:lang w:val="en-CA" w:eastAsia="ja-JP"/>
              </w:rPr>
            </w:pPr>
            <w:r w:rsidRPr="00020DAA">
              <w:rPr>
                <w:sz w:val="20"/>
                <w:szCs w:val="20"/>
              </w:rPr>
              <w:t xml:space="preserve">Where appropriate, read-across or data for the corresponding alcohol and HCl are used to address physico-chemical, environmental fate and aquatic toxicity endpoints, and the reproductive toxicity endpoint for human health.  Except for propanol, all hydrolysis products have been previously assessed in the OECD HPV Programme </w:t>
            </w:r>
            <w:r w:rsidRPr="00020DAA">
              <w:rPr>
                <w:rFonts w:eastAsia="MS Mincho"/>
                <w:sz w:val="20"/>
                <w:szCs w:val="20"/>
                <w:lang w:eastAsia="ja-JP"/>
              </w:rPr>
              <w:t>(</w:t>
            </w:r>
            <w:hyperlink r:id="rId26" w:history="1">
              <w:r w:rsidRPr="00020DAA">
                <w:rPr>
                  <w:rFonts w:eastAsia="MS Mincho"/>
                  <w:color w:val="0000FF"/>
                  <w:sz w:val="20"/>
                  <w:szCs w:val="20"/>
                  <w:u w:val="single"/>
                  <w:lang w:eastAsia="ja-JP"/>
                </w:rPr>
                <w:t>http://webnet.oecd.org/hpv/ui/Search.aspx</w:t>
              </w:r>
            </w:hyperlink>
            <w:r w:rsidRPr="00020DAA">
              <w:rPr>
                <w:rFonts w:eastAsia="MS Mincho"/>
                <w:sz w:val="20"/>
                <w:szCs w:val="20"/>
                <w:lang w:eastAsia="ja-JP"/>
              </w:rPr>
              <w:t xml:space="preserve">). </w:t>
            </w:r>
            <w:commentRangeStart w:id="2"/>
            <w:r w:rsidRPr="00020DAA">
              <w:rPr>
                <w:sz w:val="20"/>
                <w:szCs w:val="20"/>
              </w:rPr>
              <w:t xml:space="preserve">Diethylene glycol is a member of the Ethylene Glycol category. These documents are available via the OECD Existing Chemicals Database at </w:t>
            </w:r>
            <w:hyperlink r:id="rId27" w:history="1">
              <w:r w:rsidRPr="00020DAA">
                <w:rPr>
                  <w:color w:val="0000FF"/>
                  <w:sz w:val="20"/>
                  <w:szCs w:val="20"/>
                  <w:u w:val="single"/>
                  <w:lang w:eastAsia="ja-JP"/>
                </w:rPr>
                <w:t>http://webnet.oecd.org/hpv/UI/SIDS_Details.aspx?Key=ac0359d3-c5c1-402b-9c47-14f61efd98e0&amp;idx=0</w:t>
              </w:r>
            </w:hyperlink>
            <w:r w:rsidR="00BB0749" w:rsidRPr="00BB0749">
              <w:rPr>
                <w:sz w:val="20"/>
                <w:szCs w:val="20"/>
                <w:lang w:eastAsia="ja-JP"/>
              </w:rPr>
              <w:fldChar w:fldCharType="begin"/>
            </w:r>
            <w:r w:rsidRPr="00020DAA">
              <w:rPr>
                <w:sz w:val="20"/>
                <w:szCs w:val="20"/>
                <w:lang w:eastAsia="ja-JP"/>
              </w:rPr>
              <w:instrText xml:space="preserve"> http://www.chem.unep.ch/irptc/sids/OECDSIDS/7647010.pdf </w:instrText>
            </w:r>
            <w:r w:rsidR="00BB0749" w:rsidRPr="00BB0749">
              <w:rPr>
                <w:sz w:val="20"/>
                <w:szCs w:val="20"/>
                <w:lang w:eastAsia="ja-JP"/>
              </w:rPr>
              <w:fldChar w:fldCharType="separate"/>
            </w:r>
            <w:r w:rsidRPr="00020DAA">
              <w:rPr>
                <w:sz w:val="20"/>
                <w:szCs w:val="20"/>
                <w:u w:val="single"/>
                <w:lang w:eastAsia="ja-JP"/>
              </w:rPr>
              <w:t>http://www.chem.unep.ch/irptc/sids/OECDSIDS/64175.pdf</w:t>
            </w:r>
            <w:r w:rsidR="00BB0749" w:rsidRPr="00020DAA">
              <w:rPr>
                <w:sz w:val="20"/>
                <w:szCs w:val="20"/>
                <w:lang w:val="en-CA" w:eastAsia="ja-JP"/>
              </w:rPr>
              <w:fldChar w:fldCharType="end"/>
            </w:r>
            <w:r w:rsidRPr="00020DAA">
              <w:rPr>
                <w:sz w:val="20"/>
                <w:szCs w:val="20"/>
                <w:lang w:eastAsia="ja-JP"/>
              </w:rPr>
              <w:t xml:space="preserve">.  </w:t>
            </w:r>
            <w:commentRangeEnd w:id="2"/>
            <w:r w:rsidRPr="00020DAA">
              <w:rPr>
                <w:rStyle w:val="CommentReference"/>
                <w:sz w:val="20"/>
                <w:szCs w:val="20"/>
              </w:rPr>
              <w:commentReference w:id="2"/>
            </w:r>
            <w:r w:rsidRPr="00020DAA">
              <w:rPr>
                <w:sz w:val="20"/>
                <w:szCs w:val="20"/>
              </w:rPr>
              <w:t>1-Propanol was extensively evaluated under the EU 2</w:t>
            </w:r>
            <w:r w:rsidRPr="00020DAA">
              <w:rPr>
                <w:sz w:val="20"/>
                <w:szCs w:val="20"/>
                <w:vertAlign w:val="superscript"/>
              </w:rPr>
              <w:t>nd</w:t>
            </w:r>
            <w:r w:rsidRPr="00020DAA">
              <w:rPr>
                <w:sz w:val="20"/>
                <w:szCs w:val="20"/>
              </w:rPr>
              <w:t xml:space="preserve"> priority list of existing substances. The Risk Assessment Report is available at </w:t>
            </w:r>
            <w:hyperlink r:id="rId29" w:history="1">
              <w:r w:rsidRPr="00020DAA">
                <w:rPr>
                  <w:rStyle w:val="Hyperlink"/>
                </w:rPr>
                <w:t>http://ecb.jrc.ec.europa.eu/esis/</w:t>
              </w:r>
            </w:hyperlink>
            <w:r w:rsidRPr="00020DAA">
              <w:rPr>
                <w:sz w:val="20"/>
                <w:szCs w:val="20"/>
              </w:rPr>
              <w:t>.</w:t>
            </w:r>
          </w:p>
          <w:p w:rsidR="009D5214" w:rsidRPr="00020DAA" w:rsidRDefault="009D5214" w:rsidP="00020DAA">
            <w:pPr>
              <w:pStyle w:val="EndnoteText"/>
              <w:tabs>
                <w:tab w:val="left" w:pos="9230"/>
              </w:tabs>
              <w:spacing w:after="120"/>
              <w:ind w:left="170" w:right="284"/>
              <w:jc w:val="both"/>
              <w:rPr>
                <w:b/>
              </w:rPr>
            </w:pPr>
            <w:r w:rsidRPr="00020DAA">
              <w:rPr>
                <w:b/>
              </w:rPr>
              <w:t>Physical-chemical properties</w:t>
            </w:r>
          </w:p>
          <w:p w:rsidR="009D5214" w:rsidRPr="00020DAA" w:rsidRDefault="009D5214" w:rsidP="00020DAA">
            <w:pPr>
              <w:pStyle w:val="Tabletext"/>
              <w:tabs>
                <w:tab w:val="left" w:pos="9230"/>
              </w:tabs>
              <w:spacing w:before="0" w:after="120"/>
              <w:ind w:left="170" w:right="284"/>
              <w:jc w:val="both"/>
              <w:rPr>
                <w:b/>
                <w:lang w:val="en-GB"/>
              </w:rPr>
            </w:pPr>
            <w:r w:rsidRPr="00020DAA">
              <w:rPr>
                <w:bCs/>
                <w:i/>
                <w:lang w:val="en-GB"/>
              </w:rPr>
              <w:t>Category members</w:t>
            </w:r>
          </w:p>
          <w:p w:rsidR="009D5214" w:rsidRPr="00020DAA" w:rsidRDefault="009D5214" w:rsidP="00020DAA">
            <w:pPr>
              <w:pStyle w:val="Tabletext"/>
              <w:tabs>
                <w:tab w:val="left" w:pos="9230"/>
              </w:tabs>
              <w:spacing w:before="0" w:after="120"/>
              <w:ind w:left="170" w:right="284"/>
              <w:jc w:val="both"/>
              <w:rPr>
                <w:lang w:val="en-GB" w:eastAsia="ja-JP"/>
              </w:rPr>
            </w:pPr>
            <w:r w:rsidRPr="00020DAA">
              <w:rPr>
                <w:lang w:val="en-GB" w:eastAsia="ja-JP"/>
              </w:rPr>
              <w:t>The category members are colourless liquids with measured melting points of &lt;-81 to &lt;-20 °C, except for ObCF which has a measured melting point of 5-6 °C.  The measured boiling points range from 71 °C (MeCF) to 264.5 °C (ObCF). SbCF, ObCF and EhCF decompose before boiling. A  vapour pressure of &lt; 1 hPa was determined for ObCF, whereas the measured vapour pressures of the other category members are between 21.7 hPa (EhCF, 25 °C) and 137.5 hPa (MeCF, 20 °C). Adequate data on the log K</w:t>
            </w:r>
            <w:r w:rsidRPr="00020DAA">
              <w:rPr>
                <w:vertAlign w:val="subscript"/>
                <w:lang w:val="en-GB" w:eastAsia="ja-JP"/>
              </w:rPr>
              <w:t>ow</w:t>
            </w:r>
            <w:r w:rsidRPr="00020DAA">
              <w:rPr>
                <w:lang w:val="en-GB" w:eastAsia="ja-JP"/>
              </w:rPr>
              <w:t xml:space="preserve"> were not available; read-across from the hydrolysis products is provided. Water solubility ranged from 3 mg/L (20 °C, measured) for ObCF to 49 mg/L for EhCF (25 °C, calculated), and to higher values for other members (1.1 x10</w:t>
            </w:r>
            <w:r w:rsidRPr="00020DAA">
              <w:rPr>
                <w:vertAlign w:val="superscript"/>
                <w:lang w:val="en-GB" w:eastAsia="ja-JP"/>
              </w:rPr>
              <w:t>4</w:t>
            </w:r>
            <w:r w:rsidRPr="00020DAA">
              <w:rPr>
                <w:lang w:val="en-GB" w:eastAsia="ja-JP"/>
              </w:rPr>
              <w:t xml:space="preserve"> – </w:t>
            </w:r>
            <w:r w:rsidRPr="00020DAA">
              <w:rPr>
                <w:bCs/>
                <w:lang w:val="en-GB"/>
              </w:rPr>
              <w:t>9.3 x10</w:t>
            </w:r>
            <w:r w:rsidRPr="00020DAA">
              <w:rPr>
                <w:bCs/>
                <w:vertAlign w:val="superscript"/>
                <w:lang w:val="en-GB"/>
              </w:rPr>
              <w:t>5</w:t>
            </w:r>
            <w:r w:rsidRPr="00020DAA">
              <w:rPr>
                <w:bCs/>
                <w:lang w:val="en-GB"/>
              </w:rPr>
              <w:t xml:space="preserve"> mg/L, 25 °C).</w:t>
            </w:r>
          </w:p>
          <w:p w:rsidR="009D5214" w:rsidRPr="00020DAA" w:rsidRDefault="009D5214" w:rsidP="00020DAA">
            <w:pPr>
              <w:pStyle w:val="Tabletext"/>
              <w:tabs>
                <w:tab w:val="left" w:pos="9230"/>
              </w:tabs>
              <w:spacing w:before="0" w:after="120"/>
              <w:ind w:left="170" w:right="284"/>
              <w:jc w:val="both"/>
              <w:rPr>
                <w:bCs/>
                <w:lang w:val="en-GB"/>
              </w:rPr>
            </w:pPr>
            <w:r w:rsidRPr="00020DAA">
              <w:rPr>
                <w:bCs/>
                <w:i/>
                <w:lang w:val="en-GB"/>
              </w:rPr>
              <w:t>Hydrolysis products</w:t>
            </w:r>
          </w:p>
          <w:p w:rsidR="009D5214" w:rsidRPr="00020DAA" w:rsidRDefault="009D5214" w:rsidP="00020DAA">
            <w:pPr>
              <w:pStyle w:val="Tabletext"/>
              <w:tabs>
                <w:tab w:val="left" w:pos="9230"/>
              </w:tabs>
              <w:spacing w:before="0" w:after="120"/>
              <w:ind w:left="170" w:right="284"/>
              <w:jc w:val="both"/>
              <w:rPr>
                <w:bCs/>
                <w:lang w:val="en-GB"/>
              </w:rPr>
            </w:pPr>
            <w:r w:rsidRPr="00020DAA">
              <w:rPr>
                <w:bCs/>
                <w:lang w:val="en-GB"/>
              </w:rPr>
              <w:t>The measured log K</w:t>
            </w:r>
            <w:r w:rsidRPr="00020DAA">
              <w:rPr>
                <w:bCs/>
                <w:vertAlign w:val="subscript"/>
                <w:lang w:val="en-GB"/>
              </w:rPr>
              <w:t>ow</w:t>
            </w:r>
            <w:r w:rsidRPr="00020DAA">
              <w:rPr>
                <w:bCs/>
                <w:lang w:val="en-GB"/>
              </w:rPr>
              <w:t xml:space="preserve">s of the hydrolysis products are Me -0.74, Et -0.31, </w:t>
            </w:r>
            <w:proofErr w:type="gramStart"/>
            <w:r w:rsidRPr="00020DAA">
              <w:rPr>
                <w:bCs/>
                <w:lang w:val="en-GB"/>
              </w:rPr>
              <w:t>Pr  0.34</w:t>
            </w:r>
            <w:proofErr w:type="gramEnd"/>
            <w:r w:rsidRPr="00020DAA">
              <w:rPr>
                <w:bCs/>
                <w:lang w:val="en-GB"/>
              </w:rPr>
              <w:t>, Ip  0.05 (25</w:t>
            </w:r>
            <w:r w:rsidRPr="00020DAA">
              <w:rPr>
                <w:bCs/>
                <w:vertAlign w:val="superscript"/>
                <w:lang w:val="en-GB"/>
              </w:rPr>
              <w:t>o</w:t>
            </w:r>
            <w:r w:rsidRPr="00020DAA">
              <w:rPr>
                <w:bCs/>
                <w:lang w:val="en-GB"/>
              </w:rPr>
              <w:t>C), Sb  0.61 (20</w:t>
            </w:r>
            <w:r w:rsidRPr="00020DAA">
              <w:rPr>
                <w:bCs/>
                <w:vertAlign w:val="superscript"/>
                <w:lang w:val="en-GB"/>
              </w:rPr>
              <w:t>0</w:t>
            </w:r>
            <w:r w:rsidRPr="00020DAA">
              <w:rPr>
                <w:bCs/>
                <w:lang w:val="en-GB"/>
              </w:rPr>
              <w:t>C), DEG  -1.98/-1.47 and Eh  2.97 (25</w:t>
            </w:r>
            <w:r w:rsidRPr="00020DAA">
              <w:rPr>
                <w:bCs/>
                <w:vertAlign w:val="superscript"/>
                <w:lang w:val="en-GB"/>
              </w:rPr>
              <w:t>o</w:t>
            </w:r>
            <w:r w:rsidRPr="00020DAA">
              <w:rPr>
                <w:bCs/>
                <w:lang w:val="en-GB"/>
              </w:rPr>
              <w:t>C).</w:t>
            </w:r>
          </w:p>
          <w:p w:rsidR="009D5214" w:rsidRPr="00020DAA" w:rsidRDefault="009D5214" w:rsidP="00020DAA">
            <w:pPr>
              <w:pStyle w:val="Tabletext"/>
              <w:tabs>
                <w:tab w:val="left" w:pos="9230"/>
              </w:tabs>
              <w:spacing w:before="0" w:after="240"/>
              <w:ind w:left="170" w:right="284"/>
              <w:jc w:val="both"/>
              <w:rPr>
                <w:lang w:val="en-GB" w:eastAsia="ja-JP"/>
              </w:rPr>
            </w:pPr>
            <w:r w:rsidRPr="00020DAA">
              <w:rPr>
                <w:bCs/>
                <w:lang w:val="en-GB"/>
              </w:rPr>
              <w:t>These compounds are fully miscible with water, and the water solubility of Eh was experimentally determined to be 400 – 1000 mg/L (20 °C).</w:t>
            </w:r>
          </w:p>
          <w:p w:rsidR="009D5214" w:rsidRPr="00020DAA" w:rsidRDefault="009D5214" w:rsidP="00020DAA">
            <w:pPr>
              <w:tabs>
                <w:tab w:val="left" w:pos="9230"/>
              </w:tabs>
              <w:spacing w:after="120"/>
              <w:ind w:left="170" w:right="284"/>
              <w:jc w:val="both"/>
              <w:rPr>
                <w:b/>
                <w:sz w:val="20"/>
                <w:szCs w:val="20"/>
              </w:rPr>
            </w:pPr>
            <w:r w:rsidRPr="00020DAA">
              <w:rPr>
                <w:b/>
                <w:sz w:val="20"/>
                <w:szCs w:val="20"/>
              </w:rPr>
              <w:t>Human Health</w:t>
            </w:r>
          </w:p>
          <w:p w:rsidR="009D5214" w:rsidRPr="00020DAA" w:rsidRDefault="009D5214" w:rsidP="00020DAA">
            <w:pPr>
              <w:pStyle w:val="NormalWeb"/>
              <w:tabs>
                <w:tab w:val="left" w:pos="9230"/>
              </w:tabs>
              <w:spacing w:before="0" w:beforeAutospacing="0" w:after="120" w:afterAutospacing="0"/>
              <w:ind w:left="170" w:right="284"/>
              <w:jc w:val="both"/>
              <w:rPr>
                <w:bCs/>
                <w:sz w:val="20"/>
                <w:szCs w:val="20"/>
                <w:lang w:val="en-GB"/>
              </w:rPr>
            </w:pPr>
            <w:r w:rsidRPr="00020DAA">
              <w:rPr>
                <w:bCs/>
                <w:sz w:val="20"/>
                <w:szCs w:val="20"/>
                <w:lang w:val="en-GB"/>
              </w:rPr>
              <w:t>No toxicokinetics data were available for the chloroformates; however, hydrolysis of these substances is expected to produce hydrochloric acid (HCl), carbon dioxide (CO2) and the corresponding alcohols.</w:t>
            </w:r>
          </w:p>
          <w:p w:rsidR="009D5214" w:rsidRPr="00020DAA" w:rsidRDefault="009D5214" w:rsidP="00020DAA">
            <w:pPr>
              <w:pStyle w:val="NormalWeb"/>
              <w:tabs>
                <w:tab w:val="left" w:pos="9230"/>
              </w:tabs>
              <w:spacing w:before="0" w:beforeAutospacing="0" w:after="120" w:afterAutospacing="0"/>
              <w:ind w:left="170" w:right="284"/>
              <w:jc w:val="both"/>
              <w:rPr>
                <w:sz w:val="20"/>
                <w:szCs w:val="20"/>
                <w:lang w:val="en-GB"/>
              </w:rPr>
            </w:pPr>
            <w:r w:rsidRPr="00020DAA">
              <w:rPr>
                <w:bCs/>
                <w:sz w:val="20"/>
                <w:szCs w:val="20"/>
                <w:lang w:val="en-GB"/>
              </w:rPr>
              <w:t xml:space="preserve">The acute toxic effects of the chloroformates are primarily local caustic/irritating effects at the site of contact. </w:t>
            </w:r>
            <w:r w:rsidRPr="00020DAA">
              <w:rPr>
                <w:sz w:val="20"/>
                <w:szCs w:val="20"/>
                <w:lang w:val="en-GB"/>
              </w:rPr>
              <w:t>Acute inhalation studies are available for the chloroformates category.  LC</w:t>
            </w:r>
            <w:r w:rsidRPr="00020DAA">
              <w:rPr>
                <w:sz w:val="20"/>
                <w:szCs w:val="20"/>
                <w:vertAlign w:val="subscript"/>
                <w:lang w:val="en-GB"/>
              </w:rPr>
              <w:t>50</w:t>
            </w:r>
            <w:r w:rsidRPr="00020DAA">
              <w:rPr>
                <w:sz w:val="20"/>
                <w:szCs w:val="20"/>
                <w:lang w:val="en-GB"/>
              </w:rPr>
              <w:t>s in the rat range from 0.46 (MeCF) to &gt; 2.5 (ObCF) mg/L after 1-hour exposures and from 0.06 (MeCF) to &lt; 2.33 (SbCF) mg/L after 4-hour exposures. Clinical findings include bloody/nasal discharge, dyspnoea, gasping, and irregular respiration. Hyperaemic, oedematous, red/haemorrhagic lungs were found at necropsy for multiple chloroformates. Lesser clinical symptoms included hydrothorax and emphysema. By the dermal route, the LD</w:t>
            </w:r>
            <w:r w:rsidRPr="00020DAA">
              <w:rPr>
                <w:sz w:val="20"/>
                <w:szCs w:val="20"/>
                <w:vertAlign w:val="subscript"/>
                <w:lang w:val="en-GB"/>
              </w:rPr>
              <w:t>50</w:t>
            </w:r>
            <w:r w:rsidRPr="00020DAA">
              <w:rPr>
                <w:sz w:val="20"/>
                <w:szCs w:val="20"/>
                <w:lang w:val="en-GB"/>
              </w:rPr>
              <w:t>s &gt;2000 mg/kg bw in rabbits; however, the chloroformates are very irritating and corrosive to the skin. With the exception of EhCF, there were no other gross pathologic findings. For EhCF, focal</w:t>
            </w:r>
            <w:r w:rsidRPr="00020DAA">
              <w:rPr>
                <w:sz w:val="20"/>
                <w:szCs w:val="20"/>
                <w:lang w:val="en-GB" w:eastAsia="en-US"/>
              </w:rPr>
              <w:t xml:space="preserve"> haemorrhages were observed in the lung and red lungs.  </w:t>
            </w:r>
            <w:r w:rsidRPr="00020DAA">
              <w:rPr>
                <w:sz w:val="20"/>
                <w:szCs w:val="20"/>
                <w:lang w:val="en-GB"/>
              </w:rPr>
              <w:t>The acute oral toxicity for category members in the rat ranges from 40 mg/kg bw (MeCF) up to 3038 mg/kg bw (EhCF) when given undiluted or as an aqueous solution. The acute oral toxicity of the sponsored substances is lower when applied in olive oil and ranges from 313 mg/kg bw (MeCF) up to 5420 mg/kg bw (EhCF) in rats. Clinical signs of toxicity included gastrointestinal irritation, necrosis and haemorrhage.</w:t>
            </w:r>
          </w:p>
          <w:p w:rsidR="009D5214" w:rsidRPr="00020DAA" w:rsidRDefault="009D5214" w:rsidP="00020DAA">
            <w:pPr>
              <w:pStyle w:val="Tabletext"/>
              <w:tabs>
                <w:tab w:val="left" w:pos="9230"/>
              </w:tabs>
              <w:spacing w:before="0" w:after="120"/>
              <w:ind w:left="170" w:right="284"/>
              <w:jc w:val="both"/>
              <w:rPr>
                <w:bCs/>
                <w:lang w:val="en-GB"/>
              </w:rPr>
            </w:pPr>
            <w:r w:rsidRPr="00020DAA">
              <w:rPr>
                <w:bCs/>
                <w:lang w:val="en-GB"/>
              </w:rPr>
              <w:t>With the exception of EhCF, all of the sponsored chloroformates caused irreversible damage to the eye in animal tests. Experimental data suggest that chloroformates are moderately to extremely irritating/corrosive to the skin. Corrosive effects have been observed for MeCF, EtCf and PrCF. IpCF, SbCF and ObCF are moderately to severely irritating to the skin of rabbits. EhCF was moderately irritating in one study and corrosive in a second study.  The upper respiratory tract irritation observed in rats and mice for these materials is also believed to be due to liberation of HCl.  Chloroformates in the vapour phase may hydrolyze due to the water vapour present in the ambient air, water vapour present in the humid inhaled air in the respiratory tract, or upon contact with the mucous layer of the airways.  Sensitisation data were not available for the chloroformates category.</w:t>
            </w:r>
          </w:p>
          <w:p w:rsidR="009D5214" w:rsidRPr="00020DAA" w:rsidRDefault="009D5214" w:rsidP="00020DAA">
            <w:pPr>
              <w:pStyle w:val="BodyText"/>
              <w:tabs>
                <w:tab w:val="left" w:pos="9230"/>
              </w:tabs>
              <w:spacing w:after="120"/>
              <w:ind w:left="170" w:right="284"/>
              <w:rPr>
                <w:sz w:val="20"/>
              </w:rPr>
            </w:pPr>
            <w:r w:rsidRPr="00020DAA">
              <w:rPr>
                <w:sz w:val="20"/>
              </w:rPr>
              <w:t>Repeated-dose inhalation toxicity studies are available for MeCF (28- and 90-days), EtCF (28-day), and IpCF (28-day).  In these repeated-dose studies, the inflammatory response in the respiratory tract was severe and mortality occurred at the highest exposure concentrations. Toxicity to tissues other than the respiratory tract was not noted at concentrations up to approximately 35 ppm (0.0120 mg/L/day) of MeCF, EtCF, and IpCF.  In a repeated dose inhalation toxicity study following OECD TG 412, MeCF was administered via inhalation by whole body exposure to rats (5/sex/concentration) at 0 (air), 0.00052, 0.0015, 0.0039, 0.0012, or 0.035 mg/L/day, for 6 hours/day, 5 days/weeks for 28 days.  Based on no treatment-related effects to the respiratory tract, the local 28-day NOAEC for MeCF was 0.0039 mg/L/day; based on mortality, decreased body weight and food consumption and changes in haematological/clinical chemistry parameters at 0.035 mg/L/day, the systemic 28-day NOAEC for MeCF was 0.012 mg/L/day. In a repeated-dose inhalation toxicity study following OECD TG 413 (but without haematology or clinical chemistry evaluation and focusing on respiratory tract irritation), MeCF was administered via inhalation by whole body exposure to rats (10/sex/concentration) at 0 (air), 0.0016, 0.0078, 0.0157, or 0.0307 mg/L/day, for 6 hours/day, 5 days/weeks for 3, 10, 20 and 65 exposures (90-day study with interim necropsies after 3, 14 and 28 study days).  Based on substance-related pathological alterations and changes in DNA replication in the respiratory tract at 0.0078 mg/L/day and above, the local 90-day NOAEC for MeCF was 0.0016 mg/L/day; based on significant weight loss at 0.0157  mg/L/day, the systemic 90-day NOAEC for MeCF was 0.0078 mg/L/day.  In a repeated-dose inhalation toxicity study comparable to OECD TG 412, IpCF was administered via inhalation by whole body exposure to rats (10/sex/concentration) at 0 (air), 0.021, 0.062 or 0.181 mg/L/day (analytical concentrations), for 6 hours/day, 5 days/weeks for 28 days.  Based on effects to the respiratory tract at 0.062 mg/L/day and above, the 28-day local NOAEC for IpCF is 0.021 mg/L/day; based on treatment-related effects to the lungs and thyroid and decreased body weight gain and food consumption at 0.181 mg/L/day, the 28-day systemic NOAEC for IpCF is 0.062 mg/L/day.</w:t>
            </w:r>
          </w:p>
          <w:p w:rsidR="009D5214" w:rsidRPr="00020DAA" w:rsidRDefault="009D5214" w:rsidP="00020DAA">
            <w:pPr>
              <w:pStyle w:val="BodyText"/>
              <w:tabs>
                <w:tab w:val="left" w:pos="9230"/>
              </w:tabs>
              <w:spacing w:after="120"/>
              <w:ind w:left="170" w:right="284"/>
              <w:rPr>
                <w:sz w:val="20"/>
              </w:rPr>
            </w:pPr>
            <w:r w:rsidRPr="00020DAA">
              <w:rPr>
                <w:sz w:val="20"/>
              </w:rPr>
              <w:t xml:space="preserve">The chloroformates category members are not mutagenic </w:t>
            </w:r>
            <w:r w:rsidRPr="00020DAA">
              <w:rPr>
                <w:i/>
                <w:sz w:val="20"/>
              </w:rPr>
              <w:t>in vitro</w:t>
            </w:r>
            <w:r w:rsidRPr="00020DAA">
              <w:rPr>
                <w:sz w:val="20"/>
              </w:rPr>
              <w:t xml:space="preserve">, with the exception of MeCF, which was positive for chromosomal aberrations in the presence of metabolic activation.  The alcohol moiety hydrolysis products did not induce chromosomal aberrations </w:t>
            </w:r>
            <w:r w:rsidRPr="00020DAA">
              <w:rPr>
                <w:i/>
                <w:sz w:val="20"/>
              </w:rPr>
              <w:t>in vitro</w:t>
            </w:r>
            <w:r w:rsidRPr="00020DAA">
              <w:rPr>
                <w:sz w:val="20"/>
              </w:rPr>
              <w:t xml:space="preserve">.  Positive results have been obtained in the </w:t>
            </w:r>
            <w:r w:rsidRPr="00020DAA">
              <w:rPr>
                <w:i/>
                <w:sz w:val="20"/>
              </w:rPr>
              <w:t>in vitro</w:t>
            </w:r>
            <w:r w:rsidRPr="00020DAA">
              <w:rPr>
                <w:sz w:val="20"/>
              </w:rPr>
              <w:t xml:space="preserve"> chromosome aberration test with HCl; however, the positive results were considered to be the effect of low pH or cytotoxicity.  The hydrolysis products, Et and Pr, did not induce chromosomal aberrations </w:t>
            </w:r>
            <w:r w:rsidRPr="00020DAA">
              <w:rPr>
                <w:i/>
                <w:sz w:val="20"/>
              </w:rPr>
              <w:t>in vivo</w:t>
            </w:r>
            <w:r w:rsidRPr="00020DAA">
              <w:rPr>
                <w:sz w:val="20"/>
              </w:rPr>
              <w:t xml:space="preserve">.  The hydrolysis products, Me, Ip, and Eh, did not induce mouse micronuclei </w:t>
            </w:r>
            <w:r w:rsidRPr="00020DAA">
              <w:rPr>
                <w:i/>
                <w:sz w:val="20"/>
              </w:rPr>
              <w:t>in vivo</w:t>
            </w:r>
            <w:r w:rsidRPr="00020DAA">
              <w:rPr>
                <w:sz w:val="20"/>
              </w:rPr>
              <w:t xml:space="preserve">. </w:t>
            </w:r>
            <w:r w:rsidRPr="00020DAA">
              <w:rPr>
                <w:i/>
                <w:sz w:val="20"/>
              </w:rPr>
              <w:t xml:space="preserve"> </w:t>
            </w:r>
            <w:r w:rsidRPr="00020DAA">
              <w:rPr>
                <w:sz w:val="20"/>
              </w:rPr>
              <w:t>The chloroformates are not expected to be genotoxic.</w:t>
            </w:r>
            <w:r w:rsidRPr="00020DAA" w:rsidDel="004A74DD">
              <w:rPr>
                <w:sz w:val="20"/>
              </w:rPr>
              <w:t xml:space="preserve"> </w:t>
            </w:r>
            <w:r w:rsidRPr="00020DAA">
              <w:rPr>
                <w:sz w:val="20"/>
              </w:rPr>
              <w:t xml:space="preserve"> Carcinogenicity data were not available for the chloroformates category.</w:t>
            </w:r>
          </w:p>
          <w:p w:rsidR="009D5214" w:rsidRPr="00020DAA" w:rsidRDefault="009D5214" w:rsidP="00020DAA">
            <w:pPr>
              <w:pStyle w:val="BodyText"/>
              <w:tabs>
                <w:tab w:val="left" w:pos="9230"/>
              </w:tabs>
              <w:spacing w:after="120"/>
              <w:ind w:left="170" w:right="284"/>
              <w:rPr>
                <w:sz w:val="20"/>
              </w:rPr>
            </w:pPr>
            <w:r w:rsidRPr="00020DAA">
              <w:rPr>
                <w:sz w:val="20"/>
              </w:rPr>
              <w:t xml:space="preserve">No reproductive toxicity studies were available for the chloroformates category members. Data are available for all of the hydrolysis products. No effects on fertility were observed in inhalation studies with rats exposed to Me or </w:t>
            </w:r>
            <w:proofErr w:type="gramStart"/>
            <w:r w:rsidRPr="00020DAA">
              <w:rPr>
                <w:sz w:val="20"/>
              </w:rPr>
              <w:t>Et .</w:t>
            </w:r>
            <w:proofErr w:type="gramEnd"/>
            <w:r w:rsidRPr="00020DAA">
              <w:rPr>
                <w:sz w:val="20"/>
              </w:rPr>
              <w:t xml:space="preserve"> The inhalation NOAEC for reproductive toxicity ranges from 1000 ppm (1.3 mg/L) for Me to 16000 ppm (30 mg/L) for Et. In an inhalation study with Pr in rats, male fertility was impaired.  The NOAEC for reproductive toxicity (males) was 3500 ppm (8.9 mg/L) and females 7000 ppm (17.9 mg/L) (highest dose tested).  No effects on the gonads were observed after repeated inhalation exposures to HCl in rats up to 50 ppm.  Similarly, there were no effects on the reproductive organs in rats after repeated inhalation exposures to Eh at 0.64 mg/L/day. No significant adverse effects on fertility were observed in drinking water studies with rats exposed to DEG, Sb and Ip.  The NOAELs range from 625 mg/kg bw/day (male rat; Ip) to 1500 mg/kg bw/day for Sb and 6125 mg/kg bw/day for DEG.  For Et, reproductive effects in rats exposed by the oral route, other than an increase in the number of small pups, were observed at very high concentrations; the NOAEL for reproductive toxicity is &gt;2000 mg/kg/day.  For Ip, in an oral 2-generation study in rats, there was a decrease in the male mating index at 1000 mg/kg bw/day. The NOAEL for reproductive toxicity </w:t>
            </w:r>
            <w:proofErr w:type="gramStart"/>
            <w:r w:rsidRPr="00020DAA">
              <w:rPr>
                <w:sz w:val="20"/>
              </w:rPr>
              <w:t>is  500</w:t>
            </w:r>
            <w:proofErr w:type="gramEnd"/>
            <w:r w:rsidRPr="00020DAA">
              <w:rPr>
                <w:sz w:val="20"/>
              </w:rPr>
              <w:t xml:space="preserve"> mg/kg bw/day.  No developmental effects were observed in the absence of maternal toxicity for Et, Ip, Sb, DEG, and Eh. Malformations and foetal weight changes were observed following the inhalation exposure of rats to Me. The NOAEC is 6.65 mg/L/day (5000 ppm).  Inhalation exposure of rats exposed to Pr showed skeletal malformations at 17.9 mg/L/day.  At 25.5 mg/L/day, there was a significant increase in the incidence of skeletal, visceral and external malformations and significant implantation loss. The NOAEC for developmental toxicity is 8.9 mg/L. For HCl, no reliable studies were available. As reproductive and developmental effects are seen only at high doses for the alcohol hydrolysis products, the chloroformates category members are not expected to be reproductive toxicants and are unlikely to show developmental toxicity.</w:t>
            </w:r>
          </w:p>
          <w:p w:rsidR="009D5214" w:rsidRPr="00020DAA" w:rsidRDefault="009D5214" w:rsidP="00020DAA">
            <w:pPr>
              <w:pStyle w:val="Tabletext"/>
              <w:tabs>
                <w:tab w:val="left" w:pos="9230"/>
              </w:tabs>
              <w:spacing w:before="0" w:after="240"/>
              <w:ind w:left="170" w:right="284"/>
              <w:jc w:val="both"/>
              <w:rPr>
                <w:b/>
                <w:bCs/>
                <w:lang w:val="en-GB"/>
              </w:rPr>
            </w:pPr>
            <w:r w:rsidRPr="00020DAA">
              <w:rPr>
                <w:b/>
                <w:bCs/>
                <w:lang w:val="en-GB"/>
              </w:rPr>
              <w:t>The chloroformates possess properties indicating a hazard for human health (acute inhalation and oral toxicity, irritating/corrosive properties).  Methanol (hydrolysis product) exhibits potential hazardous properties for human health (neurological effects, CNS depression, ocular effects, reproductive and developmental effects, and other organ toxicity).  HCl (hydrolysis product) exhibits potential hazardous properties for human health (corrosiveness to the skin and the eyes).  Adequate screening-level data are available to characterize the hazard to human health for the purposes of the OECD HPV Chemicals Programme.</w:t>
            </w:r>
          </w:p>
          <w:p w:rsidR="009D5214" w:rsidRPr="00020DAA" w:rsidRDefault="009D5214" w:rsidP="00020DAA">
            <w:pPr>
              <w:tabs>
                <w:tab w:val="left" w:pos="9230"/>
              </w:tabs>
              <w:spacing w:after="120"/>
              <w:ind w:left="170" w:right="284"/>
              <w:jc w:val="both"/>
              <w:rPr>
                <w:b/>
                <w:spacing w:val="-2"/>
                <w:sz w:val="20"/>
                <w:szCs w:val="20"/>
              </w:rPr>
            </w:pPr>
            <w:r w:rsidRPr="00020DAA">
              <w:rPr>
                <w:b/>
                <w:spacing w:val="-2"/>
                <w:sz w:val="20"/>
                <w:szCs w:val="20"/>
              </w:rPr>
              <w:t>Environment</w:t>
            </w:r>
          </w:p>
          <w:p w:rsidR="009D5214" w:rsidRPr="00020DAA" w:rsidRDefault="009D5214" w:rsidP="00020DAA">
            <w:pPr>
              <w:tabs>
                <w:tab w:val="left" w:pos="9230"/>
              </w:tabs>
              <w:spacing w:after="120"/>
              <w:ind w:left="170" w:right="284"/>
              <w:jc w:val="both"/>
              <w:rPr>
                <w:sz w:val="20"/>
                <w:szCs w:val="20"/>
              </w:rPr>
            </w:pPr>
            <w:r w:rsidRPr="00020DAA">
              <w:rPr>
                <w:sz w:val="20"/>
                <w:szCs w:val="20"/>
              </w:rPr>
              <w:t>Hydrolysis is the primary and major fate process of the chloroformates category members. The category members were shown to have very short half-lives in aqueous solutions (pH 4, 7, 9) ranging from a few minutes (ObCF, IpCF) to about 30 minutes for (EhCF). In the OECD TG 111 studies one of the expected hydrolysis products (corresponding alcohol) were confirmed by gas chromatography. Although stoppered flasks were used, hydrolysis rates could be an overestimation as evaporation during the tests could not be excluded. In the case of PrCF, for which no guideline study was available, results from an older hydrolysis study as well as read-across to an analogue category member (IpCF) were used to confirm its hydrolytic reaction profile. Read across to IpCF is also suitable for SbCF, for which no experimental results on hydrolytic activity were available. The alcoholic hydrolysis products do not have hydrolysable groups and are therefore hydrolytically stable.</w:t>
            </w:r>
          </w:p>
          <w:p w:rsidR="009D5214" w:rsidRPr="00020DAA" w:rsidRDefault="009D5214" w:rsidP="00020DAA">
            <w:pPr>
              <w:tabs>
                <w:tab w:val="left" w:pos="9230"/>
              </w:tabs>
              <w:spacing w:after="120"/>
              <w:ind w:left="170" w:right="284"/>
              <w:jc w:val="both"/>
              <w:rPr>
                <w:sz w:val="20"/>
                <w:szCs w:val="20"/>
              </w:rPr>
            </w:pPr>
            <w:r w:rsidRPr="00020DAA">
              <w:rPr>
                <w:sz w:val="20"/>
                <w:szCs w:val="20"/>
              </w:rPr>
              <w:t xml:space="preserve">In the atmosphere, indirect photo-oxidation of the category members by reaction with hydroxyl radicals is predicted to occur with half-lives ranging from less than 1 day (EhCF and ObCF) to ca. 49 days (MeCF). The estimations refer to a 12-h day with an assumed OH radical concentration </w:t>
            </w:r>
            <w:proofErr w:type="gramStart"/>
            <w:r w:rsidRPr="00020DAA">
              <w:rPr>
                <w:sz w:val="20"/>
                <w:szCs w:val="20"/>
              </w:rPr>
              <w:t>of  1.5</w:t>
            </w:r>
            <w:proofErr w:type="gramEnd"/>
            <w:r w:rsidRPr="00020DAA">
              <w:rPr>
                <w:sz w:val="20"/>
                <w:szCs w:val="20"/>
              </w:rPr>
              <w:t xml:space="preserve"> x 10</w:t>
            </w:r>
            <w:r w:rsidRPr="00020DAA">
              <w:rPr>
                <w:sz w:val="20"/>
                <w:szCs w:val="20"/>
                <w:vertAlign w:val="superscript"/>
              </w:rPr>
              <w:t>6</w:t>
            </w:r>
            <w:r w:rsidRPr="00020DAA">
              <w:rPr>
                <w:sz w:val="20"/>
                <w:szCs w:val="20"/>
              </w:rPr>
              <w:t xml:space="preserve"> OH/cm³.</w:t>
            </w:r>
          </w:p>
          <w:p w:rsidR="009D5214" w:rsidRPr="00020DAA" w:rsidRDefault="009D5214" w:rsidP="00020DAA">
            <w:pPr>
              <w:tabs>
                <w:tab w:val="left" w:pos="9230"/>
              </w:tabs>
              <w:spacing w:after="120"/>
              <w:ind w:left="170" w:right="284"/>
              <w:jc w:val="both"/>
              <w:rPr>
                <w:sz w:val="20"/>
                <w:szCs w:val="20"/>
              </w:rPr>
            </w:pPr>
            <w:r w:rsidRPr="00020DAA">
              <w:rPr>
                <w:sz w:val="20"/>
                <w:szCs w:val="20"/>
              </w:rPr>
              <w:t>Ready biodegradability testing was conducted on EtCF, as well as for all hydrolysis products.  EtCF was readily biodegradable in a MITI (I) test following OECD TG 301C.  All hydrolysis products, with one exception (DEG), are readily biodegradable (biodegradation &gt; 70% at test end, 10-days window met).  The weight of evidence suggests that the category members, with the exception of ObCF, are readily biodegradable, based on their rapid hydrolysis and ready biodegradability of their hydrolysis products.</w:t>
            </w:r>
          </w:p>
          <w:p w:rsidR="009D5214" w:rsidRPr="00020DAA" w:rsidRDefault="009D5214" w:rsidP="00020DAA">
            <w:pPr>
              <w:tabs>
                <w:tab w:val="left" w:pos="9230"/>
              </w:tabs>
              <w:spacing w:after="120"/>
              <w:ind w:left="170" w:right="284"/>
              <w:jc w:val="both"/>
              <w:rPr>
                <w:sz w:val="20"/>
                <w:szCs w:val="20"/>
              </w:rPr>
            </w:pPr>
            <w:r w:rsidRPr="00020DAA">
              <w:rPr>
                <w:sz w:val="20"/>
                <w:szCs w:val="20"/>
              </w:rPr>
              <w:t>A level III fugacity model calculation with equal distributions to air, water and soil compartments suggests that the main target compartments of the category members and their hydrolysis products are soil and water. The calculated BCF values for the sponsored substances (2.3 to 95) indicate a low bioaccumulation potential.  The (predominantly calculated) BCF values for the hydrolysis products (1 to 42) indicate a low potential for bioaccumulation.</w:t>
            </w:r>
          </w:p>
          <w:p w:rsidR="009D5214" w:rsidRPr="00020DAA" w:rsidRDefault="009D5214" w:rsidP="00020DAA">
            <w:pPr>
              <w:tabs>
                <w:tab w:val="left" w:pos="9230"/>
              </w:tabs>
              <w:spacing w:after="120"/>
              <w:ind w:left="170" w:right="284"/>
              <w:jc w:val="both"/>
              <w:rPr>
                <w:sz w:val="20"/>
                <w:szCs w:val="20"/>
              </w:rPr>
            </w:pPr>
            <w:r w:rsidRPr="00020DAA">
              <w:rPr>
                <w:sz w:val="20"/>
                <w:szCs w:val="20"/>
              </w:rPr>
              <w:t xml:space="preserve">The following acute fish toxicity test results using nominal concentrations have been determined for the parent chloroformate category members, with the exception of IpCF for which </w:t>
            </w:r>
            <w:r w:rsidRPr="00020DAA">
              <w:rPr>
                <w:iCs/>
                <w:color w:val="000000"/>
                <w:sz w:val="20"/>
                <w:szCs w:val="20"/>
              </w:rPr>
              <w:t>mean measured concentrations were extrapolated via chemical analysis of the hydrolysis product isopropanol</w:t>
            </w:r>
            <w:r w:rsidRPr="00020DAA">
              <w:rPr>
                <w:sz w:val="20"/>
                <w:szCs w:val="20"/>
              </w:rPr>
              <w:t>:</w:t>
            </w:r>
          </w:p>
          <w:p w:rsidR="009D5214" w:rsidRPr="00020DAA" w:rsidRDefault="009D5214" w:rsidP="00020DAA">
            <w:pPr>
              <w:tabs>
                <w:tab w:val="left" w:pos="9230"/>
              </w:tabs>
              <w:spacing w:after="120"/>
              <w:ind w:left="170" w:right="284"/>
              <w:jc w:val="both"/>
              <w:rPr>
                <w:sz w:val="20"/>
                <w:szCs w:val="20"/>
              </w:rPr>
            </w:pPr>
            <w:r w:rsidRPr="00020DAA">
              <w:rPr>
                <w:i/>
                <w:sz w:val="20"/>
                <w:szCs w:val="20"/>
              </w:rPr>
              <w:t>Leuciscus idus</w:t>
            </w:r>
            <w:r w:rsidRPr="00020DAA">
              <w:rPr>
                <w:sz w:val="20"/>
                <w:szCs w:val="20"/>
              </w:rPr>
              <w:t>, MeCF:   96-h LC</w:t>
            </w:r>
            <w:r w:rsidRPr="00020DAA">
              <w:rPr>
                <w:sz w:val="20"/>
                <w:szCs w:val="20"/>
                <w:vertAlign w:val="subscript"/>
              </w:rPr>
              <w:t xml:space="preserve">50 </w:t>
            </w:r>
            <w:r w:rsidRPr="00020DAA">
              <w:rPr>
                <w:sz w:val="20"/>
                <w:szCs w:val="20"/>
              </w:rPr>
              <w:t>= 4.5 mg/L (static)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Danio rerio</w:t>
            </w:r>
            <w:r w:rsidRPr="00020DAA">
              <w:rPr>
                <w:sz w:val="20"/>
                <w:szCs w:val="20"/>
              </w:rPr>
              <w:t>, PrCF:   96-h LC</w:t>
            </w:r>
            <w:r w:rsidRPr="00020DAA">
              <w:rPr>
                <w:sz w:val="20"/>
                <w:szCs w:val="20"/>
                <w:vertAlign w:val="subscript"/>
              </w:rPr>
              <w:t xml:space="preserve">50 </w:t>
            </w:r>
            <w:r w:rsidRPr="00020DAA">
              <w:rPr>
                <w:sz w:val="20"/>
                <w:szCs w:val="20"/>
              </w:rPr>
              <w:t>= 3.16 mg/L (static)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Danio rerio</w:t>
            </w:r>
            <w:r w:rsidRPr="00020DAA">
              <w:rPr>
                <w:sz w:val="20"/>
                <w:szCs w:val="20"/>
              </w:rPr>
              <w:t>, IpCF:   96-h LC</w:t>
            </w:r>
            <w:r w:rsidRPr="00020DAA">
              <w:rPr>
                <w:sz w:val="20"/>
                <w:szCs w:val="20"/>
                <w:vertAlign w:val="subscript"/>
              </w:rPr>
              <w:t xml:space="preserve">50 </w:t>
            </w:r>
            <w:r w:rsidRPr="00020DAA">
              <w:rPr>
                <w:sz w:val="20"/>
                <w:szCs w:val="20"/>
              </w:rPr>
              <w:t>= 8.2 mg/L (semi-static)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Danio rerio</w:t>
            </w:r>
            <w:r w:rsidRPr="00020DAA">
              <w:rPr>
                <w:sz w:val="20"/>
                <w:szCs w:val="20"/>
              </w:rPr>
              <w:t>, SbCF:   96-h LC</w:t>
            </w:r>
            <w:r w:rsidRPr="00020DAA">
              <w:rPr>
                <w:sz w:val="20"/>
                <w:szCs w:val="20"/>
                <w:vertAlign w:val="subscript"/>
              </w:rPr>
              <w:t xml:space="preserve">50 </w:t>
            </w:r>
            <w:r w:rsidRPr="00020DAA">
              <w:rPr>
                <w:sz w:val="20"/>
                <w:szCs w:val="20"/>
              </w:rPr>
              <w:t>= 46.4 mg/L (static)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Leuciscus idus</w:t>
            </w:r>
            <w:r w:rsidRPr="00020DAA">
              <w:rPr>
                <w:sz w:val="20"/>
                <w:szCs w:val="20"/>
              </w:rPr>
              <w:t>, ObCF:   96-h LC</w:t>
            </w:r>
            <w:r w:rsidRPr="00020DAA">
              <w:rPr>
                <w:sz w:val="20"/>
                <w:szCs w:val="20"/>
                <w:vertAlign w:val="subscript"/>
              </w:rPr>
              <w:t xml:space="preserve">50 </w:t>
            </w:r>
            <w:r w:rsidRPr="00020DAA">
              <w:rPr>
                <w:sz w:val="20"/>
                <w:szCs w:val="20"/>
              </w:rPr>
              <w:t>= 1.78 mg/L (static)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Leuciscus idus</w:t>
            </w:r>
            <w:r w:rsidRPr="00020DAA">
              <w:rPr>
                <w:sz w:val="20"/>
                <w:szCs w:val="20"/>
              </w:rPr>
              <w:t>, EhCF:   96-h LC</w:t>
            </w:r>
            <w:r w:rsidRPr="00020DAA">
              <w:rPr>
                <w:sz w:val="20"/>
                <w:szCs w:val="20"/>
                <w:vertAlign w:val="subscript"/>
              </w:rPr>
              <w:t xml:space="preserve">50 </w:t>
            </w:r>
            <w:r w:rsidRPr="00020DAA">
              <w:rPr>
                <w:sz w:val="20"/>
                <w:szCs w:val="20"/>
              </w:rPr>
              <w:t>= 3.16 mg/L (static)</w:t>
            </w:r>
          </w:p>
          <w:p w:rsidR="009D5214" w:rsidRPr="00020DAA" w:rsidRDefault="009D5214" w:rsidP="00020DAA">
            <w:pPr>
              <w:tabs>
                <w:tab w:val="left" w:pos="9230"/>
              </w:tabs>
              <w:spacing w:after="120"/>
              <w:ind w:left="170" w:right="284"/>
              <w:jc w:val="both"/>
              <w:rPr>
                <w:sz w:val="20"/>
                <w:szCs w:val="20"/>
              </w:rPr>
            </w:pPr>
            <w:r w:rsidRPr="00020DAA">
              <w:rPr>
                <w:i/>
                <w:sz w:val="20"/>
                <w:szCs w:val="20"/>
              </w:rPr>
              <w:t>Danio rerio</w:t>
            </w:r>
            <w:r w:rsidRPr="00020DAA">
              <w:rPr>
                <w:sz w:val="20"/>
                <w:szCs w:val="20"/>
              </w:rPr>
              <w:t>, EhCF:   96-h LC</w:t>
            </w:r>
            <w:r w:rsidRPr="00020DAA">
              <w:rPr>
                <w:sz w:val="20"/>
                <w:szCs w:val="20"/>
                <w:vertAlign w:val="subscript"/>
              </w:rPr>
              <w:t xml:space="preserve">50 </w:t>
            </w:r>
            <w:r w:rsidRPr="00020DAA">
              <w:rPr>
                <w:sz w:val="20"/>
                <w:szCs w:val="20"/>
              </w:rPr>
              <w:t>= 4.18 mg/L (static)</w:t>
            </w:r>
          </w:p>
          <w:p w:rsidR="009D5214" w:rsidRPr="00020DAA" w:rsidRDefault="009D5214" w:rsidP="00020DAA">
            <w:pPr>
              <w:tabs>
                <w:tab w:val="left" w:pos="9230"/>
              </w:tabs>
              <w:spacing w:after="120"/>
              <w:ind w:left="170" w:right="284"/>
              <w:jc w:val="both"/>
              <w:rPr>
                <w:iCs/>
                <w:color w:val="000000"/>
                <w:sz w:val="20"/>
                <w:szCs w:val="20"/>
              </w:rPr>
            </w:pPr>
            <w:r w:rsidRPr="00020DAA">
              <w:rPr>
                <w:sz w:val="20"/>
                <w:szCs w:val="20"/>
              </w:rPr>
              <w:t>(pH remained within acceptable limits during all testing</w:t>
            </w:r>
            <w:r w:rsidRPr="00020DAA">
              <w:rPr>
                <w:iCs/>
                <w:color w:val="000000"/>
                <w:sz w:val="20"/>
                <w:szCs w:val="20"/>
              </w:rPr>
              <w:t>)</w:t>
            </w:r>
          </w:p>
          <w:p w:rsidR="009D5214" w:rsidRPr="00020DAA" w:rsidRDefault="009D5214" w:rsidP="00020DAA">
            <w:pPr>
              <w:tabs>
                <w:tab w:val="left" w:pos="9230"/>
              </w:tabs>
              <w:spacing w:after="120"/>
              <w:ind w:left="170" w:right="284"/>
              <w:jc w:val="both"/>
              <w:rPr>
                <w:sz w:val="20"/>
                <w:szCs w:val="20"/>
              </w:rPr>
            </w:pPr>
            <w:r w:rsidRPr="00020DAA">
              <w:rPr>
                <w:sz w:val="20"/>
                <w:szCs w:val="20"/>
              </w:rPr>
              <w:t>Due to the short hydrolysis half-lives (≤ 30 min) of the chloroformates category members, results from the hydrolysis products are also used to fulfil the endpoint requirements with respect to ecotoxicology.</w:t>
            </w:r>
          </w:p>
          <w:p w:rsidR="009D5214" w:rsidRPr="00020DAA" w:rsidRDefault="009D5214" w:rsidP="00020DAA">
            <w:pPr>
              <w:tabs>
                <w:tab w:val="left" w:pos="9230"/>
              </w:tabs>
              <w:spacing w:after="120"/>
              <w:ind w:left="170" w:right="284"/>
              <w:jc w:val="both"/>
              <w:rPr>
                <w:sz w:val="20"/>
                <w:szCs w:val="20"/>
              </w:rPr>
            </w:pPr>
            <w:r w:rsidRPr="00020DAA">
              <w:rPr>
                <w:sz w:val="20"/>
                <w:szCs w:val="20"/>
              </w:rPr>
              <w:t>The following acute aquatic toxicity test results have been determined with the alcohol hydrolysis products:</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Fish [</w:t>
            </w:r>
            <w:r w:rsidRPr="00020DAA">
              <w:rPr>
                <w:i/>
                <w:sz w:val="20"/>
                <w:szCs w:val="20"/>
              </w:rPr>
              <w:t>Leuciscus idus</w:t>
            </w:r>
            <w:r w:rsidRPr="00020DAA">
              <w:rPr>
                <w:sz w:val="20"/>
                <w:szCs w:val="20"/>
              </w:rPr>
              <w:t>], 2-ethylhexanol (Eh):  96-h LC</w:t>
            </w:r>
            <w:r w:rsidRPr="00020DAA">
              <w:rPr>
                <w:sz w:val="20"/>
                <w:szCs w:val="20"/>
                <w:vertAlign w:val="subscript"/>
              </w:rPr>
              <w:t>50</w:t>
            </w:r>
            <w:r w:rsidRPr="00020DAA">
              <w:rPr>
                <w:sz w:val="20"/>
                <w:szCs w:val="20"/>
              </w:rPr>
              <w:t xml:space="preserve"> = 17.1 mg/L (nominal, flow-through)</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 xml:space="preserve">Fish [several </w:t>
            </w:r>
            <w:r w:rsidRPr="00020DAA">
              <w:rPr>
                <w:i/>
                <w:sz w:val="20"/>
                <w:szCs w:val="20"/>
              </w:rPr>
              <w:t>spp</w:t>
            </w:r>
            <w:r w:rsidRPr="00020DAA">
              <w:rPr>
                <w:sz w:val="20"/>
                <w:szCs w:val="20"/>
              </w:rPr>
              <w:t>.], all other alcohols:   96-h LC</w:t>
            </w:r>
            <w:r w:rsidRPr="00020DAA">
              <w:rPr>
                <w:sz w:val="20"/>
                <w:szCs w:val="20"/>
                <w:vertAlign w:val="subscript"/>
              </w:rPr>
              <w:t>50</w:t>
            </w:r>
            <w:r w:rsidRPr="00020DAA">
              <w:rPr>
                <w:sz w:val="20"/>
                <w:szCs w:val="20"/>
              </w:rPr>
              <w:t xml:space="preserve"> ≥ 3200 mg/L (nominal)</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Invertebrate [</w:t>
            </w:r>
            <w:r w:rsidRPr="00020DAA">
              <w:rPr>
                <w:i/>
                <w:sz w:val="20"/>
                <w:szCs w:val="20"/>
              </w:rPr>
              <w:t xml:space="preserve">Daphnia magna </w:t>
            </w:r>
            <w:r w:rsidRPr="00020DAA">
              <w:rPr>
                <w:sz w:val="20"/>
                <w:szCs w:val="20"/>
              </w:rPr>
              <w:t>], 2-ethylhexanol (Eh):  48-h EC</w:t>
            </w:r>
            <w:r w:rsidRPr="00020DAA">
              <w:rPr>
                <w:sz w:val="20"/>
                <w:szCs w:val="20"/>
                <w:vertAlign w:val="subscript"/>
              </w:rPr>
              <w:t>50</w:t>
            </w:r>
            <w:r w:rsidRPr="00020DAA">
              <w:rPr>
                <w:sz w:val="20"/>
                <w:szCs w:val="20"/>
              </w:rPr>
              <w:t xml:space="preserve"> = 35.2 mg/L  (nominal, static)</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Invertebrate [</w:t>
            </w:r>
            <w:r w:rsidRPr="00020DAA">
              <w:rPr>
                <w:i/>
                <w:sz w:val="20"/>
                <w:szCs w:val="20"/>
              </w:rPr>
              <w:t>Daphnia magna</w:t>
            </w:r>
            <w:r w:rsidRPr="00020DAA">
              <w:rPr>
                <w:sz w:val="20"/>
                <w:szCs w:val="20"/>
              </w:rPr>
              <w:t>], all other alcohols:  24/48-h EC</w:t>
            </w:r>
            <w:r w:rsidRPr="00020DAA">
              <w:rPr>
                <w:sz w:val="20"/>
                <w:szCs w:val="20"/>
                <w:vertAlign w:val="subscript"/>
              </w:rPr>
              <w:t>50</w:t>
            </w:r>
            <w:r w:rsidRPr="00020DAA">
              <w:rPr>
                <w:sz w:val="20"/>
                <w:szCs w:val="20"/>
              </w:rPr>
              <w:t xml:space="preserve"> ≥ 1000 mg/L  (nominal, static)</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Algae [</w:t>
            </w:r>
            <w:r w:rsidRPr="00020DAA">
              <w:rPr>
                <w:i/>
                <w:sz w:val="20"/>
                <w:szCs w:val="20"/>
              </w:rPr>
              <w:t>Scenedesmus subspicatus</w:t>
            </w:r>
            <w:r w:rsidRPr="00020DAA">
              <w:rPr>
                <w:sz w:val="20"/>
                <w:szCs w:val="20"/>
              </w:rPr>
              <w:t>], 2-ethylhexanol (Eh):  72 h EC</w:t>
            </w:r>
            <w:r w:rsidRPr="00020DAA">
              <w:rPr>
                <w:sz w:val="20"/>
                <w:szCs w:val="20"/>
                <w:vertAlign w:val="subscript"/>
              </w:rPr>
              <w:t>50</w:t>
            </w:r>
            <w:r w:rsidRPr="00020DAA">
              <w:rPr>
                <w:sz w:val="20"/>
                <w:szCs w:val="20"/>
              </w:rPr>
              <w:t xml:space="preserve"> = 11.5 mg/L (nominal)</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Algae and aquatic plants [div. ], all other alcohols:  EC</w:t>
            </w:r>
            <w:r w:rsidRPr="00020DAA">
              <w:rPr>
                <w:sz w:val="20"/>
                <w:szCs w:val="20"/>
                <w:vertAlign w:val="subscript"/>
              </w:rPr>
              <w:t>50</w:t>
            </w:r>
            <w:r w:rsidRPr="00020DAA">
              <w:rPr>
                <w:sz w:val="20"/>
                <w:szCs w:val="20"/>
              </w:rPr>
              <w:t xml:space="preserve"> &gt; 100 mg/L  (nominal)</w:t>
            </w:r>
          </w:p>
          <w:p w:rsidR="009D5214" w:rsidRPr="00020DAA" w:rsidRDefault="009D5214" w:rsidP="00020DAA">
            <w:pPr>
              <w:tabs>
                <w:tab w:val="left" w:pos="9230"/>
              </w:tabs>
              <w:spacing w:after="120"/>
              <w:ind w:left="170" w:right="284"/>
              <w:jc w:val="both"/>
              <w:rPr>
                <w:sz w:val="20"/>
                <w:szCs w:val="20"/>
              </w:rPr>
            </w:pPr>
            <w:r w:rsidRPr="00020DAA">
              <w:rPr>
                <w:sz w:val="20"/>
                <w:szCs w:val="20"/>
              </w:rPr>
              <w:t>The following chronic toxicity test results have been determined:</w:t>
            </w:r>
          </w:p>
          <w:p w:rsidR="009D5214" w:rsidRPr="00020DAA" w:rsidRDefault="009D5214" w:rsidP="00020DAA">
            <w:pPr>
              <w:tabs>
                <w:tab w:val="left" w:pos="5320"/>
                <w:tab w:val="left" w:pos="9230"/>
              </w:tabs>
              <w:spacing w:after="120"/>
              <w:ind w:left="170" w:right="284"/>
              <w:jc w:val="both"/>
              <w:rPr>
                <w:sz w:val="20"/>
                <w:szCs w:val="20"/>
                <w:lang w:val="fr-FR"/>
              </w:rPr>
            </w:pPr>
            <w:r w:rsidRPr="00020DAA">
              <w:rPr>
                <w:sz w:val="20"/>
                <w:szCs w:val="20"/>
                <w:lang w:val="fr-FR"/>
              </w:rPr>
              <w:t>Invertebrate [</w:t>
            </w:r>
            <w:r w:rsidRPr="00020DAA">
              <w:rPr>
                <w:i/>
                <w:sz w:val="20"/>
                <w:szCs w:val="20"/>
                <w:lang w:val="fr-FR"/>
              </w:rPr>
              <w:t>Ceriodaphnia</w:t>
            </w:r>
            <w:r w:rsidRPr="00020DAA">
              <w:rPr>
                <w:i/>
                <w:iCs/>
                <w:sz w:val="20"/>
                <w:szCs w:val="20"/>
                <w:lang w:val="fr-FR"/>
              </w:rPr>
              <w:t xml:space="preserve"> </w:t>
            </w:r>
            <w:r w:rsidRPr="00020DAA">
              <w:rPr>
                <w:i/>
                <w:sz w:val="20"/>
                <w:szCs w:val="20"/>
                <w:lang w:val="fr-FR"/>
              </w:rPr>
              <w:t>dubia</w:t>
            </w:r>
            <w:r w:rsidRPr="00020DAA">
              <w:rPr>
                <w:sz w:val="20"/>
                <w:szCs w:val="20"/>
                <w:lang w:val="fr-FR"/>
              </w:rPr>
              <w:t>], Ethanol (Et):   9-d NOEC = 9.6 mg/L (nominal)</w:t>
            </w:r>
          </w:p>
          <w:p w:rsidR="009D5214" w:rsidRPr="00020DAA" w:rsidRDefault="009D5214" w:rsidP="00020DAA">
            <w:pPr>
              <w:tabs>
                <w:tab w:val="left" w:pos="5320"/>
                <w:tab w:val="left" w:pos="9230"/>
              </w:tabs>
              <w:spacing w:after="120"/>
              <w:ind w:left="170" w:right="284"/>
              <w:jc w:val="both"/>
              <w:rPr>
                <w:sz w:val="20"/>
                <w:szCs w:val="20"/>
              </w:rPr>
            </w:pPr>
            <w:r w:rsidRPr="00020DAA">
              <w:rPr>
                <w:sz w:val="20"/>
                <w:szCs w:val="20"/>
              </w:rPr>
              <w:t>Invertebrate [</w:t>
            </w:r>
            <w:r w:rsidRPr="00020DAA">
              <w:rPr>
                <w:i/>
                <w:sz w:val="20"/>
                <w:szCs w:val="20"/>
              </w:rPr>
              <w:t>Daphnia magna</w:t>
            </w:r>
            <w:r w:rsidRPr="00020DAA">
              <w:rPr>
                <w:sz w:val="20"/>
                <w:szCs w:val="20"/>
              </w:rPr>
              <w:t>], Isopropanol (Ip):   21-d NOEC = 30 mg/L (nominal)</w:t>
            </w:r>
          </w:p>
          <w:p w:rsidR="009D5214" w:rsidRPr="00020DAA" w:rsidRDefault="009D5214" w:rsidP="00020DAA">
            <w:pPr>
              <w:tabs>
                <w:tab w:val="left" w:pos="9230"/>
              </w:tabs>
              <w:spacing w:after="120"/>
              <w:ind w:left="170" w:right="284"/>
              <w:jc w:val="both"/>
              <w:rPr>
                <w:sz w:val="20"/>
                <w:szCs w:val="20"/>
              </w:rPr>
            </w:pPr>
            <w:r w:rsidRPr="00020DAA">
              <w:rPr>
                <w:sz w:val="20"/>
                <w:szCs w:val="20"/>
              </w:rPr>
              <w:t>Although the members of the chloroformates category hydrolyze quickly, it is possible that the observed toxicity to fish is partly related to high reactivity of unhydrolyzed chloroformates at the very beginning of the test.  The toxicity may be explained by reactions with nucleophiles (such as -NH2, -SH and -OH) on biological macromolecules.</w:t>
            </w:r>
          </w:p>
          <w:p w:rsidR="009D5214" w:rsidRPr="00020DAA" w:rsidRDefault="009D5214" w:rsidP="00020DAA">
            <w:pPr>
              <w:tabs>
                <w:tab w:val="left" w:pos="9230"/>
              </w:tabs>
              <w:spacing w:after="120"/>
              <w:ind w:left="170" w:right="284"/>
              <w:jc w:val="both"/>
              <w:rPr>
                <w:sz w:val="20"/>
                <w:szCs w:val="20"/>
              </w:rPr>
            </w:pPr>
            <w:r w:rsidRPr="00020DAA">
              <w:rPr>
                <w:sz w:val="20"/>
                <w:szCs w:val="20"/>
              </w:rPr>
              <w:t>The hydrolysis product, HCl, is acutely toxic to fish due to the acidification of the test medium. The latter effect, however, is unlikely to be responsible for the toxicity of the chloroformates.  The following acute toxicity test results have been determined with the HCl hydrolysis product:</w:t>
            </w:r>
          </w:p>
          <w:p w:rsidR="009D5214" w:rsidRPr="00020DAA" w:rsidRDefault="009D5214" w:rsidP="00020DAA">
            <w:pPr>
              <w:tabs>
                <w:tab w:val="left" w:pos="9230"/>
              </w:tabs>
              <w:spacing w:after="120"/>
              <w:ind w:left="170" w:right="284"/>
              <w:jc w:val="both"/>
              <w:rPr>
                <w:sz w:val="20"/>
                <w:szCs w:val="20"/>
              </w:rPr>
            </w:pPr>
            <w:r w:rsidRPr="00020DAA">
              <w:rPr>
                <w:sz w:val="20"/>
                <w:szCs w:val="20"/>
              </w:rPr>
              <w:t>Fish [</w:t>
            </w:r>
            <w:r w:rsidRPr="00020DAA">
              <w:rPr>
                <w:i/>
                <w:sz w:val="20"/>
                <w:szCs w:val="20"/>
              </w:rPr>
              <w:t>Cyprinus carpio</w:t>
            </w:r>
            <w:r w:rsidRPr="00020DAA">
              <w:rPr>
                <w:sz w:val="20"/>
                <w:szCs w:val="20"/>
              </w:rPr>
              <w:t>] 96-h LC</w:t>
            </w:r>
            <w:r w:rsidRPr="00020DAA">
              <w:rPr>
                <w:sz w:val="20"/>
                <w:szCs w:val="20"/>
                <w:vertAlign w:val="subscript"/>
              </w:rPr>
              <w:t>50</w:t>
            </w:r>
            <w:r w:rsidRPr="00020DAA">
              <w:rPr>
                <w:sz w:val="20"/>
                <w:szCs w:val="20"/>
              </w:rPr>
              <w:t xml:space="preserve"> = 4.92 mg/L (pH 4.3)</w:t>
            </w:r>
          </w:p>
          <w:p w:rsidR="009D5214" w:rsidRPr="00020DAA" w:rsidRDefault="009D5214" w:rsidP="00020DAA">
            <w:pPr>
              <w:tabs>
                <w:tab w:val="left" w:pos="9230"/>
              </w:tabs>
              <w:spacing w:after="120"/>
              <w:ind w:left="170" w:right="284"/>
              <w:jc w:val="both"/>
              <w:rPr>
                <w:sz w:val="20"/>
                <w:szCs w:val="20"/>
              </w:rPr>
            </w:pPr>
            <w:r w:rsidRPr="00020DAA">
              <w:rPr>
                <w:sz w:val="20"/>
                <w:szCs w:val="20"/>
              </w:rPr>
              <w:t>Invertebrate [</w:t>
            </w:r>
            <w:r w:rsidRPr="00020DAA">
              <w:rPr>
                <w:i/>
                <w:sz w:val="20"/>
                <w:szCs w:val="20"/>
              </w:rPr>
              <w:t>Daphnia magna</w:t>
            </w:r>
            <w:r w:rsidRPr="00020DAA">
              <w:rPr>
                <w:sz w:val="20"/>
                <w:szCs w:val="20"/>
              </w:rPr>
              <w:t>] 48-h EC</w:t>
            </w:r>
            <w:r w:rsidRPr="00020DAA">
              <w:rPr>
                <w:sz w:val="20"/>
                <w:szCs w:val="20"/>
                <w:vertAlign w:val="subscript"/>
              </w:rPr>
              <w:t>50</w:t>
            </w:r>
            <w:r w:rsidRPr="00020DAA">
              <w:rPr>
                <w:sz w:val="20"/>
                <w:szCs w:val="20"/>
              </w:rPr>
              <w:t xml:space="preserve"> = 0.492 mg/L (pH5.3)</w:t>
            </w:r>
          </w:p>
          <w:p w:rsidR="009D5214" w:rsidRPr="00020DAA" w:rsidRDefault="009D5214" w:rsidP="00020DAA">
            <w:pPr>
              <w:tabs>
                <w:tab w:val="left" w:pos="9230"/>
              </w:tabs>
              <w:spacing w:after="120"/>
              <w:ind w:left="170" w:right="284"/>
              <w:jc w:val="both"/>
              <w:rPr>
                <w:sz w:val="20"/>
                <w:szCs w:val="20"/>
              </w:rPr>
            </w:pPr>
            <w:r w:rsidRPr="00020DAA">
              <w:rPr>
                <w:sz w:val="20"/>
                <w:szCs w:val="20"/>
              </w:rPr>
              <w:t>Algae [</w:t>
            </w:r>
            <w:r w:rsidRPr="00020DAA">
              <w:rPr>
                <w:i/>
                <w:sz w:val="20"/>
                <w:szCs w:val="20"/>
              </w:rPr>
              <w:t>Selenastrum capriornutum</w:t>
            </w:r>
            <w:r w:rsidRPr="00020DAA">
              <w:rPr>
                <w:sz w:val="20"/>
                <w:szCs w:val="20"/>
              </w:rPr>
              <w:t>] 72-h EC</w:t>
            </w:r>
            <w:r w:rsidRPr="00020DAA">
              <w:rPr>
                <w:sz w:val="20"/>
                <w:szCs w:val="20"/>
                <w:vertAlign w:val="subscript"/>
              </w:rPr>
              <w:t>50</w:t>
            </w:r>
            <w:r w:rsidRPr="00020DAA">
              <w:rPr>
                <w:sz w:val="20"/>
                <w:szCs w:val="20"/>
              </w:rPr>
              <w:t xml:space="preserve"> = 0.780 (pH 5.1) and 0.492 (pH5.3) mg/L for biomass and growth rate, respectively.</w:t>
            </w:r>
          </w:p>
          <w:p w:rsidR="009D5214" w:rsidRPr="00020DAA" w:rsidRDefault="009D5214" w:rsidP="00020DAA">
            <w:pPr>
              <w:tabs>
                <w:tab w:val="left" w:pos="9230"/>
              </w:tabs>
              <w:spacing w:after="120"/>
              <w:ind w:left="170" w:right="284"/>
              <w:jc w:val="both"/>
              <w:rPr>
                <w:sz w:val="20"/>
                <w:szCs w:val="20"/>
              </w:rPr>
            </w:pPr>
            <w:r w:rsidRPr="00020DAA">
              <w:rPr>
                <w:sz w:val="20"/>
                <w:szCs w:val="20"/>
              </w:rPr>
              <w:t>The available results from acute toxicity studies on fish show that the chloroformate category members produce toxic effects in aquatic systems. Similar toxic effects would also be expected for other environmental organisms such as daphnia and algae.</w:t>
            </w:r>
          </w:p>
          <w:p w:rsidR="009D5214" w:rsidRPr="00020DAA" w:rsidRDefault="009D5214" w:rsidP="00020DAA">
            <w:pPr>
              <w:tabs>
                <w:tab w:val="left" w:pos="9230"/>
              </w:tabs>
              <w:spacing w:after="240"/>
              <w:ind w:left="170" w:right="284"/>
              <w:jc w:val="both"/>
              <w:rPr>
                <w:b/>
                <w:sz w:val="20"/>
                <w:szCs w:val="20"/>
              </w:rPr>
            </w:pPr>
            <w:r w:rsidRPr="00020DAA">
              <w:rPr>
                <w:b/>
                <w:sz w:val="20"/>
                <w:szCs w:val="20"/>
              </w:rPr>
              <w:t>The chloroformates possess properties indicating a hazard for the environment (acute aquatic toxicity values between &lt; 1 and 100 mg/L). The substances are readily biodegradable with the exception of ObCF, and all have a low bioaccumulation potential. Adequate screening-level data are available to characterize the hazard for the environment for the purposes of the OECD HPV Chemicals Programme.</w:t>
            </w:r>
          </w:p>
          <w:p w:rsidR="009D5214" w:rsidRPr="00020DAA" w:rsidRDefault="009D5214" w:rsidP="00020DAA">
            <w:pPr>
              <w:pStyle w:val="BodyText"/>
              <w:tabs>
                <w:tab w:val="left" w:pos="9230"/>
              </w:tabs>
              <w:autoSpaceDE w:val="0"/>
              <w:autoSpaceDN w:val="0"/>
              <w:spacing w:after="120"/>
              <w:ind w:left="170" w:right="284"/>
              <w:rPr>
                <w:b/>
                <w:sz w:val="20"/>
              </w:rPr>
            </w:pPr>
            <w:r w:rsidRPr="00020DAA">
              <w:rPr>
                <w:b/>
                <w:sz w:val="20"/>
              </w:rPr>
              <w:t>Exposure</w:t>
            </w:r>
          </w:p>
          <w:p w:rsidR="009D5214" w:rsidRPr="00020DAA" w:rsidRDefault="009D5214" w:rsidP="00020DAA">
            <w:pPr>
              <w:pStyle w:val="BodyText"/>
              <w:tabs>
                <w:tab w:val="left" w:pos="9230"/>
              </w:tabs>
              <w:spacing w:after="120"/>
              <w:ind w:left="170" w:right="284"/>
              <w:rPr>
                <w:sz w:val="20"/>
                <w:lang w:eastAsia="ja-JP"/>
              </w:rPr>
            </w:pPr>
            <w:r w:rsidRPr="00020DAA">
              <w:rPr>
                <w:sz w:val="20"/>
                <w:lang w:eastAsia="ja-JP"/>
              </w:rPr>
              <w:t xml:space="preserve">The worldwide quantity of chloroformate production in 2008 was estimated at 10,000 - 12,000 metric tons for Europe and 3,000 – 5,000 metric tons for Asia.  </w:t>
            </w:r>
            <w:r w:rsidRPr="00020DAA">
              <w:rPr>
                <w:sz w:val="20"/>
              </w:rPr>
              <w:t xml:space="preserve">In the United States (sponsor country), chloroformate production ranged from 500,000 to 50 million pounds (225 – 22,500 metric </w:t>
            </w:r>
            <w:proofErr w:type="gramStart"/>
            <w:r w:rsidRPr="00020DAA">
              <w:rPr>
                <w:sz w:val="20"/>
              </w:rPr>
              <w:t>tons )</w:t>
            </w:r>
            <w:proofErr w:type="gramEnd"/>
            <w:r w:rsidRPr="00020DAA">
              <w:rPr>
                <w:sz w:val="20"/>
              </w:rPr>
              <w:t xml:space="preserve"> in 2006.</w:t>
            </w:r>
            <w:r w:rsidRPr="00020DAA">
              <w:rPr>
                <w:sz w:val="20"/>
                <w:lang w:eastAsia="ja-JP"/>
              </w:rPr>
              <w:t xml:space="preserve">  Most alkyl chloroformates are discontinuously or continuously prepared by the reaction of the corresponding liquid anhydrous alcohol with molar excess of dry, chloride-free phosgene. Evolving HCl is absorbed in a tower after recovering excess phosgene. Unreacted phosgene is removed from the crude chloroformates by vacuum stripping or gas purging.</w:t>
            </w:r>
          </w:p>
          <w:p w:rsidR="009D5214" w:rsidRPr="00020DAA" w:rsidRDefault="009D5214" w:rsidP="00020DAA">
            <w:pPr>
              <w:pStyle w:val="BodyText"/>
              <w:tabs>
                <w:tab w:val="left" w:pos="9230"/>
              </w:tabs>
              <w:spacing w:after="120"/>
              <w:ind w:left="170" w:right="284"/>
              <w:rPr>
                <w:sz w:val="20"/>
                <w:lang w:eastAsia="ja-JP"/>
              </w:rPr>
            </w:pPr>
            <w:r w:rsidRPr="00020DAA">
              <w:rPr>
                <w:sz w:val="20"/>
                <w:lang w:eastAsia="ja-JP"/>
              </w:rPr>
              <w:t xml:space="preserve">Chloroformates are highly reactive and can be used as intermediates in the synthesis of numerous compounds. Derivatization of chloroformates with alcohols and amines leads to carbamates and carbonates which are further processed to solvents, polycarbonates (high temperature resistant), polyurethanes [especially from </w:t>
            </w:r>
            <w:proofErr w:type="gramStart"/>
            <w:r w:rsidRPr="00020DAA">
              <w:rPr>
                <w:sz w:val="20"/>
                <w:lang w:eastAsia="ja-JP"/>
              </w:rPr>
              <w:t>bis(</w:t>
            </w:r>
            <w:proofErr w:type="gramEnd"/>
            <w:r w:rsidRPr="00020DAA">
              <w:rPr>
                <w:sz w:val="20"/>
                <w:lang w:eastAsia="ja-JP"/>
              </w:rPr>
              <w:t>chloroformic) esters] and plastics of high optical quality. Chloroformates are also valued as general purpose derivatizing agents for gas and liquid chromatographic analysis of molecules containing active functionality such as amines and carboxylic acids.  Chloroformates are also used as amino acid blocking agents during the synthesis of complex organic compounds.</w:t>
            </w:r>
          </w:p>
          <w:p w:rsidR="009D5214" w:rsidRPr="00020DAA" w:rsidRDefault="009D5214" w:rsidP="00020DAA">
            <w:pPr>
              <w:pStyle w:val="BodyText"/>
              <w:tabs>
                <w:tab w:val="left" w:pos="9230"/>
              </w:tabs>
              <w:spacing w:after="120"/>
              <w:ind w:left="170" w:right="284"/>
              <w:rPr>
                <w:sz w:val="20"/>
              </w:rPr>
            </w:pPr>
            <w:r w:rsidRPr="00020DAA">
              <w:rPr>
                <w:sz w:val="20"/>
              </w:rPr>
              <w:t>Chloroformates are manufactured within enclosed reactors and drums are filled using closed systems.  Reactors are housed in enclosed buildings. Occupational exposure is expected to be low because engineering controls (such as room air exchange, local exhaust, automatic phosgene monitoring) and personal protective equipment (respirators, protective rubber suits) are used as standard industry practice to limit occupational exposures during maintenance, cleaning, etc.  Additionally, employees are trained on safe use and handling, as well as emergency procedures in the event of an accident.</w:t>
            </w:r>
          </w:p>
          <w:p w:rsidR="009D5214" w:rsidRPr="00020DAA" w:rsidRDefault="009D5214" w:rsidP="00020DAA">
            <w:pPr>
              <w:pStyle w:val="BodyText"/>
              <w:tabs>
                <w:tab w:val="left" w:pos="2680"/>
                <w:tab w:val="left" w:pos="9230"/>
              </w:tabs>
              <w:spacing w:after="120"/>
              <w:ind w:left="170" w:right="284"/>
              <w:rPr>
                <w:sz w:val="20"/>
              </w:rPr>
            </w:pPr>
            <w:r w:rsidRPr="00020DAA">
              <w:rPr>
                <w:sz w:val="20"/>
              </w:rPr>
              <w:t>Chloroformates may be used in chromatographic analyses in laboratory settings, with some potential for occupational exposure.  However, once they react during the analysis, exposure is expected to be limited.</w:t>
            </w:r>
          </w:p>
          <w:p w:rsidR="009D5214" w:rsidRPr="00020DAA" w:rsidRDefault="009D5214" w:rsidP="00020DAA">
            <w:pPr>
              <w:tabs>
                <w:tab w:val="left" w:pos="0"/>
                <w:tab w:val="left" w:pos="2685"/>
                <w:tab w:val="left" w:pos="9230"/>
                <w:tab w:val="left" w:pos="10893"/>
                <w:tab w:val="left" w:pos="11505"/>
              </w:tabs>
              <w:spacing w:after="120"/>
              <w:ind w:left="170" w:right="284"/>
              <w:jc w:val="both"/>
              <w:rPr>
                <w:sz w:val="20"/>
                <w:szCs w:val="20"/>
              </w:rPr>
            </w:pPr>
            <w:r w:rsidRPr="00020DAA">
              <w:rPr>
                <w:sz w:val="20"/>
                <w:szCs w:val="20"/>
              </w:rPr>
              <w:t>Chloroformates are manufactured within enclosed reactors and are filled into tanks, drums or other suitable containers through closed systems, which limits environmental exposure.  Available data indicate that in 2008 in the sponsor country, more than 9,500 kg of MeCF and approximately 120,000 kg of EtCF were incinerated (as a waste disposal method).   Other releases totalled less than 100 kg of each of these chemicals in 2008.</w:t>
            </w:r>
          </w:p>
          <w:p w:rsidR="009D5214" w:rsidRPr="004D5F2B" w:rsidRDefault="009D5214" w:rsidP="00020DAA">
            <w:pPr>
              <w:pStyle w:val="BodyText"/>
              <w:tabs>
                <w:tab w:val="left" w:pos="2750"/>
                <w:tab w:val="left" w:pos="9230"/>
              </w:tabs>
              <w:spacing w:after="120"/>
              <w:ind w:left="170" w:right="284"/>
              <w:rPr>
                <w:sz w:val="20"/>
              </w:rPr>
            </w:pPr>
            <w:r w:rsidRPr="00020DAA">
              <w:rPr>
                <w:sz w:val="20"/>
              </w:rPr>
              <w:t>Chloroformates are not used in consumer products and therefore, exposure is not expected. Any residual content is expected to be low.</w:t>
            </w:r>
          </w:p>
        </w:tc>
      </w:tr>
    </w:tbl>
    <w:p w:rsidR="009D5214" w:rsidRPr="004D5F2B" w:rsidRDefault="009D5214" w:rsidP="009D5214">
      <w:pPr>
        <w:ind w:left="288" w:right="288"/>
        <w:rPr>
          <w:sz w:val="20"/>
          <w:szCs w:val="20"/>
        </w:rPr>
      </w:pPr>
    </w:p>
    <w:p w:rsidR="001D41E2" w:rsidRPr="004B7EF4" w:rsidRDefault="001D41E2" w:rsidP="001D379D">
      <w:pPr>
        <w:pStyle w:val="CoverTitle"/>
        <w:rPr>
          <w:lang w:val="en-US"/>
        </w:rPr>
        <w:sectPr w:rsidR="001D41E2" w:rsidRPr="004B7EF4" w:rsidSect="00020DAA">
          <w:headerReference w:type="even" r:id="rId30"/>
          <w:headerReference w:type="default" r:id="rId31"/>
          <w:footerReference w:type="even" r:id="rId32"/>
          <w:footerReference w:type="default" r:id="rId33"/>
          <w:type w:val="oddPage"/>
          <w:pgSz w:w="11907" w:h="16840" w:code="9"/>
          <w:pgMar w:top="1418" w:right="1134" w:bottom="1134" w:left="1134" w:header="737" w:footer="737" w:gutter="0"/>
          <w:pgNumType w:start="1"/>
          <w:cols w:space="720"/>
          <w:docGrid w:linePitch="360"/>
        </w:sectPr>
      </w:pPr>
    </w:p>
    <w:p w:rsidR="001D41E2" w:rsidRPr="004B7EF4" w:rsidRDefault="001D41E2" w:rsidP="001D379D">
      <w:pPr>
        <w:pStyle w:val="CoverTitle"/>
        <w:rPr>
          <w:lang w:val="en-US"/>
        </w:rPr>
      </w:pPr>
      <w:r w:rsidRPr="004B7EF4">
        <w:rPr>
          <w:lang w:val="en-US"/>
        </w:rPr>
        <w:t>SIDS Initial Assessment Report</w:t>
      </w:r>
    </w:p>
    <w:p w:rsidR="009D5214" w:rsidRDefault="001D41E2">
      <w:pPr>
        <w:pStyle w:val="Heading1"/>
        <w:numPr>
          <w:ilvl w:val="0"/>
          <w:numId w:val="28"/>
        </w:numPr>
        <w:tabs>
          <w:tab w:val="clear" w:pos="1077"/>
        </w:tabs>
        <w:ind w:left="839" w:hanging="839"/>
        <w:rPr>
          <w:lang w:val="en-US"/>
        </w:rPr>
      </w:pPr>
      <w:bookmarkStart w:id="3" w:name="_Toc264983244"/>
      <w:r w:rsidRPr="004B7EF4">
        <w:rPr>
          <w:lang w:val="en-US"/>
        </w:rPr>
        <w:t>identity</w:t>
      </w:r>
      <w:bookmarkEnd w:id="3"/>
    </w:p>
    <w:p w:rsidR="001D41E2" w:rsidRPr="004B7EF4" w:rsidRDefault="001D41E2" w:rsidP="001D379D">
      <w:pPr>
        <w:pStyle w:val="BodyText2"/>
        <w:tabs>
          <w:tab w:val="left" w:pos="-120"/>
        </w:tabs>
        <w:spacing w:before="120"/>
        <w:rPr>
          <w:lang w:val="en-US"/>
        </w:rPr>
      </w:pPr>
      <w:r w:rsidRPr="004B7EF4">
        <w:rPr>
          <w:lang w:val="en-US"/>
        </w:rPr>
        <w:t xml:space="preserve">The Chloroformates Category consists of </w:t>
      </w:r>
      <w:r>
        <w:rPr>
          <w:lang w:val="en-US"/>
        </w:rPr>
        <w:t>seven</w:t>
      </w:r>
      <w:r w:rsidRPr="004B7EF4">
        <w:rPr>
          <w:lang w:val="en-US"/>
        </w:rPr>
        <w:t xml:space="preserve"> sponsored chloroformates:</w:t>
      </w:r>
    </w:p>
    <w:p w:rsidR="001D41E2" w:rsidRPr="004B7EF4" w:rsidRDefault="001D41E2" w:rsidP="001D379D">
      <w:pPr>
        <w:pStyle w:val="BodyText2"/>
        <w:numPr>
          <w:ilvl w:val="0"/>
          <w:numId w:val="31"/>
        </w:numPr>
        <w:tabs>
          <w:tab w:val="left" w:pos="-120"/>
        </w:tabs>
        <w:rPr>
          <w:lang w:val="en-US"/>
        </w:rPr>
      </w:pPr>
      <w:r w:rsidRPr="004B7EF4">
        <w:rPr>
          <w:lang w:val="en-US"/>
        </w:rPr>
        <w:t xml:space="preserve">Methyl chloroformate (MeCF; CAS No. 79-22-1), </w:t>
      </w:r>
    </w:p>
    <w:p w:rsidR="001D41E2" w:rsidRPr="00F761CE" w:rsidRDefault="001D41E2" w:rsidP="001D379D">
      <w:pPr>
        <w:pStyle w:val="BodyText2"/>
        <w:numPr>
          <w:ilvl w:val="0"/>
          <w:numId w:val="31"/>
        </w:numPr>
        <w:tabs>
          <w:tab w:val="left" w:pos="-120"/>
        </w:tabs>
        <w:rPr>
          <w:lang w:val="fr-FR"/>
        </w:rPr>
      </w:pPr>
      <w:r w:rsidRPr="00F761CE">
        <w:rPr>
          <w:lang w:val="fr-FR"/>
        </w:rPr>
        <w:t xml:space="preserve">Ethyl chloroformate (EtCF; CAS No. 541-41-3), </w:t>
      </w:r>
    </w:p>
    <w:p w:rsidR="001D41E2" w:rsidRPr="004B7EF4" w:rsidRDefault="001D41E2" w:rsidP="001D379D">
      <w:pPr>
        <w:pStyle w:val="BodyText2"/>
        <w:numPr>
          <w:ilvl w:val="0"/>
          <w:numId w:val="31"/>
        </w:numPr>
        <w:tabs>
          <w:tab w:val="left" w:pos="-120"/>
        </w:tabs>
        <w:rPr>
          <w:lang w:val="en-US"/>
        </w:rPr>
      </w:pPr>
      <w:r w:rsidRPr="004B7EF4">
        <w:rPr>
          <w:lang w:val="en-US"/>
        </w:rPr>
        <w:t>Propyl chloroformate (PrCF; CAS No. 109-61-5)</w:t>
      </w:r>
    </w:p>
    <w:p w:rsidR="001D41E2" w:rsidRPr="009D5214" w:rsidRDefault="001D41E2" w:rsidP="001D379D">
      <w:pPr>
        <w:pStyle w:val="BodyText2"/>
        <w:numPr>
          <w:ilvl w:val="0"/>
          <w:numId w:val="31"/>
        </w:numPr>
        <w:tabs>
          <w:tab w:val="left" w:pos="1332"/>
        </w:tabs>
        <w:rPr>
          <w:lang w:val="fr-FR"/>
        </w:rPr>
      </w:pPr>
      <w:r w:rsidRPr="009D5214">
        <w:rPr>
          <w:lang w:val="fr-FR"/>
        </w:rPr>
        <w:t>Isopropyl chloroformate (IpCF; CAS No. 108-23-6)</w:t>
      </w:r>
    </w:p>
    <w:p w:rsidR="001D41E2" w:rsidRPr="001C339C" w:rsidRDefault="001D41E2" w:rsidP="001D379D">
      <w:pPr>
        <w:pStyle w:val="BodyText2"/>
        <w:numPr>
          <w:ilvl w:val="0"/>
          <w:numId w:val="31"/>
        </w:numPr>
        <w:tabs>
          <w:tab w:val="left" w:pos="1332"/>
        </w:tabs>
        <w:rPr>
          <w:lang w:val="en-US"/>
        </w:rPr>
      </w:pPr>
      <w:r w:rsidRPr="001C339C">
        <w:rPr>
          <w:lang w:val="en-US"/>
        </w:rPr>
        <w:t>Sec-Butyl chloroformate (SbCF; CAS No. 17462-58-7)</w:t>
      </w:r>
    </w:p>
    <w:p w:rsidR="001D41E2" w:rsidRPr="004B7EF4" w:rsidRDefault="001D41E2" w:rsidP="001D379D">
      <w:pPr>
        <w:pStyle w:val="BodyText2"/>
        <w:numPr>
          <w:ilvl w:val="0"/>
          <w:numId w:val="31"/>
        </w:numPr>
        <w:tabs>
          <w:tab w:val="left" w:pos="1332"/>
        </w:tabs>
        <w:rPr>
          <w:lang w:val="en-US"/>
        </w:rPr>
      </w:pPr>
      <w:r w:rsidRPr="004B7EF4">
        <w:rPr>
          <w:lang w:val="en-US"/>
        </w:rPr>
        <w:t xml:space="preserve">Oxydiethylene bis(chloroformate) (ObCF; CAS No. 106-75-2) and </w:t>
      </w:r>
    </w:p>
    <w:p w:rsidR="001D41E2" w:rsidRPr="004B7EF4" w:rsidRDefault="001D41E2" w:rsidP="001D379D">
      <w:pPr>
        <w:pStyle w:val="BodyText2"/>
        <w:numPr>
          <w:ilvl w:val="0"/>
          <w:numId w:val="31"/>
        </w:numPr>
        <w:tabs>
          <w:tab w:val="left" w:pos="1332"/>
        </w:tabs>
        <w:rPr>
          <w:lang w:val="en-US"/>
        </w:rPr>
      </w:pPr>
      <w:r w:rsidRPr="004B7EF4">
        <w:rPr>
          <w:lang w:val="en-US"/>
        </w:rPr>
        <w:t>2-Ethylhexyl chloroformate (EhCF; CAS No. 24468-13-1).</w:t>
      </w:r>
    </w:p>
    <w:p w:rsidR="001D41E2" w:rsidRPr="004B7EF4" w:rsidRDefault="001D41E2" w:rsidP="001D379D">
      <w:pPr>
        <w:autoSpaceDE w:val="0"/>
        <w:autoSpaceDN w:val="0"/>
        <w:adjustRightInd w:val="0"/>
        <w:spacing w:before="120"/>
        <w:jc w:val="both"/>
        <w:rPr>
          <w:lang w:eastAsia="de-DE"/>
        </w:rPr>
      </w:pPr>
      <w:r>
        <w:rPr>
          <w:lang w:eastAsia="de-DE"/>
        </w:rPr>
        <w:t>All m</w:t>
      </w:r>
      <w:r w:rsidRPr="004B7EF4">
        <w:rPr>
          <w:lang w:eastAsia="de-DE"/>
        </w:rPr>
        <w:t xml:space="preserve">embers of the chloroformates category possess </w:t>
      </w:r>
      <w:r>
        <w:rPr>
          <w:lang w:eastAsia="de-DE"/>
        </w:rPr>
        <w:t>the chloroformate functional group</w:t>
      </w:r>
      <w:r w:rsidRPr="004B7EF4">
        <w:rPr>
          <w:lang w:eastAsia="de-DE"/>
        </w:rPr>
        <w:t>. They can be</w:t>
      </w:r>
      <w:r>
        <w:rPr>
          <w:lang w:eastAsia="de-DE"/>
        </w:rPr>
        <w:t xml:space="preserve"> </w:t>
      </w:r>
      <w:r w:rsidRPr="004B7EF4">
        <w:rPr>
          <w:lang w:eastAsia="de-DE"/>
        </w:rPr>
        <w:t>represented by the following general molecular formula:</w:t>
      </w:r>
    </w:p>
    <w:p w:rsidR="001D41E2" w:rsidRPr="004B7EF4" w:rsidRDefault="001D41E2" w:rsidP="00272AAD">
      <w:pPr>
        <w:autoSpaceDE w:val="0"/>
        <w:autoSpaceDN w:val="0"/>
        <w:adjustRightInd w:val="0"/>
        <w:spacing w:before="120"/>
        <w:jc w:val="center"/>
        <w:rPr>
          <w:sz w:val="20"/>
          <w:szCs w:val="20"/>
          <w:lang w:eastAsia="de-DE"/>
        </w:rPr>
      </w:pPr>
      <w:r w:rsidRPr="004B7EF4">
        <w:rPr>
          <w:lang w:eastAsia="de-DE"/>
        </w:rPr>
        <w:t>R-O(C=O</w:t>
      </w:r>
      <w:proofErr w:type="gramStart"/>
      <w:r w:rsidRPr="004B7EF4">
        <w:rPr>
          <w:lang w:eastAsia="de-DE"/>
        </w:rPr>
        <w:t>)Cl</w:t>
      </w:r>
      <w:proofErr w:type="gramEnd"/>
      <w:r w:rsidRPr="004B7EF4">
        <w:rPr>
          <w:lang w:eastAsia="de-DE"/>
        </w:rPr>
        <w:t xml:space="preserve"> where R = an alkyl group</w:t>
      </w:r>
    </w:p>
    <w:p w:rsidR="001D41E2" w:rsidRPr="004B7EF4" w:rsidRDefault="001D41E2" w:rsidP="001D379D">
      <w:pPr>
        <w:pStyle w:val="BodyText"/>
        <w:spacing w:before="120"/>
        <w:ind w:right="-562"/>
        <w:rPr>
          <w:lang w:val="en-US"/>
        </w:rPr>
      </w:pPr>
      <w:r w:rsidRPr="004B7EF4">
        <w:rPr>
          <w:lang w:val="en-US"/>
        </w:rPr>
        <w:t xml:space="preserve">The chloroformate </w:t>
      </w:r>
      <w:r>
        <w:rPr>
          <w:lang w:val="en-US"/>
        </w:rPr>
        <w:t>group</w:t>
      </w:r>
      <w:r w:rsidRPr="004B7EF4">
        <w:rPr>
          <w:lang w:val="en-US"/>
        </w:rPr>
        <w:t xml:space="preserve"> (i.e., -O(C=O</w:t>
      </w:r>
      <w:proofErr w:type="gramStart"/>
      <w:r w:rsidRPr="004B7EF4">
        <w:rPr>
          <w:lang w:val="en-US"/>
        </w:rPr>
        <w:t>)Cl</w:t>
      </w:r>
      <w:proofErr w:type="gramEnd"/>
      <w:r w:rsidRPr="004B7EF4">
        <w:rPr>
          <w:lang w:val="en-US"/>
        </w:rPr>
        <w:t>) is the most active functional group and determines many aspects of the behaviour of the category members.  The chloroformate group undergoes rapid hydrolysis in the presence of water</w:t>
      </w:r>
      <w:r>
        <w:rPr>
          <w:lang w:val="en-US"/>
        </w:rPr>
        <w:t xml:space="preserve"> or moisture</w:t>
      </w:r>
      <w:r w:rsidRPr="004B7EF4">
        <w:rPr>
          <w:lang w:val="en-US"/>
        </w:rPr>
        <w:t xml:space="preserve"> </w:t>
      </w:r>
      <w:r>
        <w:rPr>
          <w:lang w:val="en-US"/>
        </w:rPr>
        <w:t xml:space="preserve">(half-life </w:t>
      </w:r>
      <w:r w:rsidR="007D3E3E" w:rsidRPr="007D3E3E">
        <w:rPr>
          <w:u w:val="single"/>
          <w:lang w:val="en-US"/>
        </w:rPr>
        <w:t>&lt;</w:t>
      </w:r>
      <w:r>
        <w:rPr>
          <w:u w:val="single"/>
          <w:lang w:val="en-US"/>
        </w:rPr>
        <w:t xml:space="preserve"> </w:t>
      </w:r>
      <w:r>
        <w:rPr>
          <w:lang w:val="en-US"/>
        </w:rPr>
        <w:t xml:space="preserve">30 minutes) </w:t>
      </w:r>
      <w:r w:rsidRPr="004B7EF4">
        <w:rPr>
          <w:lang w:val="en-US"/>
        </w:rPr>
        <w:t>to form one mole of hydrochloric acid</w:t>
      </w:r>
      <w:r>
        <w:rPr>
          <w:lang w:val="en-US"/>
        </w:rPr>
        <w:t xml:space="preserve"> (HCl),</w:t>
      </w:r>
      <w:r w:rsidRPr="004B7EF4">
        <w:rPr>
          <w:lang w:val="en-US"/>
        </w:rPr>
        <w:t xml:space="preserve"> carbon dioxide</w:t>
      </w:r>
      <w:r>
        <w:rPr>
          <w:lang w:val="en-US"/>
        </w:rPr>
        <w:t xml:space="preserve"> (CO</w:t>
      </w:r>
      <w:r w:rsidR="007D3E3E" w:rsidRPr="007D3E3E">
        <w:rPr>
          <w:vertAlign w:val="subscript"/>
          <w:lang w:val="en-US"/>
        </w:rPr>
        <w:t>2</w:t>
      </w:r>
      <w:r>
        <w:rPr>
          <w:lang w:val="en-US"/>
        </w:rPr>
        <w:t>),</w:t>
      </w:r>
      <w:r w:rsidRPr="004B7EF4">
        <w:rPr>
          <w:lang w:val="en-US"/>
        </w:rPr>
        <w:t xml:space="preserve"> and </w:t>
      </w:r>
      <w:r>
        <w:rPr>
          <w:lang w:val="en-US"/>
        </w:rPr>
        <w:t xml:space="preserve">the corresponding </w:t>
      </w:r>
      <w:r w:rsidRPr="004B7EF4">
        <w:rPr>
          <w:lang w:val="en-US"/>
        </w:rPr>
        <w:t>alcohol</w:t>
      </w:r>
      <w:r>
        <w:rPr>
          <w:lang w:val="en-US"/>
        </w:rPr>
        <w:t xml:space="preserve"> (see below)</w:t>
      </w:r>
      <w:r w:rsidRPr="004B7EF4">
        <w:rPr>
          <w:lang w:val="en-US"/>
        </w:rPr>
        <w:t xml:space="preserve">.  </w:t>
      </w:r>
    </w:p>
    <w:p w:rsidR="001D41E2" w:rsidRPr="004B7EF4" w:rsidRDefault="001D41E2" w:rsidP="001D379D">
      <w:pPr>
        <w:pStyle w:val="Heading2"/>
        <w:numPr>
          <w:ilvl w:val="1"/>
          <w:numId w:val="28"/>
        </w:numPr>
        <w:tabs>
          <w:tab w:val="clear" w:pos="1440"/>
        </w:tabs>
        <w:rPr>
          <w:lang w:val="en-US"/>
        </w:rPr>
      </w:pPr>
      <w:bookmarkStart w:id="4" w:name="_Toc264983245"/>
      <w:r w:rsidRPr="004B7EF4">
        <w:rPr>
          <w:lang w:val="en-US"/>
        </w:rPr>
        <w:t>Identification of the Category</w:t>
      </w:r>
      <w:bookmarkEnd w:id="4"/>
    </w:p>
    <w:p w:rsidR="001D41E2" w:rsidRPr="004B7EF4" w:rsidRDefault="001D41E2" w:rsidP="001D379D">
      <w:pPr>
        <w:pStyle w:val="BodyText"/>
        <w:rPr>
          <w:lang w:val="en-US"/>
        </w:rPr>
      </w:pPr>
      <w:r w:rsidRPr="004B7EF4">
        <w:rPr>
          <w:lang w:val="en-US"/>
        </w:rPr>
        <w:t xml:space="preserve">Table 1 provides the chemical identifiers of the sponsored </w:t>
      </w:r>
      <w:r>
        <w:rPr>
          <w:lang w:val="en-US"/>
        </w:rPr>
        <w:t xml:space="preserve">substances </w:t>
      </w:r>
      <w:r w:rsidRPr="004B7EF4">
        <w:rPr>
          <w:lang w:val="en-US"/>
        </w:rPr>
        <w:t xml:space="preserve">and </w:t>
      </w:r>
      <w:r>
        <w:rPr>
          <w:lang w:val="en-US"/>
        </w:rPr>
        <w:t>hydrolysis products including</w:t>
      </w:r>
      <w:r w:rsidRPr="004B7EF4">
        <w:rPr>
          <w:lang w:val="en-US"/>
        </w:rPr>
        <w:t xml:space="preserve"> the IUPAC names, molecular formulas, structural formulas, molecular weights, and the synonyms.</w:t>
      </w:r>
    </w:p>
    <w:p w:rsidR="001D41E2" w:rsidRDefault="001D41E2" w:rsidP="00690872">
      <w:pPr>
        <w:pStyle w:val="Caption"/>
        <w:ind w:left="0"/>
        <w:rPr>
          <w:rFonts w:ascii="Times New Roman" w:hAnsi="Times New Roman" w:cs="Times New Roman"/>
          <w:bCs w:val="0"/>
        </w:rPr>
      </w:pPr>
      <w:bookmarkStart w:id="5" w:name="_Toc262044517"/>
      <w:bookmarkStart w:id="6" w:name="_Toc264983279"/>
      <w:r w:rsidRPr="00690872">
        <w:t xml:space="preserve">Table </w:t>
      </w:r>
      <w:r w:rsidR="00BB0749" w:rsidRPr="00690872">
        <w:fldChar w:fldCharType="begin"/>
      </w:r>
      <w:r w:rsidR="005F10AC" w:rsidRPr="00690872">
        <w:instrText xml:space="preserve"> SEQ Table \* ARABIC </w:instrText>
      </w:r>
      <w:r w:rsidR="00BB0749" w:rsidRPr="00690872">
        <w:fldChar w:fldCharType="separate"/>
      </w:r>
      <w:proofErr w:type="gramStart"/>
      <w:r w:rsidR="00AB3C07" w:rsidRPr="00690872">
        <w:rPr>
          <w:noProof/>
        </w:rPr>
        <w:t>1</w:t>
      </w:r>
      <w:r w:rsidR="00BB0749" w:rsidRPr="00690872">
        <w:fldChar w:fldCharType="end"/>
      </w:r>
      <w:r w:rsidRPr="00690872">
        <w:t xml:space="preserve">     </w:t>
      </w:r>
      <w:r w:rsidRPr="00690872">
        <w:rPr>
          <w:rFonts w:ascii="Times New Roman" w:hAnsi="Times New Roman" w:cs="Times New Roman"/>
          <w:bCs w:val="0"/>
        </w:rPr>
        <w:t>Chemical identifiers of the sponsored substances and hydrolysis products</w:t>
      </w:r>
      <w:bookmarkEnd w:id="5"/>
      <w:bookmarkEnd w:id="6"/>
      <w:proofErr w:type="gramEnd"/>
      <w:r w:rsidRPr="00690872">
        <w:rPr>
          <w:rFonts w:ascii="Times New Roman" w:hAnsi="Times New Roman" w:cs="Times New Roman"/>
          <w:bCs w:val="0"/>
        </w:rPr>
        <w:t xml:space="preserve">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39"/>
        <w:gridCol w:w="2188"/>
        <w:gridCol w:w="567"/>
        <w:gridCol w:w="567"/>
        <w:gridCol w:w="1843"/>
        <w:gridCol w:w="1984"/>
        <w:gridCol w:w="1667"/>
      </w:tblGrid>
      <w:tr w:rsidR="001D41E2" w:rsidRPr="00690872" w:rsidTr="00444395">
        <w:trPr>
          <w:trHeight w:val="334"/>
          <w:tblHeader/>
        </w:trPr>
        <w:tc>
          <w:tcPr>
            <w:tcW w:w="1039" w:type="dxa"/>
            <w:tcBorders>
              <w:bottom w:val="single" w:sz="12" w:space="0" w:color="auto"/>
              <w:right w:val="single" w:sz="6" w:space="0" w:color="auto"/>
            </w:tcBorders>
            <w:vAlign w:val="center"/>
          </w:tcPr>
          <w:p w:rsidR="001D41E2" w:rsidRPr="00690872" w:rsidRDefault="001D41E2" w:rsidP="00444395">
            <w:pPr>
              <w:pStyle w:val="BodyText2"/>
              <w:jc w:val="center"/>
              <w:rPr>
                <w:b/>
                <w:sz w:val="20"/>
                <w:lang w:val="en-US"/>
              </w:rPr>
            </w:pPr>
          </w:p>
        </w:tc>
        <w:tc>
          <w:tcPr>
            <w:tcW w:w="5165" w:type="dxa"/>
            <w:gridSpan w:val="4"/>
            <w:tcBorders>
              <w:left w:val="single" w:sz="6" w:space="0" w:color="auto"/>
              <w:bottom w:val="single" w:sz="12" w:space="0" w:color="auto"/>
              <w:right w:val="single" w:sz="6" w:space="0" w:color="auto"/>
            </w:tcBorders>
            <w:vAlign w:val="center"/>
          </w:tcPr>
          <w:p w:rsidR="001D41E2" w:rsidRPr="00690872" w:rsidRDefault="001D41E2" w:rsidP="00773BAB">
            <w:pPr>
              <w:pStyle w:val="BodyText2"/>
              <w:tabs>
                <w:tab w:val="left" w:pos="1332"/>
              </w:tabs>
              <w:ind w:left="1339" w:hanging="1339"/>
              <w:jc w:val="center"/>
              <w:rPr>
                <w:b/>
                <w:sz w:val="20"/>
                <w:lang w:val="en-US"/>
              </w:rPr>
            </w:pPr>
            <w:r w:rsidRPr="00690872">
              <w:rPr>
                <w:b/>
                <w:bCs/>
                <w:sz w:val="20"/>
                <w:lang w:val="en-US"/>
              </w:rPr>
              <w:t>Sponsored substances</w:t>
            </w:r>
          </w:p>
        </w:tc>
        <w:tc>
          <w:tcPr>
            <w:tcW w:w="3651" w:type="dxa"/>
            <w:gridSpan w:val="2"/>
            <w:tcBorders>
              <w:left w:val="single" w:sz="6" w:space="0" w:color="auto"/>
              <w:bottom w:val="single" w:sz="12" w:space="0" w:color="auto"/>
            </w:tcBorders>
            <w:vAlign w:val="center"/>
          </w:tcPr>
          <w:p w:rsidR="001D41E2" w:rsidRPr="00690872" w:rsidRDefault="001D41E2" w:rsidP="00E14A85">
            <w:pPr>
              <w:pStyle w:val="BodyText2"/>
              <w:tabs>
                <w:tab w:val="left" w:pos="132"/>
              </w:tabs>
              <w:ind w:left="12" w:hanging="12"/>
              <w:jc w:val="center"/>
              <w:rPr>
                <w:b/>
                <w:bCs/>
                <w:sz w:val="20"/>
                <w:lang w:val="en-US"/>
              </w:rPr>
            </w:pPr>
            <w:r w:rsidRPr="00690872">
              <w:rPr>
                <w:b/>
                <w:bCs/>
                <w:sz w:val="20"/>
                <w:lang w:val="en-US"/>
              </w:rPr>
              <w:t>Hydrolysis products</w:t>
            </w:r>
          </w:p>
        </w:tc>
      </w:tr>
      <w:tr w:rsidR="001877D0" w:rsidRPr="004B7EF4" w:rsidTr="00444395">
        <w:tc>
          <w:tcPr>
            <w:tcW w:w="1039" w:type="dxa"/>
            <w:vMerge w:val="restart"/>
            <w:tcBorders>
              <w:top w:val="single" w:sz="12"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r w:rsidRPr="00E14A85">
              <w:rPr>
                <w:sz w:val="20"/>
                <w:lang w:val="en-US"/>
              </w:rPr>
              <w:t>CAS</w:t>
            </w:r>
            <w:r w:rsidRPr="00690872">
              <w:rPr>
                <w:b/>
                <w:sz w:val="20"/>
                <w:lang w:val="en-US"/>
              </w:rPr>
              <w:t xml:space="preserve"> </w:t>
            </w:r>
            <w:r w:rsidRPr="00E14A85">
              <w:rPr>
                <w:sz w:val="20"/>
                <w:lang w:val="en-US"/>
              </w:rPr>
              <w:t>Numbers</w:t>
            </w:r>
          </w:p>
        </w:tc>
        <w:tc>
          <w:tcPr>
            <w:tcW w:w="3322" w:type="dxa"/>
            <w:gridSpan w:val="3"/>
            <w:tcBorders>
              <w:top w:val="single" w:sz="12" w:space="0" w:color="auto"/>
              <w:left w:val="single" w:sz="6" w:space="0" w:color="auto"/>
              <w:bottom w:val="single" w:sz="6" w:space="0" w:color="auto"/>
              <w:right w:val="nil"/>
            </w:tcBorders>
            <w:vAlign w:val="center"/>
          </w:tcPr>
          <w:p w:rsidR="001877D0" w:rsidRPr="00690872" w:rsidRDefault="001877D0" w:rsidP="00AD62CB">
            <w:pPr>
              <w:pStyle w:val="BodyText2"/>
              <w:tabs>
                <w:tab w:val="left" w:pos="1938"/>
              </w:tabs>
              <w:spacing w:after="60"/>
              <w:ind w:left="379"/>
              <w:jc w:val="left"/>
              <w:rPr>
                <w:sz w:val="20"/>
                <w:lang w:val="en-US"/>
              </w:rPr>
            </w:pPr>
            <w:r w:rsidRPr="00690872">
              <w:rPr>
                <w:sz w:val="20"/>
                <w:lang w:val="en-US"/>
              </w:rPr>
              <w:t xml:space="preserve">Methyl Chloroformate (MeCF):  </w:t>
            </w:r>
            <w:r>
              <w:rPr>
                <w:sz w:val="20"/>
                <w:lang w:val="en-US"/>
              </w:rPr>
              <w:t xml:space="preserve"> </w:t>
            </w:r>
          </w:p>
        </w:tc>
        <w:tc>
          <w:tcPr>
            <w:tcW w:w="1843" w:type="dxa"/>
            <w:tcBorders>
              <w:top w:val="single" w:sz="12" w:space="0" w:color="auto"/>
              <w:left w:val="nil"/>
              <w:bottom w:val="single" w:sz="6" w:space="0" w:color="auto"/>
              <w:right w:val="single" w:sz="6" w:space="0" w:color="auto"/>
            </w:tcBorders>
          </w:tcPr>
          <w:p w:rsidR="001877D0" w:rsidRPr="00690872" w:rsidRDefault="001877D0" w:rsidP="00AD62CB">
            <w:pPr>
              <w:pStyle w:val="BodyText2"/>
              <w:tabs>
                <w:tab w:val="left" w:pos="1938"/>
              </w:tabs>
              <w:spacing w:after="60"/>
              <w:ind w:left="34"/>
              <w:jc w:val="left"/>
              <w:rPr>
                <w:sz w:val="20"/>
                <w:lang w:val="en-US"/>
              </w:rPr>
            </w:pPr>
            <w:r w:rsidRPr="00690872">
              <w:rPr>
                <w:sz w:val="20"/>
                <w:lang w:val="en-US"/>
              </w:rPr>
              <w:t>79-22-1</w:t>
            </w:r>
          </w:p>
        </w:tc>
        <w:tc>
          <w:tcPr>
            <w:tcW w:w="1984" w:type="dxa"/>
            <w:tcBorders>
              <w:top w:val="single" w:sz="12"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Methanol (Me):</w:t>
            </w:r>
            <w:r w:rsidRPr="00690872">
              <w:rPr>
                <w:sz w:val="20"/>
                <w:lang w:val="en-US"/>
              </w:rPr>
              <w:t xml:space="preserve"> </w:t>
            </w:r>
          </w:p>
        </w:tc>
        <w:tc>
          <w:tcPr>
            <w:tcW w:w="1667" w:type="dxa"/>
            <w:tcBorders>
              <w:top w:val="single" w:sz="12"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67-56-1</w:t>
            </w:r>
          </w:p>
        </w:tc>
      </w:tr>
      <w:tr w:rsidR="001877D0" w:rsidRPr="004B7EF4" w:rsidTr="00444395">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 xml:space="preserve">Ethyl chloroformate (EtCF):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541-41-3</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sidRPr="00690872">
              <w:rPr>
                <w:sz w:val="20"/>
                <w:lang w:val="en-US"/>
              </w:rPr>
              <w:t xml:space="preserve">Ethanol (Et):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64-17-5</w:t>
            </w:r>
          </w:p>
        </w:tc>
      </w:tr>
      <w:tr w:rsidR="001877D0" w:rsidRPr="004B7EF4" w:rsidTr="00444395">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 xml:space="preserve">Propyl chloroformate (PrCF):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109-61-5</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 xml:space="preserve">Propanol (Pr):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71-23-8</w:t>
            </w:r>
          </w:p>
        </w:tc>
      </w:tr>
      <w:tr w:rsidR="001877D0" w:rsidRPr="004B7EF4" w:rsidTr="00444395">
        <w:trPr>
          <w:trHeight w:val="301"/>
        </w:trPr>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 xml:space="preserve">Isopropyl chloroformate (IpCF):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108-23-6</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sz w:val="20"/>
                <w:lang w:val="en-US"/>
              </w:rPr>
            </w:pPr>
            <w:r w:rsidRPr="00690872">
              <w:rPr>
                <w:sz w:val="20"/>
                <w:lang w:val="en-US"/>
              </w:rPr>
              <w:t xml:space="preserve">Isopropanol (Ip):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67-63-0</w:t>
            </w:r>
          </w:p>
        </w:tc>
      </w:tr>
      <w:tr w:rsidR="001877D0" w:rsidRPr="004B7EF4" w:rsidTr="00444395">
        <w:trPr>
          <w:trHeight w:val="301"/>
        </w:trPr>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 xml:space="preserve">Sec-butyl chloroformate (SbCF):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17462-58-7</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 xml:space="preserve">Sec-butanol (Sb):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78-92-2</w:t>
            </w:r>
          </w:p>
        </w:tc>
      </w:tr>
      <w:tr w:rsidR="001877D0" w:rsidRPr="004B7EF4" w:rsidTr="00444395">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spacing w:after="60"/>
              <w:ind w:left="379"/>
              <w:jc w:val="left"/>
              <w:rPr>
                <w:sz w:val="20"/>
                <w:lang w:val="en-US"/>
              </w:rPr>
            </w:pPr>
            <w:r w:rsidRPr="00690872">
              <w:rPr>
                <w:sz w:val="20"/>
                <w:lang w:val="en-US"/>
              </w:rPr>
              <w:t xml:space="preserve">Oxydiethylene bis(chloroformate) (ObCF):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106-75-2</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 xml:space="preserve">Diethylene glycol (DEG):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111-46-6</w:t>
            </w:r>
          </w:p>
        </w:tc>
      </w:tr>
      <w:tr w:rsidR="001877D0" w:rsidRPr="004B7EF4" w:rsidTr="00444395">
        <w:tc>
          <w:tcPr>
            <w:tcW w:w="1039" w:type="dxa"/>
            <w:vMerge/>
            <w:tcBorders>
              <w:top w:val="single" w:sz="6" w:space="0" w:color="auto"/>
              <w:bottom w:val="single" w:sz="6"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6" w:space="0" w:color="auto"/>
              <w:right w:val="nil"/>
            </w:tcBorders>
            <w:vAlign w:val="center"/>
          </w:tcPr>
          <w:p w:rsidR="001877D0" w:rsidRPr="00690872" w:rsidRDefault="001877D0" w:rsidP="00AD62CB">
            <w:pPr>
              <w:pStyle w:val="BodyText2"/>
              <w:spacing w:after="60"/>
              <w:ind w:left="379"/>
              <w:jc w:val="left"/>
              <w:rPr>
                <w:sz w:val="20"/>
                <w:lang w:val="en-US"/>
              </w:rPr>
            </w:pPr>
            <w:r w:rsidRPr="00690872">
              <w:rPr>
                <w:sz w:val="20"/>
                <w:lang w:val="en-US"/>
              </w:rPr>
              <w:t>2-E</w:t>
            </w:r>
            <w:r>
              <w:rPr>
                <w:sz w:val="20"/>
                <w:lang w:val="en-US"/>
              </w:rPr>
              <w:t xml:space="preserve">thylhexyl chloroformate (EhCF): </w:t>
            </w:r>
            <w:r w:rsidRPr="00690872">
              <w:rPr>
                <w:sz w:val="20"/>
                <w:lang w:val="en-US"/>
              </w:rPr>
              <w:t xml:space="preserve"> </w:t>
            </w:r>
          </w:p>
        </w:tc>
        <w:tc>
          <w:tcPr>
            <w:tcW w:w="1843" w:type="dxa"/>
            <w:tcBorders>
              <w:top w:val="single" w:sz="6" w:space="0" w:color="auto"/>
              <w:left w:val="nil"/>
              <w:bottom w:val="single" w:sz="6" w:space="0" w:color="auto"/>
              <w:right w:val="single" w:sz="6" w:space="0" w:color="auto"/>
            </w:tcBorders>
          </w:tcPr>
          <w:p w:rsidR="001877D0" w:rsidRPr="00690872" w:rsidRDefault="001877D0" w:rsidP="00AD62CB">
            <w:pPr>
              <w:pStyle w:val="BodyText2"/>
              <w:spacing w:after="60"/>
              <w:ind w:left="34"/>
              <w:jc w:val="left"/>
              <w:rPr>
                <w:sz w:val="20"/>
                <w:lang w:val="en-US"/>
              </w:rPr>
            </w:pPr>
            <w:r w:rsidRPr="00690872">
              <w:rPr>
                <w:sz w:val="20"/>
                <w:lang w:val="en-US"/>
              </w:rPr>
              <w:t>24468-13-1</w:t>
            </w:r>
          </w:p>
        </w:tc>
        <w:tc>
          <w:tcPr>
            <w:tcW w:w="1984" w:type="dxa"/>
            <w:tcBorders>
              <w:top w:val="single" w:sz="6" w:space="0" w:color="auto"/>
              <w:left w:val="single" w:sz="6" w:space="0" w:color="auto"/>
              <w:bottom w:val="single" w:sz="6"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 xml:space="preserve">Ethyl hexanol (Eh): </w:t>
            </w:r>
          </w:p>
        </w:tc>
        <w:tc>
          <w:tcPr>
            <w:tcW w:w="1667" w:type="dxa"/>
            <w:tcBorders>
              <w:top w:val="single" w:sz="6" w:space="0" w:color="auto"/>
              <w:left w:val="nil"/>
              <w:bottom w:val="single" w:sz="6" w:space="0" w:color="auto"/>
            </w:tcBorders>
            <w:vAlign w:val="center"/>
          </w:tcPr>
          <w:p w:rsidR="001877D0" w:rsidRPr="00690872" w:rsidRDefault="001877D0" w:rsidP="00AD62CB">
            <w:pPr>
              <w:pStyle w:val="BodyText2"/>
              <w:tabs>
                <w:tab w:val="left" w:pos="1332"/>
              </w:tabs>
              <w:spacing w:after="60"/>
              <w:ind w:left="1339" w:hanging="1339"/>
              <w:jc w:val="left"/>
              <w:rPr>
                <w:b/>
                <w:bCs/>
                <w:sz w:val="20"/>
                <w:lang w:val="en-US"/>
              </w:rPr>
            </w:pPr>
            <w:r w:rsidRPr="00690872">
              <w:rPr>
                <w:sz w:val="20"/>
                <w:lang w:val="en-US"/>
              </w:rPr>
              <w:t>104-76-7</w:t>
            </w:r>
          </w:p>
        </w:tc>
      </w:tr>
      <w:tr w:rsidR="001877D0" w:rsidRPr="004B7EF4" w:rsidTr="00444395">
        <w:tc>
          <w:tcPr>
            <w:tcW w:w="1039" w:type="dxa"/>
            <w:vMerge/>
            <w:tcBorders>
              <w:top w:val="single" w:sz="6" w:space="0" w:color="auto"/>
              <w:bottom w:val="single" w:sz="12" w:space="0" w:color="auto"/>
              <w:right w:val="single" w:sz="6"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6" w:space="0" w:color="auto"/>
              <w:left w:val="single" w:sz="6" w:space="0" w:color="auto"/>
              <w:bottom w:val="single" w:sz="12"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p>
        </w:tc>
        <w:tc>
          <w:tcPr>
            <w:tcW w:w="1843" w:type="dxa"/>
            <w:tcBorders>
              <w:top w:val="single" w:sz="6" w:space="0" w:color="auto"/>
              <w:left w:val="nil"/>
              <w:bottom w:val="single" w:sz="12" w:space="0" w:color="auto"/>
              <w:right w:val="single" w:sz="6" w:space="0" w:color="auto"/>
            </w:tcBorders>
          </w:tcPr>
          <w:p w:rsidR="001877D0" w:rsidRPr="00690872" w:rsidRDefault="001877D0" w:rsidP="00AD62CB">
            <w:pPr>
              <w:pStyle w:val="BodyText2"/>
              <w:tabs>
                <w:tab w:val="left" w:pos="1332"/>
              </w:tabs>
              <w:spacing w:after="60"/>
              <w:ind w:left="34"/>
              <w:jc w:val="left"/>
              <w:rPr>
                <w:sz w:val="20"/>
                <w:lang w:val="en-US"/>
              </w:rPr>
            </w:pPr>
          </w:p>
        </w:tc>
        <w:tc>
          <w:tcPr>
            <w:tcW w:w="1984" w:type="dxa"/>
            <w:tcBorders>
              <w:top w:val="single" w:sz="6" w:space="0" w:color="auto"/>
              <w:left w:val="single" w:sz="6" w:space="0" w:color="auto"/>
              <w:bottom w:val="single" w:sz="12" w:space="0" w:color="auto"/>
              <w:right w:val="nil"/>
            </w:tcBorders>
            <w:vAlign w:val="center"/>
          </w:tcPr>
          <w:p w:rsidR="001877D0" w:rsidRPr="00690872" w:rsidRDefault="001877D0" w:rsidP="006257AC">
            <w:pPr>
              <w:pStyle w:val="BodyText2"/>
              <w:tabs>
                <w:tab w:val="left" w:pos="175"/>
                <w:tab w:val="left" w:pos="1332"/>
              </w:tabs>
              <w:spacing w:after="60"/>
              <w:ind w:left="175" w:right="34"/>
              <w:jc w:val="left"/>
              <w:rPr>
                <w:sz w:val="20"/>
                <w:lang w:val="en-US"/>
              </w:rPr>
            </w:pPr>
            <w:r>
              <w:rPr>
                <w:sz w:val="20"/>
                <w:lang w:val="en-US"/>
              </w:rPr>
              <w:t xml:space="preserve">HCl: </w:t>
            </w:r>
          </w:p>
        </w:tc>
        <w:tc>
          <w:tcPr>
            <w:tcW w:w="1667" w:type="dxa"/>
            <w:tcBorders>
              <w:top w:val="single" w:sz="6" w:space="0" w:color="auto"/>
              <w:left w:val="nil"/>
              <w:bottom w:val="single" w:sz="12"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7647-01-0</w:t>
            </w:r>
          </w:p>
        </w:tc>
      </w:tr>
      <w:tr w:rsidR="001877D0" w:rsidRPr="004B7EF4" w:rsidTr="00444395">
        <w:tc>
          <w:tcPr>
            <w:tcW w:w="1039" w:type="dxa"/>
            <w:vMerge w:val="restart"/>
            <w:tcBorders>
              <w:top w:val="single" w:sz="12" w:space="0" w:color="auto"/>
              <w:right w:val="single" w:sz="4" w:space="0" w:color="auto"/>
            </w:tcBorders>
            <w:vAlign w:val="center"/>
          </w:tcPr>
          <w:p w:rsidR="001877D0" w:rsidRPr="00690872" w:rsidRDefault="001877D0" w:rsidP="00444395">
            <w:pPr>
              <w:pStyle w:val="BodyText2"/>
              <w:spacing w:after="60"/>
              <w:jc w:val="center"/>
              <w:rPr>
                <w:b/>
                <w:sz w:val="20"/>
                <w:lang w:val="en-US"/>
              </w:rPr>
            </w:pPr>
            <w:r w:rsidRPr="00E14A85">
              <w:rPr>
                <w:sz w:val="20"/>
                <w:lang w:val="en-US"/>
              </w:rPr>
              <w:t>IUPAC</w:t>
            </w:r>
            <w:r w:rsidRPr="00690872">
              <w:rPr>
                <w:b/>
                <w:sz w:val="20"/>
                <w:lang w:val="en-US"/>
              </w:rPr>
              <w:t xml:space="preserve"> </w:t>
            </w:r>
            <w:r w:rsidRPr="00E14A85">
              <w:rPr>
                <w:sz w:val="20"/>
                <w:lang w:val="en-US"/>
              </w:rPr>
              <w:t>Names</w:t>
            </w:r>
          </w:p>
        </w:tc>
        <w:tc>
          <w:tcPr>
            <w:tcW w:w="3322" w:type="dxa"/>
            <w:gridSpan w:val="3"/>
            <w:tcBorders>
              <w:top w:val="single" w:sz="12"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MeCF:</w:t>
            </w:r>
            <w:r w:rsidRPr="00690872">
              <w:rPr>
                <w:sz w:val="20"/>
                <w:lang w:val="en-US"/>
              </w:rPr>
              <w:tab/>
            </w:r>
          </w:p>
        </w:tc>
        <w:tc>
          <w:tcPr>
            <w:tcW w:w="1843" w:type="dxa"/>
            <w:tcBorders>
              <w:top w:val="single" w:sz="12"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Methyl chlorocarbonate</w:t>
            </w:r>
          </w:p>
        </w:tc>
        <w:tc>
          <w:tcPr>
            <w:tcW w:w="1984" w:type="dxa"/>
            <w:tcBorders>
              <w:top w:val="single" w:sz="12"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s>
              <w:spacing w:after="60"/>
              <w:ind w:left="175" w:right="34"/>
              <w:jc w:val="left"/>
              <w:rPr>
                <w:b/>
                <w:bCs/>
                <w:sz w:val="20"/>
                <w:lang w:val="en-US"/>
              </w:rPr>
            </w:pPr>
            <w:r>
              <w:rPr>
                <w:sz w:val="20"/>
                <w:lang w:val="en-US"/>
              </w:rPr>
              <w:t xml:space="preserve">Me: </w:t>
            </w:r>
          </w:p>
        </w:tc>
        <w:tc>
          <w:tcPr>
            <w:tcW w:w="1667" w:type="dxa"/>
            <w:tcBorders>
              <w:top w:val="single" w:sz="12" w:space="0" w:color="auto"/>
              <w:left w:val="nil"/>
              <w:bottom w:val="single" w:sz="4" w:space="0" w:color="auto"/>
            </w:tcBorders>
            <w:vAlign w:val="center"/>
          </w:tcPr>
          <w:p w:rsidR="001877D0" w:rsidRPr="00690872" w:rsidRDefault="001877D0" w:rsidP="00AD62CB">
            <w:pPr>
              <w:pStyle w:val="BodyText2"/>
              <w:tabs>
                <w:tab w:val="left" w:pos="0"/>
              </w:tabs>
              <w:spacing w:after="60"/>
              <w:jc w:val="left"/>
              <w:rPr>
                <w:b/>
                <w:bCs/>
                <w:sz w:val="20"/>
                <w:lang w:val="en-US"/>
              </w:rPr>
            </w:pPr>
            <w:r w:rsidRPr="00690872">
              <w:rPr>
                <w:sz w:val="20"/>
                <w:lang w:val="en-US"/>
              </w:rPr>
              <w:t>Methanol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EtCF: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Ethyl 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1332"/>
              </w:tabs>
              <w:spacing w:after="60"/>
              <w:ind w:left="175" w:right="34"/>
              <w:jc w:val="left"/>
              <w:rPr>
                <w:sz w:val="20"/>
                <w:lang w:val="en-US"/>
              </w:rPr>
            </w:pPr>
            <w:r>
              <w:rPr>
                <w:sz w:val="20"/>
                <w:lang w:val="en-US"/>
              </w:rPr>
              <w:t xml:space="preserve">Et: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Ethanol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PrCF: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Propyl 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1332"/>
              </w:tabs>
              <w:spacing w:after="60"/>
              <w:ind w:left="175" w:right="34"/>
              <w:jc w:val="left"/>
              <w:rPr>
                <w:sz w:val="20"/>
                <w:lang w:val="en-US" w:eastAsia="de-DE"/>
              </w:rPr>
            </w:pPr>
            <w:r>
              <w:rPr>
                <w:sz w:val="20"/>
                <w:lang w:val="en-US" w:eastAsia="de-DE"/>
              </w:rPr>
              <w:t xml:space="preserve">Pr: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eastAsia="de-DE"/>
              </w:rPr>
            </w:pPr>
            <w:r w:rsidRPr="00690872">
              <w:rPr>
                <w:sz w:val="20"/>
                <w:lang w:val="en-US" w:eastAsia="de-DE"/>
              </w:rPr>
              <w:t>Propan-1-ol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IpCF: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AD62CB" w:rsidP="00AD62CB">
            <w:pPr>
              <w:pStyle w:val="BodyText2"/>
              <w:tabs>
                <w:tab w:val="left" w:pos="1332"/>
              </w:tabs>
              <w:spacing w:after="60"/>
              <w:ind w:left="34"/>
              <w:jc w:val="left"/>
              <w:rPr>
                <w:sz w:val="20"/>
                <w:lang w:val="en-US"/>
              </w:rPr>
            </w:pPr>
            <w:r>
              <w:rPr>
                <w:sz w:val="20"/>
                <w:lang w:val="en-US"/>
              </w:rPr>
              <w:t xml:space="preserve">Isopropyl </w:t>
            </w:r>
            <w:r w:rsidR="001877D0" w:rsidRPr="00690872">
              <w:rPr>
                <w:sz w:val="20"/>
                <w:lang w:val="en-US"/>
              </w:rPr>
              <w:t>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1332"/>
              </w:tabs>
              <w:spacing w:after="60"/>
              <w:ind w:left="175" w:right="34"/>
              <w:jc w:val="left"/>
              <w:rPr>
                <w:sz w:val="20"/>
                <w:lang w:val="en-US"/>
              </w:rPr>
            </w:pPr>
            <w:r>
              <w:rPr>
                <w:sz w:val="20"/>
                <w:lang w:val="en-US" w:eastAsia="de-DE"/>
              </w:rPr>
              <w:t xml:space="preserve">Ip: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eastAsia="de-DE"/>
              </w:rPr>
              <w:t>Propan-2-ol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SbCF: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Sec-butyl 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s>
              <w:spacing w:after="60"/>
              <w:ind w:left="175" w:right="34"/>
              <w:jc w:val="left"/>
              <w:rPr>
                <w:sz w:val="20"/>
                <w:lang w:val="en-US"/>
              </w:rPr>
            </w:pPr>
            <w:r w:rsidRPr="00690872">
              <w:rPr>
                <w:sz w:val="20"/>
                <w:lang w:val="en-US"/>
              </w:rPr>
              <w:t>Sb:</w:t>
            </w:r>
            <w:r>
              <w:rPr>
                <w:sz w:val="20"/>
                <w:lang w:val="en-US"/>
              </w:rPr>
              <w:t xml:space="preserve">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Butan-2-ol</w:t>
            </w:r>
          </w:p>
        </w:tc>
      </w:tr>
      <w:tr w:rsidR="001877D0" w:rsidRPr="004B7EF4" w:rsidTr="00444395">
        <w:trPr>
          <w:trHeight w:val="275"/>
        </w:trPr>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ObCF:</w:t>
            </w:r>
            <w:r w:rsidRPr="00690872">
              <w:rPr>
                <w:sz w:val="20"/>
                <w:lang w:val="en-US"/>
              </w:rPr>
              <w:tab/>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420"/>
              </w:tabs>
              <w:spacing w:after="60"/>
              <w:ind w:left="34"/>
              <w:jc w:val="left"/>
              <w:rPr>
                <w:sz w:val="20"/>
                <w:lang w:val="en-US"/>
              </w:rPr>
            </w:pPr>
            <w:r>
              <w:rPr>
                <w:sz w:val="20"/>
                <w:lang w:val="en-US"/>
              </w:rPr>
              <w:t>Oxydiethane-2,1-diyl</w:t>
            </w:r>
            <w:r w:rsidRPr="00690872">
              <w:rPr>
                <w:sz w:val="20"/>
                <w:lang w:val="en-US"/>
              </w:rPr>
              <w:t>dichlorocarbonate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DEG: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spacing w:after="60"/>
              <w:jc w:val="left"/>
              <w:rPr>
                <w:sz w:val="20"/>
                <w:lang w:val="en-US"/>
              </w:rPr>
            </w:pPr>
            <w:r w:rsidRPr="00690872">
              <w:rPr>
                <w:sz w:val="20"/>
                <w:lang w:val="en-US"/>
              </w:rPr>
              <w:t>(2-hydroxyethoxy) ethan-2-ol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EhCF: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spacing w:after="60"/>
              <w:ind w:left="34"/>
              <w:jc w:val="left"/>
              <w:rPr>
                <w:sz w:val="20"/>
                <w:lang w:val="en-US"/>
              </w:rPr>
            </w:pPr>
            <w:r w:rsidRPr="00690872">
              <w:rPr>
                <w:sz w:val="20"/>
                <w:lang w:val="en-US"/>
              </w:rPr>
              <w:t>2-Ethylhexyl chlorocarbonate</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sidRPr="00690872">
              <w:rPr>
                <w:sz w:val="20"/>
                <w:lang w:val="en-US"/>
              </w:rPr>
              <w:t>Eh:</w:t>
            </w:r>
            <w:r>
              <w:rPr>
                <w:sz w:val="20"/>
                <w:lang w:val="en-US"/>
              </w:rPr>
              <w:t xml:space="preserve">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168"/>
              </w:tabs>
              <w:spacing w:after="60"/>
              <w:jc w:val="left"/>
              <w:rPr>
                <w:sz w:val="20"/>
                <w:lang w:val="en-US"/>
              </w:rPr>
            </w:pPr>
            <w:r w:rsidRPr="00690872">
              <w:rPr>
                <w:sz w:val="20"/>
                <w:lang w:val="en-US"/>
              </w:rPr>
              <w:t>2-Ethyl-1-hexanol</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p>
        </w:tc>
        <w:tc>
          <w:tcPr>
            <w:tcW w:w="1843" w:type="dxa"/>
            <w:tcBorders>
              <w:top w:val="single" w:sz="4" w:space="0" w:color="auto"/>
              <w:left w:val="nil"/>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p>
        </w:tc>
        <w:tc>
          <w:tcPr>
            <w:tcW w:w="1984" w:type="dxa"/>
            <w:tcBorders>
              <w:top w:val="single" w:sz="4" w:space="0" w:color="auto"/>
              <w:left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HCl: </w:t>
            </w:r>
          </w:p>
        </w:tc>
        <w:tc>
          <w:tcPr>
            <w:tcW w:w="1667" w:type="dxa"/>
            <w:tcBorders>
              <w:top w:val="single" w:sz="4" w:space="0" w:color="auto"/>
              <w:left w:val="nil"/>
            </w:tcBorders>
            <w:vAlign w:val="center"/>
          </w:tcPr>
          <w:p w:rsidR="001877D0" w:rsidRPr="00690872" w:rsidRDefault="001877D0" w:rsidP="00AD62CB">
            <w:pPr>
              <w:pStyle w:val="BodyText2"/>
              <w:tabs>
                <w:tab w:val="left" w:pos="884"/>
              </w:tabs>
              <w:spacing w:after="60"/>
              <w:jc w:val="left"/>
              <w:rPr>
                <w:sz w:val="20"/>
                <w:lang w:val="en-US"/>
              </w:rPr>
            </w:pPr>
            <w:r w:rsidRPr="00690872">
              <w:rPr>
                <w:sz w:val="20"/>
                <w:lang w:val="en-US"/>
              </w:rPr>
              <w:t>Hydrogen chloride, chlorane</w:t>
            </w:r>
          </w:p>
        </w:tc>
      </w:tr>
      <w:tr w:rsidR="001877D0" w:rsidRPr="004B7EF4" w:rsidTr="00444395">
        <w:tc>
          <w:tcPr>
            <w:tcW w:w="1039" w:type="dxa"/>
            <w:vMerge w:val="restart"/>
            <w:tcBorders>
              <w:right w:val="single" w:sz="4" w:space="0" w:color="auto"/>
            </w:tcBorders>
            <w:vAlign w:val="center"/>
          </w:tcPr>
          <w:p w:rsidR="001877D0" w:rsidRPr="00690872" w:rsidRDefault="00444395" w:rsidP="00444395">
            <w:pPr>
              <w:pStyle w:val="BodyText2"/>
              <w:spacing w:after="60"/>
              <w:jc w:val="center"/>
              <w:rPr>
                <w:sz w:val="20"/>
                <w:lang w:val="en-US"/>
              </w:rPr>
            </w:pPr>
            <w:r>
              <w:rPr>
                <w:sz w:val="20"/>
                <w:lang w:val="en-US"/>
              </w:rPr>
              <w:t>Molecular Formula</w:t>
            </w:r>
          </w:p>
        </w:tc>
        <w:tc>
          <w:tcPr>
            <w:tcW w:w="3322" w:type="dxa"/>
            <w:gridSpan w:val="3"/>
            <w:tcBorders>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MeCF:</w:t>
            </w:r>
            <w:r w:rsidRPr="00690872">
              <w:rPr>
                <w:sz w:val="20"/>
                <w:lang w:val="en-US"/>
              </w:rPr>
              <w:tab/>
            </w:r>
          </w:p>
        </w:tc>
        <w:tc>
          <w:tcPr>
            <w:tcW w:w="1843" w:type="dxa"/>
            <w:tcBorders>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2</w:t>
            </w:r>
            <w:r w:rsidRPr="00690872">
              <w:rPr>
                <w:sz w:val="20"/>
                <w:lang w:val="en-US"/>
              </w:rPr>
              <w:t>H</w:t>
            </w:r>
            <w:r w:rsidRPr="00690872">
              <w:rPr>
                <w:sz w:val="20"/>
                <w:vertAlign w:val="subscript"/>
                <w:lang w:val="en-US"/>
              </w:rPr>
              <w:t>3</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sidRPr="00690872">
              <w:rPr>
                <w:sz w:val="20"/>
                <w:lang w:val="en-US"/>
              </w:rPr>
              <w:t>ME:</w:t>
            </w:r>
            <w:r>
              <w:rPr>
                <w:sz w:val="20"/>
                <w:lang w:val="en-US"/>
              </w:rPr>
              <w:t xml:space="preserve"> </w:t>
            </w:r>
          </w:p>
        </w:tc>
        <w:tc>
          <w:tcPr>
            <w:tcW w:w="1667" w:type="dxa"/>
            <w:tcBorders>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1</w:t>
            </w:r>
            <w:r w:rsidRPr="00690872">
              <w:rPr>
                <w:sz w:val="20"/>
                <w:lang w:val="en-US"/>
              </w:rPr>
              <w:t>H</w:t>
            </w:r>
            <w:r w:rsidRPr="00690872">
              <w:rPr>
                <w:sz w:val="20"/>
                <w:vertAlign w:val="subscript"/>
                <w:lang w:val="en-US"/>
              </w:rPr>
              <w:t>4</w:t>
            </w:r>
            <w:r w:rsidRPr="00690872">
              <w:rPr>
                <w:sz w:val="20"/>
                <w:lang w:val="en-US"/>
              </w:rPr>
              <w:t>O</w:t>
            </w:r>
            <w:r w:rsidRPr="00690872">
              <w:rPr>
                <w:sz w:val="20"/>
                <w:vertAlign w:val="subscript"/>
                <w:lang w:val="en-US"/>
              </w:rPr>
              <w:t>1</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EtCF: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3</w:t>
            </w:r>
            <w:r w:rsidRPr="00690872">
              <w:rPr>
                <w:sz w:val="20"/>
                <w:lang w:val="en-US"/>
              </w:rPr>
              <w:t>H</w:t>
            </w:r>
            <w:r w:rsidRPr="00690872">
              <w:rPr>
                <w:sz w:val="20"/>
                <w:vertAlign w:val="subscript"/>
                <w:lang w:val="en-US"/>
              </w:rPr>
              <w:t>5</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spacing w:after="60"/>
              <w:ind w:left="175" w:right="34"/>
              <w:jc w:val="left"/>
              <w:rPr>
                <w:sz w:val="20"/>
                <w:lang w:val="en-US"/>
              </w:rPr>
            </w:pPr>
            <w:r w:rsidRPr="00690872">
              <w:rPr>
                <w:sz w:val="20"/>
                <w:lang w:val="en-US"/>
              </w:rPr>
              <w:t>Et:</w:t>
            </w:r>
            <w:r>
              <w:rPr>
                <w:sz w:val="20"/>
                <w:lang w:val="en-US"/>
              </w:rPr>
              <w:t xml:space="preserve">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2</w:t>
            </w:r>
            <w:r w:rsidRPr="00690872">
              <w:rPr>
                <w:sz w:val="20"/>
                <w:lang w:val="en-US"/>
              </w:rPr>
              <w:t>H</w:t>
            </w:r>
            <w:r w:rsidRPr="00690872">
              <w:rPr>
                <w:sz w:val="20"/>
                <w:vertAlign w:val="subscript"/>
                <w:lang w:val="en-US"/>
              </w:rPr>
              <w:t>6</w:t>
            </w:r>
            <w:r w:rsidRPr="00690872">
              <w:rPr>
                <w:sz w:val="20"/>
                <w:lang w:val="en-US"/>
              </w:rPr>
              <w:t>O</w:t>
            </w:r>
            <w:r w:rsidRPr="00690872">
              <w:rPr>
                <w:sz w:val="20"/>
                <w:vertAlign w:val="subscript"/>
                <w:lang w:val="en-US"/>
              </w:rPr>
              <w:t>1</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PrCF: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4</w:t>
            </w:r>
            <w:r w:rsidRPr="00690872">
              <w:rPr>
                <w:sz w:val="20"/>
                <w:lang w:val="en-US"/>
              </w:rPr>
              <w:t>H</w:t>
            </w:r>
            <w:r w:rsidRPr="00690872">
              <w:rPr>
                <w:sz w:val="20"/>
                <w:vertAlign w:val="subscript"/>
                <w:lang w:val="en-US"/>
              </w:rPr>
              <w:t>7</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Pr: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3</w:t>
            </w:r>
            <w:r w:rsidRPr="00690872">
              <w:rPr>
                <w:sz w:val="20"/>
                <w:lang w:val="en-US"/>
              </w:rPr>
              <w:t>H</w:t>
            </w:r>
            <w:r w:rsidRPr="00690872">
              <w:rPr>
                <w:sz w:val="20"/>
                <w:vertAlign w:val="subscript"/>
                <w:lang w:val="en-US"/>
              </w:rPr>
              <w:t>8</w:t>
            </w:r>
            <w:r w:rsidRPr="00690872">
              <w:rPr>
                <w:sz w:val="20"/>
                <w:lang w:val="en-US"/>
              </w:rPr>
              <w:t>O</w:t>
            </w:r>
            <w:r w:rsidRPr="00690872">
              <w:rPr>
                <w:sz w:val="20"/>
                <w:vertAlign w:val="subscript"/>
                <w:lang w:val="en-US"/>
              </w:rPr>
              <w:t>1</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IpCF: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4</w:t>
            </w:r>
            <w:r w:rsidRPr="00690872">
              <w:rPr>
                <w:sz w:val="20"/>
                <w:lang w:val="en-US"/>
              </w:rPr>
              <w:t>H</w:t>
            </w:r>
            <w:r w:rsidRPr="00690872">
              <w:rPr>
                <w:sz w:val="20"/>
                <w:vertAlign w:val="subscript"/>
                <w:lang w:val="en-US"/>
              </w:rPr>
              <w:t>7</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Ip: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3</w:t>
            </w:r>
            <w:r w:rsidRPr="00690872">
              <w:rPr>
                <w:sz w:val="20"/>
                <w:lang w:val="en-US"/>
              </w:rPr>
              <w:t>H</w:t>
            </w:r>
            <w:r w:rsidRPr="00690872">
              <w:rPr>
                <w:sz w:val="20"/>
                <w:vertAlign w:val="subscript"/>
                <w:lang w:val="en-US"/>
              </w:rPr>
              <w:t>8</w:t>
            </w:r>
            <w:r w:rsidRPr="00690872">
              <w:rPr>
                <w:sz w:val="20"/>
                <w:lang w:val="en-US"/>
              </w:rPr>
              <w:t>O</w:t>
            </w:r>
            <w:r w:rsidRPr="00690872">
              <w:rPr>
                <w:sz w:val="20"/>
                <w:vertAlign w:val="subscript"/>
                <w:lang w:val="en-US"/>
              </w:rPr>
              <w:t>1</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SbCF: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5</w:t>
            </w:r>
            <w:r w:rsidRPr="00690872">
              <w:rPr>
                <w:sz w:val="20"/>
                <w:lang w:val="en-US"/>
              </w:rPr>
              <w:t>H</w:t>
            </w:r>
            <w:r w:rsidRPr="00690872">
              <w:rPr>
                <w:sz w:val="20"/>
                <w:vertAlign w:val="subscript"/>
                <w:lang w:val="en-US"/>
              </w:rPr>
              <w:t>9</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Sb: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4</w:t>
            </w:r>
            <w:r w:rsidRPr="00690872">
              <w:rPr>
                <w:sz w:val="20"/>
                <w:lang w:val="en-US"/>
              </w:rPr>
              <w:t>H</w:t>
            </w:r>
            <w:r w:rsidRPr="00690872">
              <w:rPr>
                <w:sz w:val="20"/>
                <w:vertAlign w:val="subscript"/>
                <w:lang w:val="en-US"/>
              </w:rPr>
              <w:t>10</w:t>
            </w:r>
            <w:r w:rsidRPr="00690872">
              <w:rPr>
                <w:sz w:val="20"/>
                <w:lang w:val="en-US"/>
              </w:rPr>
              <w:t>O</w:t>
            </w:r>
            <w:r w:rsidRPr="00690872">
              <w:rPr>
                <w:sz w:val="20"/>
                <w:vertAlign w:val="subscript"/>
                <w:lang w:val="en-US"/>
              </w:rPr>
              <w:t>1</w:t>
            </w:r>
          </w:p>
        </w:tc>
      </w:tr>
      <w:tr w:rsidR="001877D0" w:rsidRPr="004B7EF4" w:rsidTr="00444395">
        <w:trPr>
          <w:trHeight w:val="432"/>
        </w:trPr>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ObCF: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6</w:t>
            </w:r>
            <w:r w:rsidRPr="00690872">
              <w:rPr>
                <w:sz w:val="20"/>
                <w:lang w:val="en-US"/>
              </w:rPr>
              <w:t>H</w:t>
            </w:r>
            <w:r w:rsidRPr="00690872">
              <w:rPr>
                <w:sz w:val="20"/>
                <w:vertAlign w:val="subscript"/>
                <w:lang w:val="en-US"/>
              </w:rPr>
              <w:t>8</w:t>
            </w:r>
            <w:r w:rsidRPr="00690872">
              <w:rPr>
                <w:sz w:val="20"/>
                <w:lang w:val="en-US"/>
              </w:rPr>
              <w:t>Cl</w:t>
            </w:r>
            <w:r w:rsidRPr="00690872">
              <w:rPr>
                <w:sz w:val="20"/>
                <w:vertAlign w:val="subscript"/>
                <w:lang w:val="en-US"/>
              </w:rPr>
              <w:t>2</w:t>
            </w:r>
            <w:r w:rsidRPr="00690872">
              <w:rPr>
                <w:sz w:val="20"/>
                <w:lang w:val="en-US"/>
              </w:rPr>
              <w:t>O</w:t>
            </w:r>
            <w:r w:rsidRPr="00690872">
              <w:rPr>
                <w:sz w:val="20"/>
                <w:vertAlign w:val="subscript"/>
                <w:lang w:val="en-US"/>
              </w:rPr>
              <w:t>5</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sidRPr="00690872">
              <w:rPr>
                <w:sz w:val="20"/>
                <w:lang w:val="en-US"/>
              </w:rPr>
              <w:t>DEG:</w:t>
            </w:r>
            <w:r>
              <w:rPr>
                <w:sz w:val="20"/>
                <w:lang w:val="en-US"/>
              </w:rPr>
              <w:t xml:space="preserve">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4</w:t>
            </w:r>
            <w:r w:rsidRPr="00690872">
              <w:rPr>
                <w:sz w:val="20"/>
                <w:lang w:val="en-US"/>
              </w:rPr>
              <w:t>H</w:t>
            </w:r>
            <w:r w:rsidRPr="00690872">
              <w:rPr>
                <w:sz w:val="20"/>
                <w:vertAlign w:val="subscript"/>
                <w:lang w:val="en-US"/>
              </w:rPr>
              <w:t>10</w:t>
            </w:r>
            <w:r w:rsidRPr="00690872">
              <w:rPr>
                <w:sz w:val="20"/>
                <w:lang w:val="en-US"/>
              </w:rPr>
              <w:t>O</w:t>
            </w:r>
            <w:r w:rsidRPr="00690872">
              <w:rPr>
                <w:sz w:val="20"/>
                <w:vertAlign w:val="subscript"/>
                <w:lang w:val="en-US"/>
              </w:rPr>
              <w:t>3</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3322" w:type="dxa"/>
            <w:gridSpan w:val="3"/>
            <w:tcBorders>
              <w:top w:val="single" w:sz="4" w:space="0" w:color="auto"/>
              <w:left w:val="single" w:sz="4" w:space="0" w:color="auto"/>
              <w:bottom w:val="single" w:sz="4" w:space="0" w:color="auto"/>
              <w:right w:val="nil"/>
            </w:tcBorders>
            <w:vAlign w:val="center"/>
          </w:tcPr>
          <w:p w:rsidR="001877D0" w:rsidRPr="00690872" w:rsidRDefault="001877D0" w:rsidP="00AD62CB">
            <w:pPr>
              <w:pStyle w:val="BodyText2"/>
              <w:tabs>
                <w:tab w:val="left" w:pos="1332"/>
              </w:tabs>
              <w:spacing w:after="60"/>
              <w:ind w:left="379"/>
              <w:jc w:val="left"/>
              <w:rPr>
                <w:sz w:val="20"/>
                <w:lang w:val="en-US"/>
              </w:rPr>
            </w:pPr>
            <w:r w:rsidRPr="00690872">
              <w:rPr>
                <w:sz w:val="20"/>
                <w:lang w:val="en-US"/>
              </w:rPr>
              <w:t>EhCF:</w:t>
            </w:r>
            <w:r w:rsidRPr="00690872">
              <w:rPr>
                <w:sz w:val="20"/>
                <w:lang w:val="en-US"/>
              </w:rPr>
              <w:tab/>
            </w:r>
          </w:p>
        </w:tc>
        <w:tc>
          <w:tcPr>
            <w:tcW w:w="1843" w:type="dxa"/>
            <w:tcBorders>
              <w:top w:val="single" w:sz="4" w:space="0" w:color="auto"/>
              <w:left w:val="nil"/>
              <w:bottom w:val="single" w:sz="4" w:space="0" w:color="auto"/>
              <w:right w:val="single" w:sz="4" w:space="0" w:color="auto"/>
            </w:tcBorders>
          </w:tcPr>
          <w:p w:rsidR="001877D0" w:rsidRPr="00690872" w:rsidRDefault="001877D0" w:rsidP="00AD62CB">
            <w:pPr>
              <w:pStyle w:val="BodyText2"/>
              <w:tabs>
                <w:tab w:val="left" w:pos="1332"/>
              </w:tabs>
              <w:spacing w:after="60"/>
              <w:ind w:left="34"/>
              <w:jc w:val="left"/>
              <w:rPr>
                <w:sz w:val="20"/>
                <w:lang w:val="en-US"/>
              </w:rPr>
            </w:pPr>
            <w:r w:rsidRPr="00690872">
              <w:rPr>
                <w:sz w:val="20"/>
                <w:lang w:val="en-US"/>
              </w:rPr>
              <w:t>C</w:t>
            </w:r>
            <w:r w:rsidRPr="00690872">
              <w:rPr>
                <w:sz w:val="20"/>
                <w:vertAlign w:val="subscript"/>
                <w:lang w:val="en-US"/>
              </w:rPr>
              <w:t>9</w:t>
            </w:r>
            <w:r w:rsidRPr="00690872">
              <w:rPr>
                <w:sz w:val="20"/>
                <w:lang w:val="en-US"/>
              </w:rPr>
              <w:t>H</w:t>
            </w:r>
            <w:r w:rsidRPr="00690872">
              <w:rPr>
                <w:sz w:val="20"/>
                <w:vertAlign w:val="subscript"/>
                <w:lang w:val="en-US"/>
              </w:rPr>
              <w:t>17</w:t>
            </w:r>
            <w:r w:rsidRPr="00690872">
              <w:rPr>
                <w:sz w:val="20"/>
                <w:lang w:val="en-US"/>
              </w:rPr>
              <w:t>Cl</w:t>
            </w:r>
            <w:r w:rsidRPr="00690872">
              <w:rPr>
                <w:sz w:val="20"/>
                <w:vertAlign w:val="subscript"/>
                <w:lang w:val="en-US"/>
              </w:rPr>
              <w:t>1</w:t>
            </w:r>
            <w:r w:rsidRPr="00690872">
              <w:rPr>
                <w:sz w:val="20"/>
                <w:lang w:val="en-US"/>
              </w:rPr>
              <w:t>O</w:t>
            </w:r>
            <w:r w:rsidRPr="00690872">
              <w:rPr>
                <w:sz w:val="20"/>
                <w:vertAlign w:val="subscript"/>
                <w:lang w:val="en-US"/>
              </w:rPr>
              <w:t>2</w:t>
            </w:r>
          </w:p>
        </w:tc>
        <w:tc>
          <w:tcPr>
            <w:tcW w:w="1984" w:type="dxa"/>
            <w:tcBorders>
              <w:top w:val="single" w:sz="4" w:space="0" w:color="auto"/>
              <w:left w:val="single" w:sz="4" w:space="0" w:color="auto"/>
              <w:bottom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Eh: </w:t>
            </w:r>
          </w:p>
        </w:tc>
        <w:tc>
          <w:tcPr>
            <w:tcW w:w="1667" w:type="dxa"/>
            <w:tcBorders>
              <w:top w:val="single" w:sz="4" w:space="0" w:color="auto"/>
              <w:left w:val="nil"/>
              <w:bottom w:val="single" w:sz="4"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C</w:t>
            </w:r>
            <w:r w:rsidRPr="00690872">
              <w:rPr>
                <w:sz w:val="20"/>
                <w:vertAlign w:val="subscript"/>
                <w:lang w:val="en-US"/>
              </w:rPr>
              <w:t>8</w:t>
            </w:r>
            <w:r w:rsidRPr="00690872">
              <w:rPr>
                <w:sz w:val="20"/>
                <w:lang w:val="en-US"/>
              </w:rPr>
              <w:t>H</w:t>
            </w:r>
            <w:r w:rsidRPr="00690872">
              <w:rPr>
                <w:sz w:val="20"/>
                <w:vertAlign w:val="subscript"/>
                <w:lang w:val="en-US"/>
              </w:rPr>
              <w:t>18</w:t>
            </w:r>
            <w:r w:rsidRPr="00690872">
              <w:rPr>
                <w:sz w:val="20"/>
                <w:lang w:val="en-US"/>
              </w:rPr>
              <w:t>O</w:t>
            </w:r>
            <w:r w:rsidRPr="00690872">
              <w:rPr>
                <w:sz w:val="20"/>
                <w:vertAlign w:val="subscript"/>
                <w:lang w:val="en-US"/>
              </w:rPr>
              <w:t>1</w:t>
            </w:r>
          </w:p>
        </w:tc>
      </w:tr>
      <w:tr w:rsidR="001877D0" w:rsidRPr="004B7EF4" w:rsidTr="00444395">
        <w:tc>
          <w:tcPr>
            <w:tcW w:w="1039" w:type="dxa"/>
            <w:vMerge/>
            <w:tcBorders>
              <w:right w:val="single" w:sz="4" w:space="0" w:color="auto"/>
            </w:tcBorders>
            <w:vAlign w:val="center"/>
          </w:tcPr>
          <w:p w:rsidR="001877D0" w:rsidRPr="00690872" w:rsidRDefault="001877D0" w:rsidP="00444395">
            <w:pPr>
              <w:pStyle w:val="BodyText2"/>
              <w:spacing w:after="60"/>
              <w:jc w:val="center"/>
              <w:rPr>
                <w:sz w:val="20"/>
                <w:lang w:val="en-US"/>
              </w:rPr>
            </w:pPr>
          </w:p>
        </w:tc>
        <w:tc>
          <w:tcPr>
            <w:tcW w:w="5165" w:type="dxa"/>
            <w:gridSpan w:val="4"/>
            <w:tcBorders>
              <w:top w:val="single" w:sz="4" w:space="0" w:color="auto"/>
              <w:left w:val="single" w:sz="4" w:space="0" w:color="auto"/>
              <w:right w:val="single" w:sz="4" w:space="0" w:color="auto"/>
            </w:tcBorders>
          </w:tcPr>
          <w:p w:rsidR="001877D0" w:rsidRPr="00690872" w:rsidRDefault="001877D0" w:rsidP="00AD62CB">
            <w:pPr>
              <w:pStyle w:val="BodyText2"/>
              <w:tabs>
                <w:tab w:val="left" w:pos="1332"/>
              </w:tabs>
              <w:spacing w:after="60"/>
              <w:ind w:left="379"/>
              <w:jc w:val="left"/>
              <w:rPr>
                <w:sz w:val="20"/>
                <w:lang w:val="en-US"/>
              </w:rPr>
            </w:pPr>
          </w:p>
        </w:tc>
        <w:tc>
          <w:tcPr>
            <w:tcW w:w="1984" w:type="dxa"/>
            <w:tcBorders>
              <w:top w:val="single" w:sz="4" w:space="0" w:color="auto"/>
              <w:left w:val="single" w:sz="4" w:space="0" w:color="auto"/>
              <w:right w:val="nil"/>
            </w:tcBorders>
            <w:vAlign w:val="center"/>
          </w:tcPr>
          <w:p w:rsidR="001877D0" w:rsidRPr="00690872" w:rsidRDefault="001877D0" w:rsidP="006257AC">
            <w:pPr>
              <w:pStyle w:val="BodyText2"/>
              <w:tabs>
                <w:tab w:val="left" w:pos="175"/>
                <w:tab w:val="left" w:pos="884"/>
              </w:tabs>
              <w:spacing w:after="60"/>
              <w:ind w:left="175" w:right="34"/>
              <w:jc w:val="left"/>
              <w:rPr>
                <w:sz w:val="20"/>
                <w:lang w:val="en-US"/>
              </w:rPr>
            </w:pPr>
            <w:r>
              <w:rPr>
                <w:sz w:val="20"/>
                <w:lang w:val="en-US"/>
              </w:rPr>
              <w:t xml:space="preserve">HCl: </w:t>
            </w:r>
          </w:p>
        </w:tc>
        <w:tc>
          <w:tcPr>
            <w:tcW w:w="1667" w:type="dxa"/>
            <w:tcBorders>
              <w:top w:val="single" w:sz="4" w:space="0" w:color="auto"/>
              <w:left w:val="nil"/>
              <w:bottom w:val="single" w:sz="12" w:space="0" w:color="auto"/>
            </w:tcBorders>
            <w:vAlign w:val="center"/>
          </w:tcPr>
          <w:p w:rsidR="001877D0" w:rsidRPr="00690872" w:rsidRDefault="001877D0" w:rsidP="00AD62CB">
            <w:pPr>
              <w:pStyle w:val="BodyText2"/>
              <w:tabs>
                <w:tab w:val="left" w:pos="1332"/>
              </w:tabs>
              <w:spacing w:after="60"/>
              <w:ind w:left="1339" w:hanging="1339"/>
              <w:jc w:val="left"/>
              <w:rPr>
                <w:sz w:val="20"/>
                <w:lang w:val="en-US"/>
              </w:rPr>
            </w:pPr>
            <w:r w:rsidRPr="00690872">
              <w:rPr>
                <w:sz w:val="20"/>
                <w:lang w:val="en-US"/>
              </w:rPr>
              <w:t>H</w:t>
            </w:r>
            <w:r w:rsidRPr="00690872">
              <w:rPr>
                <w:sz w:val="20"/>
                <w:vertAlign w:val="subscript"/>
                <w:lang w:val="en-US"/>
              </w:rPr>
              <w:t>1</w:t>
            </w:r>
            <w:r w:rsidRPr="00690872">
              <w:rPr>
                <w:sz w:val="20"/>
                <w:lang w:val="en-US"/>
              </w:rPr>
              <w:t>Cl</w:t>
            </w:r>
            <w:r w:rsidRPr="00690872">
              <w:rPr>
                <w:sz w:val="20"/>
                <w:vertAlign w:val="subscript"/>
                <w:lang w:val="en-US"/>
              </w:rPr>
              <w:t>1</w:t>
            </w:r>
          </w:p>
        </w:tc>
      </w:tr>
      <w:tr w:rsidR="005F7D8C" w:rsidRPr="004B7EF4" w:rsidTr="00444395">
        <w:tc>
          <w:tcPr>
            <w:tcW w:w="1039" w:type="dxa"/>
            <w:vMerge w:val="restart"/>
            <w:tcBorders>
              <w:right w:val="single" w:sz="4" w:space="0" w:color="auto"/>
            </w:tcBorders>
            <w:vAlign w:val="center"/>
          </w:tcPr>
          <w:p w:rsidR="005F7D8C" w:rsidRPr="00690872" w:rsidRDefault="00444395" w:rsidP="00444395">
            <w:pPr>
              <w:pStyle w:val="BodyText2"/>
              <w:spacing w:after="60"/>
              <w:jc w:val="center"/>
              <w:rPr>
                <w:sz w:val="20"/>
                <w:lang w:val="en-US"/>
              </w:rPr>
            </w:pPr>
            <w:r>
              <w:rPr>
                <w:sz w:val="20"/>
                <w:lang w:val="en-US"/>
              </w:rPr>
              <w:t>Structural Formula</w:t>
            </w:r>
          </w:p>
        </w:tc>
        <w:tc>
          <w:tcPr>
            <w:tcW w:w="2188" w:type="dxa"/>
            <w:tcBorders>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MeCF:</w:t>
            </w:r>
            <w:r w:rsidRPr="00690872">
              <w:rPr>
                <w:sz w:val="20"/>
                <w:lang w:val="en-US"/>
              </w:rPr>
              <w:tab/>
            </w:r>
          </w:p>
        </w:tc>
        <w:tc>
          <w:tcPr>
            <w:tcW w:w="2977" w:type="dxa"/>
            <w:gridSpan w:val="3"/>
            <w:tcBorders>
              <w:left w:val="nil"/>
              <w:bottom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r>
              <w:rPr>
                <w:noProof/>
                <w:sz w:val="20"/>
                <w:lang w:val="en-US"/>
              </w:rPr>
              <w:drawing>
                <wp:anchor distT="0" distB="0" distL="114300" distR="114300" simplePos="0" relativeHeight="251677696" behindDoc="0" locked="0" layoutInCell="1" allowOverlap="1">
                  <wp:simplePos x="0" y="0"/>
                  <wp:positionH relativeFrom="column">
                    <wp:posOffset>52705</wp:posOffset>
                  </wp:positionH>
                  <wp:positionV relativeFrom="paragraph">
                    <wp:posOffset>-77470</wp:posOffset>
                  </wp:positionV>
                  <wp:extent cx="800100" cy="333375"/>
                  <wp:effectExtent l="19050" t="0" r="0" b="0"/>
                  <wp:wrapThrough wrapText="bothSides">
                    <wp:wrapPolygon edited="0">
                      <wp:start x="5657" y="0"/>
                      <wp:lineTo x="-514" y="12343"/>
                      <wp:lineTo x="-514" y="17280"/>
                      <wp:lineTo x="19029" y="18514"/>
                      <wp:lineTo x="21600" y="18514"/>
                      <wp:lineTo x="21600" y="13577"/>
                      <wp:lineTo x="19543" y="9874"/>
                      <wp:lineTo x="8229" y="0"/>
                      <wp:lineTo x="5657" y="0"/>
                    </wp:wrapPolygon>
                  </wp:wrapThrough>
                  <wp:docPr id="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333375"/>
                          </a:xfrm>
                          <a:prstGeom prst="rect">
                            <a:avLst/>
                          </a:prstGeom>
                          <a:noFill/>
                          <a:ln>
                            <a:noFill/>
                          </a:ln>
                        </pic:spPr>
                      </pic:pic>
                    </a:graphicData>
                  </a:graphic>
                </wp:anchor>
              </w:drawing>
            </w:r>
          </w:p>
        </w:tc>
        <w:tc>
          <w:tcPr>
            <w:tcW w:w="1984" w:type="dxa"/>
            <w:tcBorders>
              <w:left w:val="single" w:sz="4" w:space="0" w:color="auto"/>
              <w:bottom w:val="single" w:sz="4" w:space="0" w:color="auto"/>
              <w:right w:val="nil"/>
            </w:tcBorders>
            <w:vAlign w:val="center"/>
          </w:tcPr>
          <w:p w:rsidR="005F7D8C" w:rsidRPr="00690872" w:rsidRDefault="005F7D8C" w:rsidP="006257AC">
            <w:pPr>
              <w:pStyle w:val="BodyText2"/>
              <w:tabs>
                <w:tab w:val="left" w:pos="175"/>
                <w:tab w:val="left" w:pos="884"/>
              </w:tabs>
              <w:spacing w:after="60"/>
              <w:ind w:left="175" w:right="34"/>
              <w:jc w:val="left"/>
              <w:rPr>
                <w:b/>
                <w:bCs/>
                <w:sz w:val="20"/>
                <w:lang w:val="en-US"/>
              </w:rPr>
            </w:pPr>
            <w:r w:rsidRPr="00690872">
              <w:rPr>
                <w:sz w:val="20"/>
                <w:lang w:val="en-US"/>
              </w:rPr>
              <w:t>Me:</w:t>
            </w:r>
          </w:p>
        </w:tc>
        <w:tc>
          <w:tcPr>
            <w:tcW w:w="1667" w:type="dxa"/>
            <w:tcBorders>
              <w:left w:val="nil"/>
              <w:bottom w:val="single" w:sz="4" w:space="0" w:color="auto"/>
            </w:tcBorders>
            <w:vAlign w:val="center"/>
          </w:tcPr>
          <w:p w:rsidR="005F7D8C" w:rsidRPr="00690872" w:rsidRDefault="005F7D8C" w:rsidP="00AD62CB">
            <w:pPr>
              <w:pStyle w:val="BodyText2"/>
              <w:spacing w:after="60"/>
              <w:ind w:left="34"/>
              <w:jc w:val="left"/>
              <w:rPr>
                <w:b/>
                <w:bCs/>
                <w:sz w:val="20"/>
                <w:lang w:val="en-US"/>
              </w:rPr>
            </w:pPr>
            <w:r w:rsidRPr="00690872">
              <w:rPr>
                <w:b/>
                <w:bCs/>
                <w:noProof/>
                <w:sz w:val="20"/>
                <w:lang w:val="en-US"/>
              </w:rPr>
              <w:drawing>
                <wp:inline distT="0" distB="0" distL="0" distR="0">
                  <wp:extent cx="495300" cy="114300"/>
                  <wp:effectExtent l="0" t="0" r="0" b="0"/>
                  <wp:docPr id="1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114300"/>
                          </a:xfrm>
                          <a:prstGeom prst="rect">
                            <a:avLst/>
                          </a:prstGeom>
                          <a:noFill/>
                          <a:ln>
                            <a:noFill/>
                          </a:ln>
                        </pic:spPr>
                      </pic:pic>
                    </a:graphicData>
                  </a:graphic>
                </wp:inline>
              </w:drawing>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188"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EtCF:</w:t>
            </w:r>
            <w:r w:rsidRPr="00690872">
              <w:rPr>
                <w:sz w:val="20"/>
                <w:lang w:val="en-US"/>
              </w:rPr>
              <w:tab/>
            </w:r>
          </w:p>
        </w:tc>
        <w:tc>
          <w:tcPr>
            <w:tcW w:w="2977" w:type="dxa"/>
            <w:gridSpan w:val="3"/>
            <w:tcBorders>
              <w:top w:val="single" w:sz="4" w:space="0" w:color="auto"/>
              <w:left w:val="nil"/>
              <w:bottom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r w:rsidRPr="00690872">
              <w:rPr>
                <w:noProof/>
                <w:sz w:val="20"/>
                <w:lang w:val="en-US"/>
              </w:rPr>
              <w:drawing>
                <wp:inline distT="0" distB="0" distL="0" distR="0">
                  <wp:extent cx="1021080" cy="464820"/>
                  <wp:effectExtent l="0" t="0" r="7620" b="0"/>
                  <wp:docPr id="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64820"/>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75"/>
                <w:tab w:val="left" w:pos="884"/>
              </w:tabs>
              <w:spacing w:after="60"/>
              <w:ind w:left="175" w:right="34"/>
              <w:jc w:val="left"/>
              <w:rPr>
                <w:b/>
                <w:bCs/>
                <w:sz w:val="20"/>
                <w:lang w:val="en-US"/>
              </w:rPr>
            </w:pPr>
            <w:r w:rsidRPr="00690872">
              <w:rPr>
                <w:sz w:val="20"/>
                <w:lang w:val="en-US"/>
              </w:rPr>
              <w:t>Et:</w:t>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spacing w:after="60"/>
              <w:ind w:left="34"/>
              <w:jc w:val="left"/>
              <w:rPr>
                <w:b/>
                <w:bCs/>
                <w:sz w:val="20"/>
                <w:lang w:val="en-US"/>
              </w:rPr>
            </w:pPr>
            <w:r w:rsidRPr="00690872">
              <w:rPr>
                <w:b/>
                <w:bCs/>
                <w:noProof/>
                <w:sz w:val="20"/>
                <w:lang w:val="en-US"/>
              </w:rPr>
              <w:drawing>
                <wp:inline distT="0" distB="0" distL="0" distR="0">
                  <wp:extent cx="685800" cy="274320"/>
                  <wp:effectExtent l="0" t="0" r="0" b="0"/>
                  <wp:docPr id="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274320"/>
                          </a:xfrm>
                          <a:prstGeom prst="rect">
                            <a:avLst/>
                          </a:prstGeom>
                          <a:noFill/>
                          <a:ln>
                            <a:noFill/>
                          </a:ln>
                        </pic:spPr>
                      </pic:pic>
                    </a:graphicData>
                  </a:graphic>
                </wp:inline>
              </w:drawing>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188"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PrCF:</w:t>
            </w:r>
            <w:r w:rsidRPr="00690872">
              <w:rPr>
                <w:sz w:val="20"/>
                <w:lang w:val="en-US"/>
              </w:rPr>
              <w:tab/>
            </w:r>
          </w:p>
        </w:tc>
        <w:tc>
          <w:tcPr>
            <w:tcW w:w="2977" w:type="dxa"/>
            <w:gridSpan w:val="3"/>
            <w:tcBorders>
              <w:top w:val="single" w:sz="4" w:space="0" w:color="auto"/>
              <w:left w:val="nil"/>
              <w:bottom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r w:rsidRPr="00690872">
              <w:rPr>
                <w:noProof/>
                <w:sz w:val="20"/>
                <w:lang w:val="en-US"/>
              </w:rPr>
              <w:drawing>
                <wp:inline distT="0" distB="0" distL="0" distR="0">
                  <wp:extent cx="1242060" cy="464820"/>
                  <wp:effectExtent l="0" t="0" r="0" b="0"/>
                  <wp:docPr id="1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2060" cy="464820"/>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75"/>
                <w:tab w:val="left" w:pos="884"/>
              </w:tabs>
              <w:spacing w:after="60"/>
              <w:ind w:left="175" w:right="34"/>
              <w:jc w:val="left"/>
              <w:rPr>
                <w:b/>
                <w:bCs/>
                <w:sz w:val="20"/>
                <w:lang w:val="en-US"/>
              </w:rPr>
            </w:pPr>
            <w:r w:rsidRPr="00690872">
              <w:rPr>
                <w:sz w:val="20"/>
                <w:lang w:val="en-US"/>
              </w:rPr>
              <w:t>Pr:</w:t>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spacing w:after="60"/>
              <w:ind w:left="34"/>
              <w:jc w:val="left"/>
              <w:rPr>
                <w:b/>
                <w:bCs/>
                <w:sz w:val="20"/>
                <w:lang w:val="en-US"/>
              </w:rPr>
            </w:pPr>
            <w:r w:rsidRPr="00690872">
              <w:rPr>
                <w:b/>
                <w:bCs/>
                <w:noProof/>
                <w:sz w:val="20"/>
                <w:lang w:val="en-US"/>
              </w:rPr>
              <w:drawing>
                <wp:inline distT="0" distB="0" distL="0" distR="0">
                  <wp:extent cx="800100" cy="274320"/>
                  <wp:effectExtent l="0" t="0" r="0" b="0"/>
                  <wp:docPr id="1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274320"/>
                          </a:xfrm>
                          <a:prstGeom prst="rect">
                            <a:avLst/>
                          </a:prstGeom>
                          <a:noFill/>
                          <a:ln>
                            <a:noFill/>
                          </a:ln>
                        </pic:spPr>
                      </pic:pic>
                    </a:graphicData>
                  </a:graphic>
                </wp:inline>
              </w:drawing>
            </w:r>
          </w:p>
        </w:tc>
      </w:tr>
      <w:tr w:rsidR="005F7D8C" w:rsidRPr="004B7EF4" w:rsidTr="00444395">
        <w:trPr>
          <w:trHeight w:val="535"/>
        </w:trPr>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188"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IpCF:</w:t>
            </w:r>
            <w:r w:rsidRPr="00690872">
              <w:rPr>
                <w:sz w:val="20"/>
                <w:lang w:val="en-US"/>
              </w:rPr>
              <w:tab/>
            </w:r>
          </w:p>
        </w:tc>
        <w:tc>
          <w:tcPr>
            <w:tcW w:w="2977" w:type="dxa"/>
            <w:gridSpan w:val="3"/>
            <w:tcBorders>
              <w:top w:val="single" w:sz="4" w:space="0" w:color="auto"/>
              <w:left w:val="nil"/>
              <w:bottom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r w:rsidRPr="00690872">
              <w:rPr>
                <w:noProof/>
                <w:sz w:val="20"/>
                <w:lang w:val="en-US"/>
              </w:rPr>
              <w:drawing>
                <wp:inline distT="0" distB="0" distL="0" distR="0">
                  <wp:extent cx="1021080" cy="441960"/>
                  <wp:effectExtent l="0" t="0" r="7620" b="0"/>
                  <wp:docPr id="1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080" cy="441960"/>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75"/>
                <w:tab w:val="left" w:pos="884"/>
              </w:tabs>
              <w:spacing w:after="60"/>
              <w:ind w:left="175" w:right="34"/>
              <w:jc w:val="left"/>
              <w:rPr>
                <w:sz w:val="20"/>
                <w:lang w:val="en-US"/>
              </w:rPr>
            </w:pPr>
            <w:r w:rsidRPr="00690872">
              <w:rPr>
                <w:sz w:val="20"/>
                <w:lang w:val="en-US"/>
              </w:rPr>
              <w:t>Ip:</w:t>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spacing w:after="60"/>
              <w:ind w:left="34"/>
              <w:jc w:val="left"/>
              <w:rPr>
                <w:sz w:val="20"/>
                <w:lang w:val="en-US"/>
              </w:rPr>
            </w:pPr>
            <w:r w:rsidRPr="00690872">
              <w:rPr>
                <w:noProof/>
                <w:sz w:val="20"/>
                <w:lang w:val="en-US"/>
              </w:rPr>
              <w:drawing>
                <wp:inline distT="0" distB="0" distL="0" distR="0">
                  <wp:extent cx="685800" cy="441960"/>
                  <wp:effectExtent l="0" t="0" r="0" b="0"/>
                  <wp:docPr id="18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441960"/>
                          </a:xfrm>
                          <a:prstGeom prst="rect">
                            <a:avLst/>
                          </a:prstGeom>
                          <a:noFill/>
                          <a:ln>
                            <a:noFill/>
                          </a:ln>
                        </pic:spPr>
                      </pic:pic>
                    </a:graphicData>
                  </a:graphic>
                </wp:inline>
              </w:drawing>
            </w:r>
          </w:p>
        </w:tc>
      </w:tr>
      <w:tr w:rsidR="005F7D8C" w:rsidRPr="004B7EF4" w:rsidTr="00444395">
        <w:trPr>
          <w:trHeight w:val="535"/>
        </w:trPr>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188"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SbCF:</w:t>
            </w:r>
            <w:r w:rsidRPr="00690872">
              <w:rPr>
                <w:sz w:val="20"/>
                <w:lang w:val="en-US"/>
              </w:rPr>
              <w:tab/>
            </w:r>
          </w:p>
        </w:tc>
        <w:tc>
          <w:tcPr>
            <w:tcW w:w="2977" w:type="dxa"/>
            <w:gridSpan w:val="3"/>
            <w:tcBorders>
              <w:top w:val="single" w:sz="4" w:space="0" w:color="auto"/>
              <w:left w:val="nil"/>
              <w:bottom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r w:rsidRPr="00690872">
              <w:rPr>
                <w:noProof/>
                <w:sz w:val="20"/>
                <w:lang w:val="en-US"/>
              </w:rPr>
              <w:drawing>
                <wp:inline distT="0" distB="0" distL="0" distR="0">
                  <wp:extent cx="1242060" cy="464820"/>
                  <wp:effectExtent l="0" t="0" r="0" b="0"/>
                  <wp:docPr id="18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2060" cy="464820"/>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75"/>
                <w:tab w:val="left" w:pos="884"/>
              </w:tabs>
              <w:spacing w:after="60"/>
              <w:ind w:left="175" w:right="34"/>
              <w:jc w:val="left"/>
              <w:rPr>
                <w:b/>
                <w:bCs/>
                <w:sz w:val="20"/>
                <w:lang w:val="en-US"/>
              </w:rPr>
            </w:pPr>
            <w:r w:rsidRPr="00690872">
              <w:rPr>
                <w:sz w:val="20"/>
                <w:lang w:val="en-US"/>
              </w:rPr>
              <w:t>Sb:</w:t>
            </w:r>
            <w:r w:rsidRPr="00690872">
              <w:rPr>
                <w:sz w:val="20"/>
                <w:lang w:val="en-US"/>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spacing w:after="60"/>
              <w:ind w:left="34"/>
              <w:jc w:val="left"/>
              <w:rPr>
                <w:b/>
                <w:bCs/>
                <w:sz w:val="20"/>
                <w:lang w:val="en-US"/>
              </w:rPr>
            </w:pPr>
            <w:r w:rsidRPr="00690872">
              <w:rPr>
                <w:b/>
                <w:bCs/>
                <w:noProof/>
                <w:sz w:val="20"/>
                <w:lang w:val="en-US"/>
              </w:rPr>
              <w:drawing>
                <wp:inline distT="0" distB="0" distL="0" distR="0">
                  <wp:extent cx="800100" cy="464820"/>
                  <wp:effectExtent l="0" t="0" r="0" b="0"/>
                  <wp:docPr id="1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64820"/>
                          </a:xfrm>
                          <a:prstGeom prst="rect">
                            <a:avLst/>
                          </a:prstGeom>
                          <a:noFill/>
                          <a:ln>
                            <a:noFill/>
                          </a:ln>
                        </pic:spPr>
                      </pic:pic>
                    </a:graphicData>
                  </a:graphic>
                </wp:inline>
              </w:drawing>
            </w:r>
          </w:p>
        </w:tc>
      </w:tr>
      <w:tr w:rsidR="006257AC" w:rsidRPr="004B7EF4" w:rsidTr="00444395">
        <w:trPr>
          <w:trHeight w:val="724"/>
        </w:trPr>
        <w:tc>
          <w:tcPr>
            <w:tcW w:w="1039" w:type="dxa"/>
            <w:vMerge/>
            <w:tcBorders>
              <w:right w:val="single" w:sz="4" w:space="0" w:color="auto"/>
            </w:tcBorders>
            <w:vAlign w:val="center"/>
          </w:tcPr>
          <w:p w:rsidR="006257AC" w:rsidRPr="00690872" w:rsidRDefault="006257AC" w:rsidP="00444395">
            <w:pPr>
              <w:pStyle w:val="BodyText2"/>
              <w:spacing w:after="60"/>
              <w:jc w:val="center"/>
              <w:rPr>
                <w:sz w:val="20"/>
                <w:lang w:val="en-US"/>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6257AC" w:rsidRPr="00690872" w:rsidRDefault="006257AC" w:rsidP="006257AC">
            <w:pPr>
              <w:pStyle w:val="BodyText2"/>
              <w:spacing w:after="60"/>
              <w:ind w:left="379"/>
              <w:jc w:val="left"/>
              <w:rPr>
                <w:sz w:val="20"/>
                <w:lang w:val="en-US"/>
              </w:rPr>
            </w:pPr>
            <w:r>
              <w:rPr>
                <w:noProof/>
                <w:sz w:val="20"/>
                <w:lang w:val="en-US"/>
              </w:rPr>
              <w:drawing>
                <wp:anchor distT="0" distB="0" distL="114300" distR="114300" simplePos="0" relativeHeight="251683840" behindDoc="0" locked="0" layoutInCell="1" allowOverlap="1">
                  <wp:simplePos x="0" y="0"/>
                  <wp:positionH relativeFrom="column">
                    <wp:posOffset>1155700</wp:posOffset>
                  </wp:positionH>
                  <wp:positionV relativeFrom="paragraph">
                    <wp:posOffset>635</wp:posOffset>
                  </wp:positionV>
                  <wp:extent cx="1828800" cy="447675"/>
                  <wp:effectExtent l="19050" t="0" r="0" b="0"/>
                  <wp:wrapThrough wrapText="bothSides">
                    <wp:wrapPolygon edited="0">
                      <wp:start x="2025" y="0"/>
                      <wp:lineTo x="-225" y="11030"/>
                      <wp:lineTo x="0" y="13787"/>
                      <wp:lineTo x="5850" y="14706"/>
                      <wp:lineTo x="6525" y="19302"/>
                      <wp:lineTo x="6750" y="19302"/>
                      <wp:lineTo x="15975" y="19302"/>
                      <wp:lineTo x="15750" y="14706"/>
                      <wp:lineTo x="21375" y="13787"/>
                      <wp:lineTo x="21150" y="0"/>
                      <wp:lineTo x="3150" y="0"/>
                      <wp:lineTo x="2025" y="0"/>
                    </wp:wrapPolygon>
                  </wp:wrapThrough>
                  <wp:docPr id="2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447675"/>
                          </a:xfrm>
                          <a:prstGeom prst="rect">
                            <a:avLst/>
                          </a:prstGeom>
                          <a:noFill/>
                          <a:ln>
                            <a:noFill/>
                          </a:ln>
                        </pic:spPr>
                      </pic:pic>
                    </a:graphicData>
                  </a:graphic>
                </wp:anchor>
              </w:drawing>
            </w:r>
            <w:r w:rsidRPr="00690872">
              <w:rPr>
                <w:sz w:val="20"/>
                <w:lang w:val="en-US"/>
              </w:rPr>
              <w:t xml:space="preserve">ObCF:    </w:t>
            </w:r>
          </w:p>
        </w:tc>
        <w:tc>
          <w:tcPr>
            <w:tcW w:w="3651" w:type="dxa"/>
            <w:gridSpan w:val="2"/>
            <w:tcBorders>
              <w:top w:val="single" w:sz="4" w:space="0" w:color="auto"/>
              <w:left w:val="single" w:sz="4" w:space="0" w:color="auto"/>
              <w:bottom w:val="single" w:sz="4" w:space="0" w:color="auto"/>
            </w:tcBorders>
            <w:vAlign w:val="center"/>
          </w:tcPr>
          <w:p w:rsidR="006257AC" w:rsidRPr="00690872" w:rsidRDefault="006257AC" w:rsidP="006257AC">
            <w:pPr>
              <w:pStyle w:val="BodyText2"/>
              <w:spacing w:after="60"/>
              <w:ind w:left="175"/>
              <w:jc w:val="left"/>
              <w:rPr>
                <w:sz w:val="20"/>
                <w:lang w:val="en-US"/>
              </w:rPr>
            </w:pPr>
            <w:r>
              <w:rPr>
                <w:noProof/>
                <w:sz w:val="20"/>
                <w:lang w:val="en-US"/>
              </w:rPr>
              <w:drawing>
                <wp:anchor distT="0" distB="0" distL="114300" distR="114300" simplePos="0" relativeHeight="251682816" behindDoc="0" locked="0" layoutInCell="1" allowOverlap="1">
                  <wp:simplePos x="0" y="0"/>
                  <wp:positionH relativeFrom="column">
                    <wp:posOffset>514350</wp:posOffset>
                  </wp:positionH>
                  <wp:positionV relativeFrom="paragraph">
                    <wp:posOffset>40005</wp:posOffset>
                  </wp:positionV>
                  <wp:extent cx="1457325" cy="276225"/>
                  <wp:effectExtent l="19050" t="0" r="9525" b="0"/>
                  <wp:wrapThrough wrapText="bothSides">
                    <wp:wrapPolygon edited="0">
                      <wp:start x="-282" y="0"/>
                      <wp:lineTo x="-282" y="5959"/>
                      <wp:lineTo x="3388" y="17876"/>
                      <wp:lineTo x="5082" y="17876"/>
                      <wp:lineTo x="18353" y="17876"/>
                      <wp:lineTo x="21741" y="7448"/>
                      <wp:lineTo x="21459" y="0"/>
                      <wp:lineTo x="10729" y="0"/>
                      <wp:lineTo x="-282" y="0"/>
                    </wp:wrapPolygon>
                  </wp:wrapThrough>
                  <wp:docPr id="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325" cy="276225"/>
                          </a:xfrm>
                          <a:prstGeom prst="rect">
                            <a:avLst/>
                          </a:prstGeom>
                          <a:noFill/>
                          <a:ln>
                            <a:noFill/>
                          </a:ln>
                        </pic:spPr>
                      </pic:pic>
                    </a:graphicData>
                  </a:graphic>
                </wp:anchor>
              </w:drawing>
            </w:r>
            <w:r w:rsidRPr="00690872">
              <w:rPr>
                <w:sz w:val="20"/>
                <w:lang w:val="en-US"/>
              </w:rPr>
              <w:t>DEG:</w:t>
            </w:r>
            <w:r w:rsidRPr="00690872">
              <w:rPr>
                <w:b/>
                <w:bCs/>
                <w:noProof/>
                <w:sz w:val="20"/>
                <w:lang w:val="en-US"/>
              </w:rPr>
              <w:t xml:space="preserve"> </w:t>
            </w:r>
          </w:p>
          <w:p w:rsidR="006257AC" w:rsidRPr="00690872" w:rsidRDefault="006257AC" w:rsidP="00AD62CB">
            <w:pPr>
              <w:pStyle w:val="BodyText2"/>
              <w:spacing w:after="60"/>
              <w:ind w:left="34"/>
              <w:jc w:val="left"/>
              <w:rPr>
                <w:sz w:val="20"/>
                <w:lang w:val="en-US"/>
              </w:rPr>
            </w:pPr>
          </w:p>
        </w:tc>
      </w:tr>
      <w:tr w:rsidR="006257AC" w:rsidRPr="004B7EF4" w:rsidTr="00444395">
        <w:tc>
          <w:tcPr>
            <w:tcW w:w="1039" w:type="dxa"/>
            <w:vMerge/>
            <w:tcBorders>
              <w:right w:val="single" w:sz="4" w:space="0" w:color="auto"/>
            </w:tcBorders>
            <w:vAlign w:val="center"/>
          </w:tcPr>
          <w:p w:rsidR="006257AC" w:rsidRPr="00690872" w:rsidRDefault="006257AC" w:rsidP="00444395">
            <w:pPr>
              <w:pStyle w:val="BodyText2"/>
              <w:spacing w:after="60"/>
              <w:jc w:val="center"/>
              <w:rPr>
                <w:sz w:val="20"/>
                <w:lang w:val="en-US"/>
              </w:rPr>
            </w:pPr>
          </w:p>
        </w:tc>
        <w:tc>
          <w:tcPr>
            <w:tcW w:w="2188" w:type="dxa"/>
            <w:tcBorders>
              <w:top w:val="single" w:sz="4" w:space="0" w:color="auto"/>
              <w:left w:val="single" w:sz="4" w:space="0" w:color="auto"/>
              <w:bottom w:val="single" w:sz="4" w:space="0" w:color="auto"/>
              <w:right w:val="nil"/>
            </w:tcBorders>
            <w:vAlign w:val="center"/>
          </w:tcPr>
          <w:p w:rsidR="006257AC" w:rsidRPr="00690872" w:rsidRDefault="006257AC" w:rsidP="006257AC">
            <w:pPr>
              <w:pStyle w:val="BodyText2"/>
              <w:tabs>
                <w:tab w:val="left" w:pos="1332"/>
              </w:tabs>
              <w:spacing w:after="60"/>
              <w:ind w:left="379"/>
              <w:rPr>
                <w:sz w:val="20"/>
                <w:lang w:val="en-US"/>
              </w:rPr>
            </w:pPr>
            <w:r w:rsidRPr="00690872">
              <w:rPr>
                <w:sz w:val="20"/>
                <w:lang w:val="en-US"/>
              </w:rPr>
              <w:t>EhCF:</w:t>
            </w:r>
          </w:p>
        </w:tc>
        <w:tc>
          <w:tcPr>
            <w:tcW w:w="2977" w:type="dxa"/>
            <w:gridSpan w:val="3"/>
            <w:tcBorders>
              <w:top w:val="single" w:sz="4" w:space="0" w:color="auto"/>
              <w:left w:val="nil"/>
              <w:bottom w:val="single" w:sz="4" w:space="0" w:color="auto"/>
              <w:right w:val="single" w:sz="4" w:space="0" w:color="auto"/>
            </w:tcBorders>
          </w:tcPr>
          <w:p w:rsidR="006257AC" w:rsidRPr="00690872" w:rsidRDefault="006257AC" w:rsidP="00AD62CB">
            <w:pPr>
              <w:pStyle w:val="BodyText2"/>
              <w:spacing w:after="60"/>
              <w:jc w:val="left"/>
              <w:rPr>
                <w:sz w:val="20"/>
                <w:lang w:val="en-US"/>
              </w:rPr>
            </w:pPr>
            <w:r w:rsidRPr="00690872">
              <w:rPr>
                <w:noProof/>
                <w:sz w:val="20"/>
                <w:lang w:val="en-US"/>
              </w:rPr>
              <w:drawing>
                <wp:inline distT="0" distB="0" distL="0" distR="0">
                  <wp:extent cx="1706880" cy="464820"/>
                  <wp:effectExtent l="0" t="0" r="7620" b="0"/>
                  <wp:docPr id="2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6880" cy="464820"/>
                          </a:xfrm>
                          <a:prstGeom prst="rect">
                            <a:avLst/>
                          </a:prstGeom>
                          <a:noFill/>
                          <a:ln>
                            <a:noFill/>
                          </a:ln>
                        </pic:spPr>
                      </pic:pic>
                    </a:graphicData>
                  </a:graphic>
                </wp:inline>
              </w:drawing>
            </w:r>
          </w:p>
        </w:tc>
        <w:tc>
          <w:tcPr>
            <w:tcW w:w="3651" w:type="dxa"/>
            <w:gridSpan w:val="2"/>
            <w:tcBorders>
              <w:top w:val="single" w:sz="4" w:space="0" w:color="auto"/>
              <w:left w:val="single" w:sz="4" w:space="0" w:color="auto"/>
              <w:bottom w:val="single" w:sz="4" w:space="0" w:color="auto"/>
            </w:tcBorders>
            <w:vAlign w:val="center"/>
          </w:tcPr>
          <w:p w:rsidR="006257AC" w:rsidRPr="00690872" w:rsidRDefault="006257AC" w:rsidP="006257AC">
            <w:pPr>
              <w:pStyle w:val="BodyText2"/>
              <w:spacing w:after="60"/>
              <w:ind w:left="175"/>
              <w:jc w:val="left"/>
              <w:rPr>
                <w:b/>
                <w:bCs/>
                <w:sz w:val="20"/>
                <w:lang w:val="en-US"/>
              </w:rPr>
            </w:pPr>
            <w:r>
              <w:rPr>
                <w:noProof/>
                <w:sz w:val="20"/>
                <w:lang w:val="en-US"/>
              </w:rPr>
              <w:drawing>
                <wp:anchor distT="0" distB="0" distL="114300" distR="114300" simplePos="0" relativeHeight="251679744" behindDoc="0" locked="0" layoutInCell="1" allowOverlap="1">
                  <wp:simplePos x="0" y="0"/>
                  <wp:positionH relativeFrom="column">
                    <wp:posOffset>514350</wp:posOffset>
                  </wp:positionH>
                  <wp:positionV relativeFrom="paragraph">
                    <wp:posOffset>-7620</wp:posOffset>
                  </wp:positionV>
                  <wp:extent cx="1457325" cy="466725"/>
                  <wp:effectExtent l="0" t="0" r="9525" b="0"/>
                  <wp:wrapThrough wrapText="bothSides">
                    <wp:wrapPolygon edited="0">
                      <wp:start x="4800" y="882"/>
                      <wp:lineTo x="0" y="8816"/>
                      <wp:lineTo x="0" y="14106"/>
                      <wp:lineTo x="3671" y="14988"/>
                      <wp:lineTo x="4518" y="19396"/>
                      <wp:lineTo x="5082" y="19396"/>
                      <wp:lineTo x="17506" y="19396"/>
                      <wp:lineTo x="17788" y="19396"/>
                      <wp:lineTo x="21741" y="14988"/>
                      <wp:lineTo x="21741" y="11461"/>
                      <wp:lineTo x="19482" y="7053"/>
                      <wp:lineTo x="12706" y="882"/>
                      <wp:lineTo x="4800" y="882"/>
                    </wp:wrapPolygon>
                  </wp:wrapThrough>
                  <wp:docPr id="2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325" cy="466725"/>
                          </a:xfrm>
                          <a:prstGeom prst="rect">
                            <a:avLst/>
                          </a:prstGeom>
                          <a:noFill/>
                          <a:ln>
                            <a:noFill/>
                          </a:ln>
                        </pic:spPr>
                      </pic:pic>
                    </a:graphicData>
                  </a:graphic>
                </wp:anchor>
              </w:drawing>
            </w:r>
            <w:r w:rsidRPr="00690872">
              <w:rPr>
                <w:sz w:val="20"/>
                <w:lang w:val="en-US"/>
              </w:rPr>
              <w:t>Eh:</w:t>
            </w:r>
          </w:p>
          <w:p w:rsidR="006257AC" w:rsidRPr="00690872" w:rsidRDefault="006257AC" w:rsidP="00AD62CB">
            <w:pPr>
              <w:pStyle w:val="BodyText2"/>
              <w:spacing w:after="60"/>
              <w:ind w:left="34"/>
              <w:jc w:val="left"/>
              <w:rPr>
                <w:b/>
                <w:bCs/>
                <w:sz w:val="20"/>
                <w:lang w:val="en-US"/>
              </w:rPr>
            </w:pP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5165" w:type="dxa"/>
            <w:gridSpan w:val="4"/>
            <w:tcBorders>
              <w:top w:val="single" w:sz="4" w:space="0" w:color="auto"/>
              <w:left w:val="single" w:sz="4" w:space="0" w:color="auto"/>
              <w:right w:val="single" w:sz="4" w:space="0" w:color="auto"/>
            </w:tcBorders>
          </w:tcPr>
          <w:p w:rsidR="005F7D8C" w:rsidRPr="00690872" w:rsidRDefault="005F7D8C" w:rsidP="00AD62CB">
            <w:pPr>
              <w:pStyle w:val="BodyText2"/>
              <w:tabs>
                <w:tab w:val="left" w:pos="1332"/>
              </w:tabs>
              <w:spacing w:after="60"/>
              <w:jc w:val="left"/>
              <w:rPr>
                <w:sz w:val="20"/>
                <w:lang w:val="en-US"/>
              </w:rPr>
            </w:pPr>
          </w:p>
        </w:tc>
        <w:tc>
          <w:tcPr>
            <w:tcW w:w="1984" w:type="dxa"/>
            <w:tcBorders>
              <w:top w:val="single" w:sz="4" w:space="0" w:color="auto"/>
              <w:left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HCl:</w:t>
            </w:r>
            <w:r w:rsidRPr="00690872">
              <w:rPr>
                <w:sz w:val="20"/>
                <w:lang w:val="en-US"/>
              </w:rPr>
              <w:tab/>
            </w:r>
          </w:p>
        </w:tc>
        <w:tc>
          <w:tcPr>
            <w:tcW w:w="1667" w:type="dxa"/>
            <w:tcBorders>
              <w:top w:val="single" w:sz="4" w:space="0" w:color="auto"/>
              <w:left w:val="nil"/>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noProof/>
                <w:sz w:val="20"/>
                <w:lang w:val="en-US"/>
              </w:rPr>
              <w:drawing>
                <wp:inline distT="0" distB="0" distL="0" distR="0">
                  <wp:extent cx="335280" cy="114300"/>
                  <wp:effectExtent l="0" t="0" r="7620" b="0"/>
                  <wp:docPr id="19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280" cy="114300"/>
                          </a:xfrm>
                          <a:prstGeom prst="rect">
                            <a:avLst/>
                          </a:prstGeom>
                          <a:noFill/>
                          <a:ln>
                            <a:noFill/>
                          </a:ln>
                        </pic:spPr>
                      </pic:pic>
                    </a:graphicData>
                  </a:graphic>
                </wp:inline>
              </w:drawing>
            </w:r>
          </w:p>
        </w:tc>
      </w:tr>
      <w:tr w:rsidR="005F7D8C" w:rsidRPr="004B7EF4" w:rsidTr="00444395">
        <w:tc>
          <w:tcPr>
            <w:tcW w:w="1039" w:type="dxa"/>
            <w:vMerge w:val="restart"/>
            <w:tcBorders>
              <w:right w:val="single" w:sz="4" w:space="0" w:color="auto"/>
            </w:tcBorders>
            <w:vAlign w:val="center"/>
          </w:tcPr>
          <w:p w:rsidR="005F7D8C" w:rsidRPr="00690872" w:rsidRDefault="005F7D8C" w:rsidP="00444395">
            <w:pPr>
              <w:pStyle w:val="BodyText2"/>
              <w:spacing w:after="60"/>
              <w:jc w:val="center"/>
              <w:rPr>
                <w:sz w:val="20"/>
                <w:lang w:val="en-US"/>
              </w:rPr>
            </w:pPr>
            <w:r w:rsidRPr="00690872">
              <w:rPr>
                <w:sz w:val="20"/>
                <w:lang w:val="en-US"/>
              </w:rPr>
              <w:t>Molecular Weights (g/mol):</w:t>
            </w:r>
          </w:p>
        </w:tc>
        <w:tc>
          <w:tcPr>
            <w:tcW w:w="2755" w:type="dxa"/>
            <w:gridSpan w:val="2"/>
            <w:tcBorders>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MeCF:</w:t>
            </w:r>
            <w:r w:rsidRPr="00690872">
              <w:rPr>
                <w:sz w:val="20"/>
                <w:lang w:val="en-US"/>
              </w:rPr>
              <w:tab/>
            </w:r>
          </w:p>
        </w:tc>
        <w:tc>
          <w:tcPr>
            <w:tcW w:w="2410" w:type="dxa"/>
            <w:gridSpan w:val="2"/>
            <w:tcBorders>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94.50</w:t>
            </w:r>
          </w:p>
        </w:tc>
        <w:tc>
          <w:tcPr>
            <w:tcW w:w="1984" w:type="dxa"/>
            <w:tcBorders>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Me:</w:t>
            </w:r>
            <w:r w:rsidRPr="00690872">
              <w:rPr>
                <w:sz w:val="20"/>
                <w:lang w:val="en-US"/>
              </w:rPr>
              <w:tab/>
            </w:r>
          </w:p>
        </w:tc>
        <w:tc>
          <w:tcPr>
            <w:tcW w:w="1667" w:type="dxa"/>
            <w:tcBorders>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32.04</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jc w:val="left"/>
              <w:rPr>
                <w:sz w:val="20"/>
                <w:lang w:val="en-US"/>
              </w:rPr>
            </w:pPr>
            <w:r w:rsidRPr="00690872">
              <w:rPr>
                <w:sz w:val="20"/>
                <w:lang w:val="en-US"/>
              </w:rPr>
              <w:t>EtCF: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108.53</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Et:</w:t>
            </w:r>
            <w:r w:rsidRPr="00690872">
              <w:rPr>
                <w:sz w:val="20"/>
                <w:lang w:val="en-US"/>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46.07</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PrCF: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122.55</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eastAsia="de-DE"/>
              </w:rPr>
            </w:pPr>
            <w:r w:rsidRPr="00690872">
              <w:rPr>
                <w:sz w:val="20"/>
                <w:lang w:val="en-US" w:eastAsia="de-DE"/>
              </w:rPr>
              <w:t>Pr:</w:t>
            </w:r>
            <w:r w:rsidRPr="00690872">
              <w:rPr>
                <w:sz w:val="20"/>
                <w:lang w:val="en-US" w:eastAsia="de-DE"/>
              </w:rPr>
              <w:tab/>
            </w:r>
            <w:r w:rsidRPr="00690872">
              <w:rPr>
                <w:sz w:val="20"/>
                <w:lang w:val="en-US" w:eastAsia="de-DE"/>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eastAsia="de-DE"/>
              </w:rPr>
            </w:pPr>
            <w:r w:rsidRPr="00690872">
              <w:rPr>
                <w:sz w:val="20"/>
                <w:lang w:val="en-US" w:eastAsia="de-DE"/>
              </w:rPr>
              <w:t>60.09</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IpCF: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122.55</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eastAsia="de-DE"/>
              </w:rPr>
              <w:t>Ip:</w:t>
            </w:r>
            <w:r w:rsidRPr="00690872">
              <w:rPr>
                <w:sz w:val="20"/>
                <w:lang w:val="en-US" w:eastAsia="de-DE"/>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eastAsia="de-DE"/>
              </w:rPr>
              <w:t>60.10</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SbCF: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136.58</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Sb:</w:t>
            </w:r>
            <w:r w:rsidRPr="00690872">
              <w:rPr>
                <w:sz w:val="20"/>
                <w:lang w:val="en-US"/>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74.12</w:t>
            </w:r>
          </w:p>
        </w:tc>
      </w:tr>
      <w:tr w:rsidR="005F7D8C" w:rsidRPr="004B7EF4" w:rsidTr="00444395">
        <w:trPr>
          <w:trHeight w:val="411"/>
        </w:trPr>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ObCF: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231.03</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ObCF:</w:t>
            </w:r>
            <w:r w:rsidRPr="00690872">
              <w:rPr>
                <w:sz w:val="20"/>
                <w:lang w:val="en-US"/>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106.12</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2755" w:type="dxa"/>
            <w:gridSpan w:val="2"/>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tabs>
                <w:tab w:val="left" w:pos="1332"/>
              </w:tabs>
              <w:spacing w:after="60"/>
              <w:ind w:left="379"/>
              <w:rPr>
                <w:sz w:val="20"/>
                <w:lang w:val="en-US"/>
              </w:rPr>
            </w:pPr>
            <w:r w:rsidRPr="00690872">
              <w:rPr>
                <w:sz w:val="20"/>
                <w:lang w:val="en-US"/>
              </w:rPr>
              <w:t>EhCF:</w:t>
            </w:r>
            <w:r w:rsidRPr="00690872">
              <w:rPr>
                <w:sz w:val="20"/>
                <w:lang w:val="en-US"/>
              </w:rPr>
              <w:tab/>
            </w:r>
          </w:p>
        </w:tc>
        <w:tc>
          <w:tcPr>
            <w:tcW w:w="2410" w:type="dxa"/>
            <w:gridSpan w:val="2"/>
            <w:tcBorders>
              <w:top w:val="single" w:sz="4" w:space="0" w:color="auto"/>
              <w:left w:val="nil"/>
              <w:bottom w:val="single" w:sz="4" w:space="0" w:color="auto"/>
              <w:right w:val="single" w:sz="4" w:space="0" w:color="auto"/>
            </w:tcBorders>
          </w:tcPr>
          <w:p w:rsidR="005F7D8C" w:rsidRPr="00690872" w:rsidRDefault="005F7D8C" w:rsidP="006257AC">
            <w:pPr>
              <w:pStyle w:val="BodyText2"/>
              <w:tabs>
                <w:tab w:val="left" w:pos="1332"/>
              </w:tabs>
              <w:spacing w:after="60"/>
              <w:ind w:left="601"/>
              <w:jc w:val="left"/>
              <w:rPr>
                <w:sz w:val="20"/>
                <w:lang w:val="en-US"/>
              </w:rPr>
            </w:pPr>
            <w:r w:rsidRPr="00690872">
              <w:rPr>
                <w:sz w:val="20"/>
                <w:lang w:val="en-US"/>
              </w:rPr>
              <w:t>192.69</w:t>
            </w:r>
          </w:p>
        </w:tc>
        <w:tc>
          <w:tcPr>
            <w:tcW w:w="1984" w:type="dxa"/>
            <w:tcBorders>
              <w:top w:val="single" w:sz="4" w:space="0" w:color="auto"/>
              <w:left w:val="single" w:sz="4" w:space="0" w:color="auto"/>
              <w:bottom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EhCF:</w:t>
            </w:r>
            <w:r w:rsidRPr="00690872">
              <w:rPr>
                <w:sz w:val="20"/>
                <w:lang w:val="en-US"/>
              </w:rPr>
              <w:tab/>
            </w:r>
          </w:p>
        </w:tc>
        <w:tc>
          <w:tcPr>
            <w:tcW w:w="1667" w:type="dxa"/>
            <w:tcBorders>
              <w:top w:val="single" w:sz="4" w:space="0" w:color="auto"/>
              <w:left w:val="nil"/>
              <w:bottom w:val="single" w:sz="4" w:space="0" w:color="auto"/>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130.23</w:t>
            </w:r>
          </w:p>
        </w:tc>
      </w:tr>
      <w:tr w:rsidR="005F7D8C" w:rsidRPr="004B7EF4" w:rsidTr="00444395">
        <w:tc>
          <w:tcPr>
            <w:tcW w:w="1039" w:type="dxa"/>
            <w:vMerge/>
            <w:tcBorders>
              <w:right w:val="single" w:sz="4" w:space="0" w:color="auto"/>
            </w:tcBorders>
            <w:vAlign w:val="center"/>
          </w:tcPr>
          <w:p w:rsidR="005F7D8C" w:rsidRPr="00690872" w:rsidRDefault="005F7D8C" w:rsidP="00444395">
            <w:pPr>
              <w:pStyle w:val="BodyText2"/>
              <w:spacing w:after="60"/>
              <w:jc w:val="center"/>
              <w:rPr>
                <w:sz w:val="20"/>
                <w:lang w:val="en-US"/>
              </w:rPr>
            </w:pPr>
          </w:p>
        </w:tc>
        <w:tc>
          <w:tcPr>
            <w:tcW w:w="5165" w:type="dxa"/>
            <w:gridSpan w:val="4"/>
            <w:tcBorders>
              <w:top w:val="single" w:sz="4" w:space="0" w:color="auto"/>
              <w:left w:val="single" w:sz="4" w:space="0" w:color="auto"/>
              <w:right w:val="single" w:sz="4" w:space="0" w:color="auto"/>
            </w:tcBorders>
            <w:vAlign w:val="center"/>
          </w:tcPr>
          <w:p w:rsidR="005F7D8C" w:rsidRPr="00690872" w:rsidRDefault="005F7D8C" w:rsidP="00773BAB">
            <w:pPr>
              <w:pStyle w:val="BodyText2"/>
              <w:tabs>
                <w:tab w:val="left" w:pos="1332"/>
              </w:tabs>
              <w:spacing w:after="60"/>
              <w:ind w:left="1339" w:hanging="1339"/>
              <w:rPr>
                <w:sz w:val="20"/>
                <w:lang w:val="en-US"/>
              </w:rPr>
            </w:pPr>
          </w:p>
        </w:tc>
        <w:tc>
          <w:tcPr>
            <w:tcW w:w="1984" w:type="dxa"/>
            <w:tcBorders>
              <w:top w:val="single" w:sz="4" w:space="0" w:color="auto"/>
              <w:left w:val="single" w:sz="4" w:space="0" w:color="auto"/>
              <w:right w:val="nil"/>
            </w:tcBorders>
            <w:vAlign w:val="center"/>
          </w:tcPr>
          <w:p w:rsidR="005F7D8C" w:rsidRPr="00690872" w:rsidRDefault="005F7D8C" w:rsidP="006257AC">
            <w:pPr>
              <w:pStyle w:val="BodyText2"/>
              <w:spacing w:after="60"/>
              <w:ind w:left="175"/>
              <w:jc w:val="left"/>
              <w:rPr>
                <w:sz w:val="20"/>
                <w:lang w:val="en-US"/>
              </w:rPr>
            </w:pPr>
            <w:r w:rsidRPr="00690872">
              <w:rPr>
                <w:sz w:val="20"/>
                <w:lang w:val="en-US"/>
              </w:rPr>
              <w:t>HCl:</w:t>
            </w:r>
            <w:r w:rsidRPr="00690872">
              <w:rPr>
                <w:sz w:val="20"/>
                <w:lang w:val="en-US"/>
              </w:rPr>
              <w:tab/>
            </w:r>
          </w:p>
        </w:tc>
        <w:tc>
          <w:tcPr>
            <w:tcW w:w="1667" w:type="dxa"/>
            <w:tcBorders>
              <w:top w:val="single" w:sz="4" w:space="0" w:color="auto"/>
              <w:left w:val="nil"/>
            </w:tcBorders>
            <w:vAlign w:val="center"/>
          </w:tcPr>
          <w:p w:rsidR="005F7D8C" w:rsidRPr="00690872" w:rsidRDefault="005F7D8C" w:rsidP="00AD62CB">
            <w:pPr>
              <w:pStyle w:val="BodyText2"/>
              <w:tabs>
                <w:tab w:val="left" w:pos="1332"/>
              </w:tabs>
              <w:spacing w:after="60"/>
              <w:ind w:left="1339" w:hanging="1339"/>
              <w:jc w:val="left"/>
              <w:rPr>
                <w:sz w:val="20"/>
                <w:lang w:val="en-US"/>
              </w:rPr>
            </w:pPr>
            <w:r w:rsidRPr="00690872">
              <w:rPr>
                <w:sz w:val="20"/>
                <w:lang w:val="en-US"/>
              </w:rPr>
              <w:t>36.46</w:t>
            </w:r>
          </w:p>
        </w:tc>
      </w:tr>
      <w:tr w:rsidR="001D41E2" w:rsidRPr="004B7EF4" w:rsidTr="00444395">
        <w:trPr>
          <w:cantSplit/>
        </w:trPr>
        <w:tc>
          <w:tcPr>
            <w:tcW w:w="1039" w:type="dxa"/>
            <w:vMerge w:val="restart"/>
            <w:tcBorders>
              <w:right w:val="single" w:sz="4" w:space="0" w:color="auto"/>
            </w:tcBorders>
            <w:vAlign w:val="center"/>
          </w:tcPr>
          <w:p w:rsidR="001D41E2" w:rsidRPr="00690872" w:rsidRDefault="00B45DB2" w:rsidP="00444395">
            <w:pPr>
              <w:pStyle w:val="BodyText2"/>
              <w:jc w:val="center"/>
              <w:rPr>
                <w:sz w:val="20"/>
                <w:lang w:val="en-US"/>
              </w:rPr>
            </w:pPr>
            <w:r w:rsidRPr="00690872">
              <w:rPr>
                <w:sz w:val="20"/>
                <w:lang w:val="en-US"/>
              </w:rPr>
              <w:t>Synonym:</w:t>
            </w:r>
          </w:p>
        </w:tc>
        <w:tc>
          <w:tcPr>
            <w:tcW w:w="5165" w:type="dxa"/>
            <w:gridSpan w:val="4"/>
            <w:tcBorders>
              <w:left w:val="single" w:sz="4" w:space="0" w:color="auto"/>
              <w:bottom w:val="single" w:sz="4" w:space="0" w:color="auto"/>
              <w:right w:val="single" w:sz="4" w:space="0" w:color="auto"/>
            </w:tcBorders>
            <w:vAlign w:val="center"/>
          </w:tcPr>
          <w:p w:rsidR="001D41E2" w:rsidRPr="00690872" w:rsidRDefault="001D41E2" w:rsidP="00444395">
            <w:pPr>
              <w:suppressAutoHyphens/>
              <w:ind w:left="95" w:right="176"/>
              <w:jc w:val="both"/>
              <w:rPr>
                <w:sz w:val="20"/>
                <w:szCs w:val="20"/>
              </w:rPr>
            </w:pPr>
            <w:r w:rsidRPr="00690872">
              <w:rPr>
                <w:sz w:val="20"/>
                <w:szCs w:val="20"/>
              </w:rPr>
              <w:t>MeCF: Chloroformic acid methyl ester; chlorocarbonic acid methyl ester; formic acid, chloro-, methyl ester; methyl chlorocarbonate;</w:t>
            </w:r>
            <w:r w:rsidR="00444395">
              <w:rPr>
                <w:sz w:val="20"/>
                <w:szCs w:val="20"/>
              </w:rPr>
              <w:t xml:space="preserve"> </w:t>
            </w:r>
            <w:r w:rsidRPr="00690872">
              <w:rPr>
                <w:sz w:val="20"/>
                <w:szCs w:val="20"/>
              </w:rPr>
              <w:t>carbo</w:t>
            </w:r>
            <w:r w:rsidR="00444395">
              <w:rPr>
                <w:sz w:val="20"/>
                <w:szCs w:val="20"/>
              </w:rPr>
              <w:t xml:space="preserve">nochloridic acid, methyl ester; </w:t>
            </w:r>
            <w:r w:rsidRPr="00690872">
              <w:rPr>
                <w:sz w:val="20"/>
                <w:szCs w:val="20"/>
              </w:rPr>
              <w:t>chloroformate, methyl; methoxycarbonyl chloride;</w:t>
            </w:r>
            <w:r w:rsidR="00444395">
              <w:rPr>
                <w:sz w:val="20"/>
                <w:szCs w:val="20"/>
              </w:rPr>
              <w:t xml:space="preserve"> </w:t>
            </w:r>
            <w:r w:rsidRPr="00690872">
              <w:rPr>
                <w:sz w:val="20"/>
                <w:szCs w:val="20"/>
              </w:rPr>
              <w:t>methyl carbonochloridate</w:t>
            </w:r>
          </w:p>
        </w:tc>
        <w:tc>
          <w:tcPr>
            <w:tcW w:w="3651" w:type="dxa"/>
            <w:gridSpan w:val="2"/>
            <w:tcBorders>
              <w:left w:val="single" w:sz="4" w:space="0" w:color="auto"/>
              <w:bottom w:val="single" w:sz="4" w:space="0" w:color="auto"/>
            </w:tcBorders>
            <w:vAlign w:val="center"/>
          </w:tcPr>
          <w:p w:rsidR="001D41E2" w:rsidRPr="00690872" w:rsidRDefault="001D41E2" w:rsidP="00444395">
            <w:pPr>
              <w:pStyle w:val="BodyText2"/>
              <w:tabs>
                <w:tab w:val="left" w:pos="12"/>
              </w:tabs>
              <w:ind w:left="12" w:right="141" w:hanging="12"/>
              <w:rPr>
                <w:sz w:val="20"/>
                <w:lang w:val="en-US" w:eastAsia="de-DE"/>
              </w:rPr>
            </w:pPr>
            <w:r w:rsidRPr="00690872">
              <w:rPr>
                <w:rFonts w:ascii="TimesNewRomanPSMT" w:hAnsi="TimesNewRomanPSMT" w:cs="TimesNewRomanPSMT"/>
                <w:sz w:val="20"/>
                <w:lang w:val="en-US" w:eastAsia="de-DE"/>
              </w:rPr>
              <w:t xml:space="preserve">Me: Methyl alcohol; methyl hydroxide; methylol; monohydroxymethane; </w:t>
            </w:r>
            <w:r w:rsidR="00444395">
              <w:rPr>
                <w:sz w:val="20"/>
                <w:lang w:val="en-US" w:eastAsia="de-DE"/>
              </w:rPr>
              <w:t xml:space="preserve">methyl </w:t>
            </w:r>
            <w:r w:rsidRPr="00690872">
              <w:rPr>
                <w:sz w:val="20"/>
                <w:lang w:val="en-US" w:eastAsia="de-DE"/>
              </w:rPr>
              <w:t>hydrate</w:t>
            </w:r>
          </w:p>
        </w:tc>
      </w:tr>
      <w:tr w:rsidR="001D41E2" w:rsidRPr="004B7EF4" w:rsidTr="00444395">
        <w:tc>
          <w:tcPr>
            <w:tcW w:w="1039" w:type="dxa"/>
            <w:vMerge/>
            <w:tcBorders>
              <w:right w:val="single" w:sz="4" w:space="0" w:color="auto"/>
            </w:tcBorders>
            <w:vAlign w:val="center"/>
          </w:tcPr>
          <w:p w:rsidR="001D41E2" w:rsidRPr="00690872" w:rsidRDefault="001D41E2" w:rsidP="00444395">
            <w:pPr>
              <w:pStyle w:val="BodyText2"/>
              <w:jc w:val="center"/>
              <w:rPr>
                <w:sz w:val="20"/>
                <w:lang w:val="en-US"/>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690872" w:rsidRDefault="001D41E2" w:rsidP="00444395">
            <w:pPr>
              <w:suppressAutoHyphens/>
              <w:ind w:left="95" w:right="176"/>
              <w:jc w:val="both"/>
              <w:rPr>
                <w:sz w:val="20"/>
                <w:szCs w:val="20"/>
              </w:rPr>
            </w:pPr>
            <w:r w:rsidRPr="00690872">
              <w:rPr>
                <w:sz w:val="20"/>
                <w:szCs w:val="20"/>
              </w:rPr>
              <w:t>EtCF: Carbonochloridic acid, ethyl ester; formic acid, chloro-, ethyl ester; cathyl chloride; chlorocarbonic acid ethyl ester; chloroformic acid ethyl ester; ethoxycarbonyl chloride; ethyl carbonochloridate; ethyl chlorocarbonate; ethyl chloroformate</w:t>
            </w:r>
          </w:p>
        </w:tc>
        <w:tc>
          <w:tcPr>
            <w:tcW w:w="3651" w:type="dxa"/>
            <w:gridSpan w:val="2"/>
            <w:tcBorders>
              <w:top w:val="single" w:sz="4" w:space="0" w:color="auto"/>
              <w:left w:val="single" w:sz="4" w:space="0" w:color="auto"/>
              <w:bottom w:val="single" w:sz="4" w:space="0" w:color="auto"/>
            </w:tcBorders>
            <w:vAlign w:val="center"/>
          </w:tcPr>
          <w:p w:rsidR="001D41E2" w:rsidRPr="00690872" w:rsidRDefault="001D41E2" w:rsidP="00444395">
            <w:pPr>
              <w:pStyle w:val="BodyText2"/>
              <w:tabs>
                <w:tab w:val="left" w:pos="12"/>
              </w:tabs>
              <w:ind w:left="12" w:right="141" w:hanging="12"/>
              <w:rPr>
                <w:rFonts w:ascii="TimesNewRomanPSMT" w:hAnsi="TimesNewRomanPSMT" w:cs="TimesNewRomanPSMT"/>
                <w:sz w:val="20"/>
                <w:lang w:val="en-US" w:eastAsia="de-DE"/>
              </w:rPr>
            </w:pPr>
            <w:r w:rsidRPr="00690872">
              <w:rPr>
                <w:rFonts w:ascii="TimesNewRomanPSMT" w:hAnsi="TimesNewRomanPSMT" w:cs="TimesNewRomanPSMT"/>
                <w:sz w:val="20"/>
                <w:lang w:val="en-US" w:eastAsia="de-DE"/>
              </w:rPr>
              <w:t>Et: Ethyl alcohol; grain alcohol; hydroxyethane; ethyl hydrate; ethyl hydroxide; methyl carbinol</w:t>
            </w:r>
          </w:p>
        </w:tc>
      </w:tr>
      <w:tr w:rsidR="001D41E2" w:rsidRPr="001130ED" w:rsidTr="00444395">
        <w:tc>
          <w:tcPr>
            <w:tcW w:w="1039" w:type="dxa"/>
            <w:vMerge/>
            <w:tcBorders>
              <w:right w:val="single" w:sz="4" w:space="0" w:color="auto"/>
            </w:tcBorders>
            <w:vAlign w:val="center"/>
          </w:tcPr>
          <w:p w:rsidR="001D41E2" w:rsidRPr="00690872" w:rsidRDefault="001D41E2" w:rsidP="00444395">
            <w:pPr>
              <w:pStyle w:val="BodyText2"/>
              <w:jc w:val="center"/>
              <w:rPr>
                <w:sz w:val="20"/>
                <w:lang w:val="en-US"/>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690872" w:rsidRDefault="001D41E2" w:rsidP="00444395">
            <w:pPr>
              <w:suppressAutoHyphens/>
              <w:ind w:left="95" w:right="176"/>
              <w:jc w:val="both"/>
              <w:rPr>
                <w:sz w:val="20"/>
                <w:szCs w:val="20"/>
              </w:rPr>
            </w:pPr>
            <w:r w:rsidRPr="00690872">
              <w:rPr>
                <w:sz w:val="20"/>
                <w:szCs w:val="20"/>
              </w:rPr>
              <w:t>PrCF: Formic acid, chloro-, propyl</w:t>
            </w:r>
            <w:r w:rsidR="00444395">
              <w:rPr>
                <w:sz w:val="20"/>
                <w:szCs w:val="20"/>
              </w:rPr>
              <w:t xml:space="preserve"> ester; propyl chlorocarbonate; </w:t>
            </w:r>
            <w:r w:rsidRPr="00690872">
              <w:rPr>
                <w:sz w:val="20"/>
                <w:szCs w:val="20"/>
              </w:rPr>
              <w:t>n-propyl</w:t>
            </w:r>
            <w:r w:rsidR="00444395">
              <w:rPr>
                <w:sz w:val="20"/>
                <w:szCs w:val="20"/>
              </w:rPr>
              <w:t xml:space="preserve"> </w:t>
            </w:r>
            <w:r w:rsidRPr="00690872">
              <w:rPr>
                <w:sz w:val="20"/>
                <w:szCs w:val="20"/>
              </w:rPr>
              <w:t xml:space="preserve">chloroformate; carbonochloridic acid, propyl ester; n-propyl chloroformate </w:t>
            </w:r>
          </w:p>
        </w:tc>
        <w:tc>
          <w:tcPr>
            <w:tcW w:w="3651" w:type="dxa"/>
            <w:gridSpan w:val="2"/>
            <w:tcBorders>
              <w:top w:val="single" w:sz="4" w:space="0" w:color="auto"/>
              <w:left w:val="single" w:sz="4" w:space="0" w:color="auto"/>
              <w:bottom w:val="single" w:sz="4" w:space="0" w:color="auto"/>
            </w:tcBorders>
            <w:vAlign w:val="center"/>
          </w:tcPr>
          <w:p w:rsidR="001D41E2" w:rsidRPr="00690872" w:rsidRDefault="007D3E3E" w:rsidP="00444395">
            <w:pPr>
              <w:pStyle w:val="BodyText2"/>
              <w:tabs>
                <w:tab w:val="left" w:pos="12"/>
              </w:tabs>
              <w:ind w:left="12" w:right="141" w:hanging="12"/>
              <w:rPr>
                <w:rFonts w:ascii="TimesNewRomanPSMT" w:hAnsi="TimesNewRomanPSMT" w:cs="TimesNewRomanPSMT"/>
                <w:sz w:val="20"/>
                <w:lang w:val="fr-FR" w:eastAsia="de-DE"/>
              </w:rPr>
            </w:pPr>
            <w:r w:rsidRPr="00690872">
              <w:rPr>
                <w:rFonts w:ascii="TimesNewRomanPSMT" w:hAnsi="TimesNewRomanPSMT" w:cs="TimesNewRomanPSMT"/>
                <w:sz w:val="20"/>
                <w:lang w:val="fr-FR" w:eastAsia="de-DE"/>
              </w:rPr>
              <w:t>Pr: 1-Hydroxypropane; 1-propanol; ethylcarbinol; n-propanol; n-propyl alcohol; propanol-1; alcohol C3</w:t>
            </w:r>
          </w:p>
        </w:tc>
      </w:tr>
      <w:tr w:rsidR="001D41E2" w:rsidRPr="00D37B2E" w:rsidTr="00444395">
        <w:trPr>
          <w:trHeight w:val="700"/>
        </w:trPr>
        <w:tc>
          <w:tcPr>
            <w:tcW w:w="1039" w:type="dxa"/>
            <w:vMerge/>
            <w:tcBorders>
              <w:right w:val="single" w:sz="4" w:space="0" w:color="auto"/>
            </w:tcBorders>
            <w:vAlign w:val="center"/>
          </w:tcPr>
          <w:p w:rsidR="001D41E2" w:rsidRPr="00690872" w:rsidRDefault="001D41E2" w:rsidP="00444395">
            <w:pPr>
              <w:pStyle w:val="BodyText2"/>
              <w:jc w:val="center"/>
              <w:rPr>
                <w:sz w:val="20"/>
                <w:lang w:val="fr-FR"/>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690872" w:rsidRDefault="007D3E3E" w:rsidP="00444395">
            <w:pPr>
              <w:tabs>
                <w:tab w:val="left" w:pos="12"/>
              </w:tabs>
              <w:suppressAutoHyphens/>
              <w:ind w:left="95" w:right="176" w:hanging="12"/>
              <w:jc w:val="both"/>
              <w:rPr>
                <w:rFonts w:ascii="TimesNewRomanPSMT" w:hAnsi="TimesNewRomanPSMT" w:cs="TimesNewRomanPSMT"/>
                <w:sz w:val="20"/>
                <w:szCs w:val="20"/>
                <w:lang w:val="fr-FR" w:eastAsia="de-DE"/>
              </w:rPr>
            </w:pPr>
            <w:r w:rsidRPr="00690872">
              <w:rPr>
                <w:rFonts w:ascii="TimesNewRomanPSMT" w:hAnsi="TimesNewRomanPSMT" w:cs="TimesNewRomanPSMT"/>
                <w:sz w:val="20"/>
                <w:szCs w:val="20"/>
                <w:lang w:val="fr-FR" w:eastAsia="de-DE"/>
              </w:rPr>
              <w:t>IpCF: Formic acid, chloro-, isopropyl ester; isopropyl chlorocarbonate; carbonochloridic acid, isopropyl ester</w:t>
            </w:r>
          </w:p>
        </w:tc>
        <w:tc>
          <w:tcPr>
            <w:tcW w:w="3651" w:type="dxa"/>
            <w:gridSpan w:val="2"/>
            <w:tcBorders>
              <w:top w:val="single" w:sz="4" w:space="0" w:color="auto"/>
              <w:left w:val="single" w:sz="4" w:space="0" w:color="auto"/>
              <w:bottom w:val="single" w:sz="4" w:space="0" w:color="auto"/>
            </w:tcBorders>
            <w:vAlign w:val="center"/>
          </w:tcPr>
          <w:p w:rsidR="001D41E2" w:rsidRPr="00690872" w:rsidRDefault="001D41E2" w:rsidP="00444395">
            <w:pPr>
              <w:pStyle w:val="BodyText2"/>
              <w:tabs>
                <w:tab w:val="left" w:pos="12"/>
              </w:tabs>
              <w:ind w:left="12" w:right="141" w:hanging="12"/>
              <w:rPr>
                <w:rFonts w:ascii="TimesNewRomanPSMT" w:hAnsi="TimesNewRomanPSMT" w:cs="TimesNewRomanPSMT"/>
                <w:sz w:val="20"/>
                <w:lang w:val="it-IT" w:eastAsia="de-DE"/>
              </w:rPr>
            </w:pPr>
            <w:r w:rsidRPr="00690872">
              <w:rPr>
                <w:rFonts w:ascii="TimesNewRomanPSMT" w:hAnsi="TimesNewRomanPSMT" w:cs="TimesNewRomanPSMT"/>
                <w:sz w:val="20"/>
                <w:lang w:val="it-IT" w:eastAsia="de-DE"/>
              </w:rPr>
              <w:t>Ip: 2-Propanol; isopropyl alcohol (IPA)</w:t>
            </w:r>
          </w:p>
        </w:tc>
      </w:tr>
      <w:tr w:rsidR="001D41E2" w:rsidRPr="001130ED" w:rsidTr="00444395">
        <w:trPr>
          <w:trHeight w:val="700"/>
        </w:trPr>
        <w:tc>
          <w:tcPr>
            <w:tcW w:w="1039" w:type="dxa"/>
            <w:vMerge/>
            <w:tcBorders>
              <w:right w:val="single" w:sz="4" w:space="0" w:color="auto"/>
            </w:tcBorders>
            <w:vAlign w:val="center"/>
          </w:tcPr>
          <w:p w:rsidR="001D41E2" w:rsidRPr="00690872" w:rsidRDefault="001D41E2" w:rsidP="00444395">
            <w:pPr>
              <w:pStyle w:val="BodyText2"/>
              <w:jc w:val="center"/>
              <w:rPr>
                <w:sz w:val="20"/>
                <w:lang w:val="it-IT"/>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690872" w:rsidRDefault="001D41E2" w:rsidP="00444395">
            <w:pPr>
              <w:pStyle w:val="BodyText2"/>
              <w:tabs>
                <w:tab w:val="left" w:pos="12"/>
              </w:tabs>
              <w:ind w:left="95" w:right="176" w:hanging="12"/>
              <w:rPr>
                <w:rFonts w:ascii="TimesNewRomanPSMT" w:hAnsi="TimesNewRomanPSMT" w:cs="TimesNewRomanPSMT"/>
                <w:sz w:val="20"/>
                <w:lang w:val="it-IT" w:eastAsia="de-DE"/>
              </w:rPr>
            </w:pPr>
            <w:proofErr w:type="gramStart"/>
            <w:r w:rsidRPr="00690872">
              <w:rPr>
                <w:rFonts w:ascii="TimesNewRomanPSMT" w:hAnsi="TimesNewRomanPSMT" w:cs="TimesNewRomanPSMT"/>
                <w:sz w:val="20"/>
                <w:lang w:val="it-IT" w:eastAsia="de-DE"/>
              </w:rPr>
              <w:t>SbCF: 2-Butyl chloroformate; formic acid, chloro-, sec-butyl ester; sec-butyl chlorocarbonate; carbonochloridic acid, sec-butyl ester</w:t>
            </w:r>
            <w:proofErr w:type="gramEnd"/>
          </w:p>
        </w:tc>
        <w:tc>
          <w:tcPr>
            <w:tcW w:w="3651" w:type="dxa"/>
            <w:gridSpan w:val="2"/>
            <w:tcBorders>
              <w:top w:val="single" w:sz="4" w:space="0" w:color="auto"/>
              <w:left w:val="single" w:sz="4" w:space="0" w:color="auto"/>
              <w:bottom w:val="single" w:sz="4" w:space="0" w:color="auto"/>
            </w:tcBorders>
            <w:vAlign w:val="center"/>
          </w:tcPr>
          <w:p w:rsidR="001D41E2" w:rsidRPr="00690872" w:rsidRDefault="001D41E2" w:rsidP="00444395">
            <w:pPr>
              <w:pStyle w:val="BodyText2"/>
              <w:tabs>
                <w:tab w:val="left" w:pos="12"/>
              </w:tabs>
              <w:ind w:left="12" w:right="141" w:hanging="12"/>
              <w:rPr>
                <w:rFonts w:ascii="TimesNewRomanPSMT" w:hAnsi="TimesNewRomanPSMT" w:cs="TimesNewRomanPSMT"/>
                <w:sz w:val="20"/>
                <w:lang w:val="it-IT" w:eastAsia="de-DE"/>
              </w:rPr>
            </w:pPr>
            <w:r w:rsidRPr="00690872">
              <w:rPr>
                <w:rFonts w:ascii="TimesNewRomanPSMT" w:hAnsi="TimesNewRomanPSMT" w:cs="TimesNewRomanPSMT"/>
                <w:sz w:val="20"/>
                <w:lang w:val="it-IT" w:eastAsia="de-DE"/>
              </w:rPr>
              <w:t>Sb: 2-Butanol; 2-butyl alcohol; sec-butyl alcohol; 2-hydroxybutane; ethyl methyl carbinol</w:t>
            </w:r>
          </w:p>
        </w:tc>
      </w:tr>
      <w:tr w:rsidR="001D41E2" w:rsidRPr="001130ED" w:rsidTr="00444395">
        <w:tc>
          <w:tcPr>
            <w:tcW w:w="1039" w:type="dxa"/>
            <w:vMerge/>
            <w:tcBorders>
              <w:right w:val="single" w:sz="4" w:space="0" w:color="auto"/>
            </w:tcBorders>
            <w:vAlign w:val="center"/>
          </w:tcPr>
          <w:p w:rsidR="001D41E2" w:rsidRPr="00690872" w:rsidRDefault="001D41E2" w:rsidP="00444395">
            <w:pPr>
              <w:pStyle w:val="BodyText2"/>
              <w:jc w:val="center"/>
              <w:rPr>
                <w:sz w:val="20"/>
                <w:lang w:val="it-IT"/>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444395" w:rsidRDefault="001D41E2" w:rsidP="00444395">
            <w:pPr>
              <w:pStyle w:val="BodyText2"/>
              <w:tabs>
                <w:tab w:val="left" w:pos="12"/>
              </w:tabs>
              <w:ind w:left="95" w:right="176" w:hanging="12"/>
              <w:rPr>
                <w:rFonts w:ascii="TimesNewRomanPSMT" w:hAnsi="TimesNewRomanPSMT" w:cs="TimesNewRomanPSMT"/>
                <w:sz w:val="20"/>
                <w:lang w:val="it-IT" w:eastAsia="de-DE"/>
              </w:rPr>
            </w:pPr>
            <w:r w:rsidRPr="00690872">
              <w:rPr>
                <w:rFonts w:ascii="TimesNewRomanPSMT" w:hAnsi="TimesNewRomanPSMT" w:cs="TimesNewRomanPSMT"/>
                <w:sz w:val="20"/>
                <w:lang w:val="it-IT" w:eastAsia="de-DE"/>
              </w:rPr>
              <w:t xml:space="preserve">ObCF: Carbonochloridic acid, oxydi-2,1-ethanediyl ester; formic acid, chloro-, oxydiethylene ester; oxydiethylene chloroformate; formic acid, chloro-, diester with diethylene glycol; </w:t>
            </w:r>
            <w:r w:rsidRPr="00444395">
              <w:rPr>
                <w:rFonts w:ascii="TimesNewRomanPSMT" w:hAnsi="TimesNewRomanPSMT" w:cs="TimesNewRomanPSMT"/>
                <w:sz w:val="20"/>
                <w:lang w:val="it-IT" w:eastAsia="de-DE"/>
              </w:rPr>
              <w:t>1,5-bis[</w:t>
            </w:r>
            <w:proofErr w:type="gramStart"/>
            <w:r w:rsidRPr="00444395">
              <w:rPr>
                <w:rFonts w:ascii="TimesNewRomanPSMT" w:hAnsi="TimesNewRomanPSMT" w:cs="TimesNewRomanPSMT"/>
                <w:sz w:val="20"/>
                <w:lang w:val="it-IT" w:eastAsia="de-DE"/>
              </w:rPr>
              <w:t>(</w:t>
            </w:r>
            <w:proofErr w:type="gramEnd"/>
            <w:r w:rsidRPr="00444395">
              <w:rPr>
                <w:rFonts w:ascii="TimesNewRomanPSMT" w:hAnsi="TimesNewRomanPSMT" w:cs="TimesNewRomanPSMT"/>
                <w:sz w:val="20"/>
                <w:lang w:val="it-IT" w:eastAsia="de-DE"/>
              </w:rPr>
              <w:t>chlorocarbonyl)oxy]-3-oxapentane</w:t>
            </w:r>
          </w:p>
        </w:tc>
        <w:tc>
          <w:tcPr>
            <w:tcW w:w="3651" w:type="dxa"/>
            <w:gridSpan w:val="2"/>
            <w:tcBorders>
              <w:top w:val="single" w:sz="4" w:space="0" w:color="auto"/>
              <w:left w:val="single" w:sz="4" w:space="0" w:color="auto"/>
              <w:bottom w:val="single" w:sz="4" w:space="0" w:color="auto"/>
            </w:tcBorders>
            <w:vAlign w:val="center"/>
          </w:tcPr>
          <w:p w:rsidR="001D41E2" w:rsidRPr="004B0EFA" w:rsidRDefault="001D41E2" w:rsidP="00444395">
            <w:pPr>
              <w:pStyle w:val="BodyText2"/>
              <w:tabs>
                <w:tab w:val="left" w:pos="12"/>
              </w:tabs>
              <w:ind w:left="12" w:right="141" w:hanging="12"/>
              <w:rPr>
                <w:rFonts w:ascii="TimesNewRomanPSMT" w:hAnsi="TimesNewRomanPSMT" w:cs="TimesNewRomanPSMT"/>
                <w:sz w:val="20"/>
                <w:lang w:val="it-IT" w:eastAsia="de-DE"/>
              </w:rPr>
            </w:pPr>
            <w:r w:rsidRPr="004B0EFA">
              <w:rPr>
                <w:rFonts w:ascii="TimesNewRomanPSMT" w:hAnsi="TimesNewRomanPSMT" w:cs="TimesNewRomanPSMT"/>
                <w:sz w:val="20"/>
                <w:lang w:val="it-IT" w:eastAsia="de-DE"/>
              </w:rPr>
              <w:t xml:space="preserve">DEG: Ethylene diglycol; diglycol; 2,2'-oxybisethanol; </w:t>
            </w:r>
            <w:proofErr w:type="gramStart"/>
            <w:r w:rsidRPr="004B0EFA">
              <w:rPr>
                <w:rFonts w:ascii="TimesNewRomanPSMT" w:hAnsi="TimesNewRomanPSMT" w:cs="TimesNewRomanPSMT"/>
                <w:sz w:val="20"/>
                <w:lang w:val="it-IT" w:eastAsia="de-DE"/>
              </w:rPr>
              <w:t>3-oxa-1,5-pentanediol</w:t>
            </w:r>
            <w:proofErr w:type="gramEnd"/>
            <w:r w:rsidRPr="004B0EFA">
              <w:rPr>
                <w:rFonts w:ascii="TimesNewRomanPSMT" w:hAnsi="TimesNewRomanPSMT" w:cs="TimesNewRomanPSMT"/>
                <w:sz w:val="20"/>
                <w:lang w:val="it-IT" w:eastAsia="de-DE"/>
              </w:rPr>
              <w:t>; dihydroxy diethyl ether</w:t>
            </w:r>
          </w:p>
        </w:tc>
      </w:tr>
      <w:tr w:rsidR="001D41E2" w:rsidRPr="001130ED" w:rsidTr="00444395">
        <w:tc>
          <w:tcPr>
            <w:tcW w:w="1039" w:type="dxa"/>
            <w:vMerge/>
            <w:tcBorders>
              <w:right w:val="single" w:sz="4" w:space="0" w:color="auto"/>
            </w:tcBorders>
            <w:vAlign w:val="center"/>
          </w:tcPr>
          <w:p w:rsidR="001D41E2" w:rsidRPr="004B0EFA" w:rsidRDefault="001D41E2" w:rsidP="00444395">
            <w:pPr>
              <w:pStyle w:val="BodyText2"/>
              <w:jc w:val="center"/>
              <w:rPr>
                <w:sz w:val="20"/>
                <w:lang w:val="it-IT"/>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1D41E2" w:rsidRPr="004B0EFA" w:rsidRDefault="001D41E2" w:rsidP="00444395">
            <w:pPr>
              <w:pStyle w:val="BodyText2"/>
              <w:tabs>
                <w:tab w:val="left" w:pos="12"/>
              </w:tabs>
              <w:ind w:left="95" w:right="176" w:hanging="12"/>
              <w:rPr>
                <w:rFonts w:ascii="TimesNewRomanPSMT" w:hAnsi="TimesNewRomanPSMT" w:cs="TimesNewRomanPSMT"/>
                <w:sz w:val="20"/>
                <w:lang w:val="it-IT" w:eastAsia="de-DE"/>
              </w:rPr>
            </w:pPr>
            <w:proofErr w:type="gramStart"/>
            <w:r w:rsidRPr="004B0EFA">
              <w:rPr>
                <w:rFonts w:ascii="TimesNewRomanPSMT" w:hAnsi="TimesNewRomanPSMT" w:cs="TimesNewRomanPSMT"/>
                <w:sz w:val="20"/>
                <w:lang w:val="it-IT" w:eastAsia="de-DE"/>
              </w:rPr>
              <w:t xml:space="preserve">EhCF: Chloroformic acid, 2-ethylhexyl ester; formic acid, chloro-, 2-ethylhexyl ester; 2-ethylhexyl chlorocarbonate; carbonochloridic acid, </w:t>
            </w:r>
            <w:proofErr w:type="gramEnd"/>
            <w:r w:rsidRPr="004B0EFA">
              <w:rPr>
                <w:rFonts w:ascii="TimesNewRomanPSMT" w:hAnsi="TimesNewRomanPSMT" w:cs="TimesNewRomanPSMT"/>
                <w:sz w:val="20"/>
                <w:lang w:val="it-IT" w:eastAsia="de-DE"/>
              </w:rPr>
              <w:t>2-ethylhexyl ester</w:t>
            </w:r>
          </w:p>
        </w:tc>
        <w:tc>
          <w:tcPr>
            <w:tcW w:w="3651" w:type="dxa"/>
            <w:gridSpan w:val="2"/>
            <w:tcBorders>
              <w:top w:val="single" w:sz="4" w:space="0" w:color="auto"/>
              <w:left w:val="single" w:sz="4" w:space="0" w:color="auto"/>
              <w:bottom w:val="single" w:sz="4" w:space="0" w:color="auto"/>
            </w:tcBorders>
            <w:vAlign w:val="center"/>
          </w:tcPr>
          <w:p w:rsidR="001D41E2" w:rsidRPr="004B0EFA" w:rsidRDefault="001D41E2" w:rsidP="00444395">
            <w:pPr>
              <w:pStyle w:val="BodyText2"/>
              <w:tabs>
                <w:tab w:val="left" w:pos="12"/>
              </w:tabs>
              <w:ind w:left="12" w:right="141" w:hanging="12"/>
              <w:rPr>
                <w:rFonts w:ascii="TimesNewRomanPSMT" w:hAnsi="TimesNewRomanPSMT" w:cs="TimesNewRomanPSMT"/>
                <w:sz w:val="20"/>
                <w:lang w:val="it-IT" w:eastAsia="de-DE"/>
              </w:rPr>
            </w:pPr>
            <w:r w:rsidRPr="004B0EFA">
              <w:rPr>
                <w:rFonts w:ascii="TimesNewRomanPSMT" w:hAnsi="TimesNewRomanPSMT" w:cs="TimesNewRomanPSMT"/>
                <w:sz w:val="20"/>
                <w:lang w:val="it-IT" w:eastAsia="de-DE"/>
              </w:rPr>
              <w:t xml:space="preserve">Eh: 1-Hexanol, </w:t>
            </w:r>
            <w:proofErr w:type="gramStart"/>
            <w:r w:rsidRPr="004B0EFA">
              <w:rPr>
                <w:rFonts w:ascii="TimesNewRomanPSMT" w:hAnsi="TimesNewRomanPSMT" w:cs="TimesNewRomanPSMT"/>
                <w:sz w:val="20"/>
                <w:lang w:val="it-IT" w:eastAsia="de-DE"/>
              </w:rPr>
              <w:t>2-ethyl-</w:t>
            </w:r>
            <w:proofErr w:type="gramEnd"/>
            <w:r w:rsidRPr="004B0EFA">
              <w:rPr>
                <w:rFonts w:ascii="TimesNewRomanPSMT" w:hAnsi="TimesNewRomanPSMT" w:cs="TimesNewRomanPSMT"/>
                <w:sz w:val="20"/>
                <w:lang w:val="it-IT" w:eastAsia="de-DE"/>
              </w:rPr>
              <w:t>; 2-ethylhexanol; 2-ethylhexyl alcohol (2-EH);</w:t>
            </w:r>
          </w:p>
        </w:tc>
      </w:tr>
      <w:tr w:rsidR="001D41E2" w:rsidRPr="004B7EF4" w:rsidTr="00444395">
        <w:tc>
          <w:tcPr>
            <w:tcW w:w="1039" w:type="dxa"/>
            <w:vMerge/>
            <w:tcBorders>
              <w:right w:val="single" w:sz="4" w:space="0" w:color="auto"/>
            </w:tcBorders>
            <w:vAlign w:val="center"/>
          </w:tcPr>
          <w:p w:rsidR="001D41E2" w:rsidRPr="004B0EFA" w:rsidRDefault="001D41E2" w:rsidP="00444395">
            <w:pPr>
              <w:pStyle w:val="BodyText2"/>
              <w:jc w:val="center"/>
              <w:rPr>
                <w:sz w:val="20"/>
                <w:lang w:val="it-IT"/>
              </w:rPr>
            </w:pPr>
          </w:p>
        </w:tc>
        <w:tc>
          <w:tcPr>
            <w:tcW w:w="5165" w:type="dxa"/>
            <w:gridSpan w:val="4"/>
            <w:tcBorders>
              <w:top w:val="single" w:sz="4" w:space="0" w:color="auto"/>
              <w:left w:val="single" w:sz="4" w:space="0" w:color="auto"/>
              <w:right w:val="single" w:sz="4" w:space="0" w:color="auto"/>
            </w:tcBorders>
            <w:vAlign w:val="center"/>
          </w:tcPr>
          <w:p w:rsidR="001D41E2" w:rsidRPr="004B0EFA" w:rsidRDefault="001D41E2" w:rsidP="00444395">
            <w:pPr>
              <w:pStyle w:val="BodyText2"/>
              <w:tabs>
                <w:tab w:val="left" w:pos="1332"/>
              </w:tabs>
              <w:ind w:left="95" w:hanging="1339"/>
              <w:jc w:val="left"/>
              <w:rPr>
                <w:sz w:val="20"/>
                <w:lang w:val="it-IT"/>
              </w:rPr>
            </w:pPr>
          </w:p>
        </w:tc>
        <w:tc>
          <w:tcPr>
            <w:tcW w:w="3651" w:type="dxa"/>
            <w:gridSpan w:val="2"/>
            <w:tcBorders>
              <w:top w:val="single" w:sz="4" w:space="0" w:color="auto"/>
              <w:left w:val="single" w:sz="4" w:space="0" w:color="auto"/>
            </w:tcBorders>
            <w:vAlign w:val="center"/>
          </w:tcPr>
          <w:p w:rsidR="001D41E2" w:rsidRPr="00690872" w:rsidRDefault="001D41E2" w:rsidP="00444395">
            <w:pPr>
              <w:pStyle w:val="BodyText2"/>
              <w:tabs>
                <w:tab w:val="left" w:pos="12"/>
              </w:tabs>
              <w:ind w:left="12" w:right="141" w:hanging="12"/>
              <w:rPr>
                <w:sz w:val="20"/>
                <w:lang w:val="en-US"/>
              </w:rPr>
            </w:pPr>
            <w:r w:rsidRPr="00690872">
              <w:rPr>
                <w:sz w:val="20"/>
                <w:lang w:val="en-US"/>
              </w:rPr>
              <w:t xml:space="preserve">HCl: Chlorohydric acid; hydrochloride; hydrochloric acid, </w:t>
            </w:r>
            <w:r w:rsidRPr="00690872">
              <w:rPr>
                <w:rFonts w:ascii="TimesNewRomanPSMT" w:hAnsi="TimesNewRomanPSMT" w:cs="TimesNewRomanPSMT"/>
                <w:sz w:val="20"/>
                <w:lang w:val="en-US" w:eastAsia="de-DE"/>
              </w:rPr>
              <w:t>hydrochloric</w:t>
            </w:r>
            <w:r w:rsidRPr="00690872">
              <w:rPr>
                <w:sz w:val="20"/>
                <w:lang w:val="en-US"/>
              </w:rPr>
              <w:t xml:space="preserve"> acid gas</w:t>
            </w:r>
          </w:p>
        </w:tc>
      </w:tr>
    </w:tbl>
    <w:p w:rsidR="001D41E2" w:rsidRPr="004B7EF4" w:rsidRDefault="001D41E2" w:rsidP="00444395">
      <w:pPr>
        <w:pStyle w:val="Heading2"/>
        <w:numPr>
          <w:ilvl w:val="0"/>
          <w:numId w:val="0"/>
        </w:numPr>
        <w:tabs>
          <w:tab w:val="clear" w:pos="1440"/>
        </w:tabs>
        <w:rPr>
          <w:lang w:val="en-US"/>
        </w:rPr>
      </w:pPr>
      <w:r>
        <w:rPr>
          <w:lang w:val="en-US"/>
        </w:rPr>
        <w:t xml:space="preserve">1.2 </w:t>
      </w:r>
      <w:bookmarkStart w:id="7" w:name="_Toc264983247"/>
      <w:r>
        <w:rPr>
          <w:lang w:val="en-US"/>
        </w:rPr>
        <w:tab/>
      </w:r>
      <w:r w:rsidRPr="004B7EF4">
        <w:rPr>
          <w:lang w:val="en-US"/>
        </w:rPr>
        <w:t>Purity/Impurities/Additives</w:t>
      </w:r>
      <w:bookmarkEnd w:id="7"/>
      <w:r>
        <w:rPr>
          <w:lang w:val="en-US"/>
        </w:rPr>
        <w:t xml:space="preserve">  </w:t>
      </w:r>
    </w:p>
    <w:p w:rsidR="001D41E2" w:rsidRPr="004B7EF4" w:rsidRDefault="001D41E2" w:rsidP="001D379D">
      <w:pPr>
        <w:pStyle w:val="BodyText"/>
        <w:rPr>
          <w:lang w:val="en-US"/>
        </w:rPr>
      </w:pPr>
      <w:r w:rsidRPr="004B7EF4">
        <w:rPr>
          <w:lang w:val="en-US"/>
        </w:rPr>
        <w:t xml:space="preserve">Typical purities and impurities of the Chloroformates category members have been identified and are provided in Table </w:t>
      </w:r>
      <w:r>
        <w:rPr>
          <w:lang w:val="en-US"/>
        </w:rPr>
        <w:t>2</w:t>
      </w:r>
      <w:r w:rsidRPr="004B7EF4">
        <w:rPr>
          <w:lang w:val="en-US"/>
        </w:rPr>
        <w:t xml:space="preserve"> (BASF SE, 2009a).</w:t>
      </w:r>
    </w:p>
    <w:p w:rsidR="001D41E2" w:rsidRPr="004B7EF4" w:rsidRDefault="001D41E2" w:rsidP="00444395">
      <w:pPr>
        <w:pStyle w:val="Caption"/>
        <w:ind w:left="0"/>
        <w:rPr>
          <w:b w:val="0"/>
          <w:bCs w:val="0"/>
        </w:rPr>
      </w:pPr>
      <w:bookmarkStart w:id="8" w:name="_Toc262044518"/>
      <w:bookmarkStart w:id="9" w:name="_Toc264983280"/>
      <w:r w:rsidRPr="004B7EF4">
        <w:t xml:space="preserve">Table </w:t>
      </w:r>
      <w:fldSimple w:instr=" SEQ Table \* ARABIC ">
        <w:r w:rsidR="00AB3C07">
          <w:rPr>
            <w:noProof/>
          </w:rPr>
          <w:t>2</w:t>
        </w:r>
      </w:fldSimple>
      <w:r w:rsidRPr="004B7EF4">
        <w:rPr>
          <w:b w:val="0"/>
          <w:bCs w:val="0"/>
        </w:rPr>
        <w:t xml:space="preserve">     Purity and impurities as typical for the marketed substances</w:t>
      </w:r>
      <w:bookmarkEnd w:id="8"/>
      <w:bookmarkEnd w:id="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69"/>
        <w:gridCol w:w="1122"/>
        <w:gridCol w:w="1746"/>
        <w:gridCol w:w="1746"/>
        <w:gridCol w:w="3372"/>
      </w:tblGrid>
      <w:tr w:rsidR="001D41E2" w:rsidRPr="004B7EF4" w:rsidTr="004B0EFA">
        <w:trPr>
          <w:tblHeader/>
        </w:trPr>
        <w:tc>
          <w:tcPr>
            <w:tcW w:w="1800" w:type="dxa"/>
            <w:vMerge w:val="restart"/>
            <w:tcBorders>
              <w:top w:val="single" w:sz="12" w:space="0" w:color="auto"/>
              <w:bottom w:val="single" w:sz="6" w:space="0" w:color="auto"/>
            </w:tcBorders>
            <w:vAlign w:val="center"/>
          </w:tcPr>
          <w:p w:rsidR="001D41E2" w:rsidRPr="004B7EF4" w:rsidRDefault="001D41E2" w:rsidP="00773BAB">
            <w:pPr>
              <w:pStyle w:val="Tabletext"/>
              <w:spacing w:before="60" w:after="60"/>
              <w:jc w:val="center"/>
              <w:rPr>
                <w:b/>
                <w:bCs/>
              </w:rPr>
            </w:pPr>
            <w:r w:rsidRPr="004B7EF4">
              <w:rPr>
                <w:b/>
                <w:bCs/>
              </w:rPr>
              <w:t>Category member</w:t>
            </w:r>
          </w:p>
        </w:tc>
        <w:tc>
          <w:tcPr>
            <w:tcW w:w="1080" w:type="dxa"/>
            <w:vMerge w:val="restart"/>
            <w:tcBorders>
              <w:top w:val="single" w:sz="12" w:space="0" w:color="auto"/>
              <w:bottom w:val="single" w:sz="6" w:space="0" w:color="auto"/>
            </w:tcBorders>
            <w:vAlign w:val="center"/>
          </w:tcPr>
          <w:p w:rsidR="001D41E2" w:rsidRPr="004B7EF4" w:rsidRDefault="001D41E2" w:rsidP="00773BAB">
            <w:pPr>
              <w:pStyle w:val="Tabletext"/>
              <w:spacing w:before="60" w:after="60"/>
              <w:jc w:val="center"/>
              <w:rPr>
                <w:b/>
                <w:bCs/>
              </w:rPr>
            </w:pPr>
            <w:r w:rsidRPr="004B7EF4">
              <w:rPr>
                <w:b/>
                <w:bCs/>
              </w:rPr>
              <w:t>Purity</w:t>
            </w:r>
          </w:p>
        </w:tc>
        <w:tc>
          <w:tcPr>
            <w:tcW w:w="6605" w:type="dxa"/>
            <w:gridSpan w:val="3"/>
            <w:tcBorders>
              <w:top w:val="single" w:sz="12" w:space="0" w:color="auto"/>
              <w:bottom w:val="single" w:sz="6" w:space="0" w:color="auto"/>
            </w:tcBorders>
            <w:vAlign w:val="center"/>
          </w:tcPr>
          <w:p w:rsidR="001D41E2" w:rsidRPr="004B7EF4" w:rsidRDefault="001D41E2" w:rsidP="00773BAB">
            <w:pPr>
              <w:pStyle w:val="Tabletext"/>
              <w:spacing w:before="60" w:after="60"/>
              <w:jc w:val="center"/>
              <w:rPr>
                <w:b/>
                <w:bCs/>
              </w:rPr>
            </w:pPr>
            <w:r w:rsidRPr="004B7EF4">
              <w:rPr>
                <w:b/>
                <w:bCs/>
              </w:rPr>
              <w:t>Impurities</w:t>
            </w:r>
          </w:p>
        </w:tc>
      </w:tr>
      <w:tr w:rsidR="001D41E2" w:rsidRPr="004B7EF4" w:rsidTr="004B0EFA">
        <w:trPr>
          <w:tblHeader/>
        </w:trPr>
        <w:tc>
          <w:tcPr>
            <w:tcW w:w="1800" w:type="dxa"/>
            <w:vMerge/>
            <w:tcBorders>
              <w:top w:val="single" w:sz="6" w:space="0" w:color="auto"/>
              <w:bottom w:val="single" w:sz="12" w:space="0" w:color="auto"/>
            </w:tcBorders>
          </w:tcPr>
          <w:p w:rsidR="001D41E2" w:rsidRPr="004B7EF4" w:rsidRDefault="001D41E2" w:rsidP="00773BAB">
            <w:pPr>
              <w:pStyle w:val="Tabletext"/>
              <w:spacing w:before="60" w:after="60"/>
              <w:jc w:val="center"/>
              <w:rPr>
                <w:b/>
                <w:bCs/>
              </w:rPr>
            </w:pPr>
          </w:p>
        </w:tc>
        <w:tc>
          <w:tcPr>
            <w:tcW w:w="1080" w:type="dxa"/>
            <w:vMerge/>
            <w:tcBorders>
              <w:top w:val="single" w:sz="6" w:space="0" w:color="auto"/>
              <w:bottom w:val="single" w:sz="12" w:space="0" w:color="auto"/>
            </w:tcBorders>
          </w:tcPr>
          <w:p w:rsidR="001D41E2" w:rsidRPr="004B7EF4" w:rsidRDefault="001D41E2" w:rsidP="00773BAB">
            <w:pPr>
              <w:pStyle w:val="Tabletext"/>
              <w:spacing w:before="60" w:after="60"/>
              <w:jc w:val="center"/>
              <w:rPr>
                <w:b/>
                <w:bCs/>
              </w:rPr>
            </w:pPr>
          </w:p>
        </w:tc>
        <w:tc>
          <w:tcPr>
            <w:tcW w:w="1680" w:type="dxa"/>
            <w:tcBorders>
              <w:top w:val="single" w:sz="6" w:space="0" w:color="auto"/>
              <w:bottom w:val="single" w:sz="12" w:space="0" w:color="auto"/>
            </w:tcBorders>
            <w:vAlign w:val="center"/>
          </w:tcPr>
          <w:p w:rsidR="001D41E2" w:rsidRPr="004B7EF4" w:rsidRDefault="001D41E2" w:rsidP="00773BAB">
            <w:pPr>
              <w:pStyle w:val="Tabletext"/>
              <w:spacing w:before="60" w:after="60"/>
              <w:jc w:val="center"/>
            </w:pPr>
            <w:r w:rsidRPr="004B7EF4">
              <w:t>Phosgene</w:t>
            </w:r>
          </w:p>
        </w:tc>
        <w:tc>
          <w:tcPr>
            <w:tcW w:w="1680" w:type="dxa"/>
            <w:tcBorders>
              <w:top w:val="single" w:sz="6" w:space="0" w:color="auto"/>
              <w:bottom w:val="single" w:sz="12" w:space="0" w:color="auto"/>
            </w:tcBorders>
            <w:vAlign w:val="center"/>
          </w:tcPr>
          <w:p w:rsidR="001D41E2" w:rsidRPr="004B7EF4" w:rsidRDefault="001D41E2" w:rsidP="00773BAB">
            <w:pPr>
              <w:pStyle w:val="Tabletext"/>
              <w:spacing w:before="60" w:after="60"/>
              <w:jc w:val="center"/>
            </w:pPr>
            <w:r w:rsidRPr="004B7EF4">
              <w:t xml:space="preserve">Hydrogen chloride (HCl) </w:t>
            </w:r>
          </w:p>
        </w:tc>
        <w:tc>
          <w:tcPr>
            <w:tcW w:w="3245" w:type="dxa"/>
            <w:tcBorders>
              <w:top w:val="single" w:sz="6" w:space="0" w:color="auto"/>
              <w:bottom w:val="single" w:sz="12" w:space="0" w:color="auto"/>
            </w:tcBorders>
            <w:vAlign w:val="center"/>
          </w:tcPr>
          <w:p w:rsidR="001D41E2" w:rsidRPr="004B7EF4" w:rsidRDefault="001D41E2" w:rsidP="00773BAB">
            <w:pPr>
              <w:pStyle w:val="Tabletext"/>
              <w:spacing w:before="60" w:after="60"/>
              <w:jc w:val="center"/>
            </w:pPr>
            <w:r w:rsidRPr="004B7EF4">
              <w:t>Other</w:t>
            </w:r>
          </w:p>
        </w:tc>
      </w:tr>
      <w:tr w:rsidR="001D41E2" w:rsidRPr="004B7EF4" w:rsidTr="004B0EFA">
        <w:trPr>
          <w:trHeight w:val="846"/>
        </w:trPr>
        <w:tc>
          <w:tcPr>
            <w:tcW w:w="1800" w:type="dxa"/>
            <w:tcBorders>
              <w:top w:val="single" w:sz="12" w:space="0" w:color="auto"/>
            </w:tcBorders>
            <w:vAlign w:val="center"/>
          </w:tcPr>
          <w:p w:rsidR="001D41E2" w:rsidRPr="004B7EF4" w:rsidRDefault="001D41E2" w:rsidP="00094EE5">
            <w:pPr>
              <w:pStyle w:val="BodyText2"/>
              <w:tabs>
                <w:tab w:val="left" w:pos="1332"/>
              </w:tabs>
              <w:spacing w:before="60" w:after="60"/>
              <w:ind w:left="1339" w:hanging="1339"/>
              <w:jc w:val="left"/>
              <w:rPr>
                <w:sz w:val="20"/>
                <w:lang w:val="en-US"/>
              </w:rPr>
            </w:pPr>
            <w:r w:rsidRPr="004B7EF4">
              <w:rPr>
                <w:sz w:val="20"/>
                <w:lang w:val="en-US"/>
              </w:rPr>
              <w:t>MeCF</w:t>
            </w:r>
          </w:p>
        </w:tc>
        <w:tc>
          <w:tcPr>
            <w:tcW w:w="1080" w:type="dxa"/>
            <w:tcBorders>
              <w:top w:val="single" w:sz="12" w:space="0" w:color="auto"/>
            </w:tcBorders>
            <w:vAlign w:val="center"/>
          </w:tcPr>
          <w:p w:rsidR="001D41E2" w:rsidRPr="004B7EF4" w:rsidRDefault="001D41E2" w:rsidP="00773BAB">
            <w:pPr>
              <w:pStyle w:val="BodyText2"/>
              <w:tabs>
                <w:tab w:val="left" w:pos="612"/>
              </w:tabs>
              <w:spacing w:before="60" w:after="60"/>
              <w:ind w:left="1339" w:hanging="1339"/>
              <w:jc w:val="center"/>
              <w:rPr>
                <w:snapToGrid w:val="0"/>
                <w:sz w:val="20"/>
                <w:lang w:val="en-US" w:eastAsia="da-DK"/>
              </w:rPr>
            </w:pPr>
            <w:r w:rsidRPr="004B7EF4">
              <w:rPr>
                <w:snapToGrid w:val="0"/>
                <w:sz w:val="20"/>
                <w:lang w:val="en-US" w:eastAsia="da-DK"/>
              </w:rPr>
              <w:t>&gt; 99 %</w:t>
            </w:r>
          </w:p>
        </w:tc>
        <w:tc>
          <w:tcPr>
            <w:tcW w:w="1680" w:type="dxa"/>
            <w:tcBorders>
              <w:top w:val="single" w:sz="12" w:space="0" w:color="auto"/>
            </w:tcBorders>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0.20 %</w:t>
            </w:r>
          </w:p>
        </w:tc>
        <w:tc>
          <w:tcPr>
            <w:tcW w:w="1680" w:type="dxa"/>
            <w:tcBorders>
              <w:top w:val="single" w:sz="12" w:space="0" w:color="auto"/>
            </w:tcBorders>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0.10 %</w:t>
            </w:r>
          </w:p>
        </w:tc>
        <w:tc>
          <w:tcPr>
            <w:tcW w:w="3245" w:type="dxa"/>
            <w:tcBorders>
              <w:top w:val="single" w:sz="12" w:space="0" w:color="auto"/>
            </w:tcBorders>
            <w:vAlign w:val="center"/>
          </w:tcPr>
          <w:p w:rsidR="001D41E2" w:rsidRPr="004B7EF4" w:rsidRDefault="001D41E2" w:rsidP="00773BAB">
            <w:pPr>
              <w:jc w:val="center"/>
              <w:rPr>
                <w:rFonts w:eastAsia="MS ??"/>
                <w:sz w:val="20"/>
                <w:szCs w:val="20"/>
              </w:rPr>
            </w:pPr>
            <w:r w:rsidRPr="004B7EF4">
              <w:rPr>
                <w:rFonts w:eastAsia="MS ??"/>
                <w:sz w:val="20"/>
                <w:szCs w:val="20"/>
              </w:rPr>
              <w:t>Methanol, ≤ 0.2 %</w:t>
            </w:r>
          </w:p>
          <w:p w:rsidR="001D41E2" w:rsidRPr="004B7EF4" w:rsidRDefault="001D41E2" w:rsidP="00773BAB">
            <w:pPr>
              <w:jc w:val="center"/>
              <w:rPr>
                <w:rFonts w:eastAsia="MS ??"/>
                <w:sz w:val="20"/>
                <w:szCs w:val="20"/>
              </w:rPr>
            </w:pPr>
            <w:r w:rsidRPr="004B7EF4">
              <w:rPr>
                <w:rFonts w:eastAsia="MS ??"/>
                <w:sz w:val="20"/>
                <w:szCs w:val="20"/>
              </w:rPr>
              <w:t>Dimethyl carbonate, ≤ 0.3 %</w:t>
            </w:r>
          </w:p>
          <w:p w:rsidR="001D41E2" w:rsidRPr="004B7EF4" w:rsidRDefault="001D41E2" w:rsidP="00773BAB">
            <w:pPr>
              <w:jc w:val="center"/>
              <w:rPr>
                <w:rFonts w:eastAsia="MS ??"/>
                <w:sz w:val="20"/>
                <w:szCs w:val="20"/>
              </w:rPr>
            </w:pPr>
            <w:r w:rsidRPr="004B7EF4">
              <w:rPr>
                <w:rFonts w:eastAsia="MS ??"/>
                <w:sz w:val="20"/>
                <w:szCs w:val="20"/>
              </w:rPr>
              <w:t>Chloromethane, ≤ 0.1 %</w:t>
            </w:r>
          </w:p>
        </w:tc>
      </w:tr>
      <w:tr w:rsidR="001D41E2" w:rsidRPr="004B7EF4" w:rsidTr="004B0EFA">
        <w:trPr>
          <w:trHeight w:val="678"/>
        </w:trPr>
        <w:tc>
          <w:tcPr>
            <w:tcW w:w="1800" w:type="dxa"/>
            <w:vAlign w:val="center"/>
          </w:tcPr>
          <w:p w:rsidR="001D41E2" w:rsidRPr="004B7EF4" w:rsidRDefault="001D41E2" w:rsidP="00094EE5">
            <w:pPr>
              <w:pStyle w:val="BodyText2"/>
              <w:tabs>
                <w:tab w:val="left" w:pos="1332"/>
              </w:tabs>
              <w:spacing w:before="60" w:after="60"/>
              <w:ind w:left="1339" w:hanging="1339"/>
              <w:jc w:val="left"/>
              <w:rPr>
                <w:sz w:val="20"/>
                <w:lang w:val="en-US"/>
              </w:rPr>
            </w:pPr>
            <w:r w:rsidRPr="004B7EF4">
              <w:rPr>
                <w:sz w:val="20"/>
                <w:lang w:val="en-US"/>
              </w:rPr>
              <w:t>EtCF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&gt; 99 %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0.10 %</w:t>
            </w:r>
          </w:p>
        </w:tc>
        <w:tc>
          <w:tcPr>
            <w:tcW w:w="1680" w:type="dxa"/>
            <w:vAlign w:val="center"/>
          </w:tcPr>
          <w:p w:rsidR="001D41E2" w:rsidRPr="004B7EF4" w:rsidRDefault="001D41E2" w:rsidP="00773BAB">
            <w:pPr>
              <w:pStyle w:val="Tabletext"/>
              <w:keepNext w:val="0"/>
              <w:keepLines w:val="0"/>
              <w:tabs>
                <w:tab w:val="left" w:pos="612"/>
              </w:tabs>
              <w:suppressAutoHyphens/>
              <w:spacing w:before="60" w:after="60"/>
              <w:ind w:left="1338" w:hanging="1338"/>
              <w:jc w:val="center"/>
            </w:pPr>
            <w:r w:rsidRPr="004B7EF4">
              <w:t>≤ 0.10 %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Diethyl carbonate, ≤ 0.5 %</w:t>
            </w:r>
          </w:p>
          <w:p w:rsidR="001D41E2" w:rsidRPr="004B7EF4" w:rsidRDefault="001D41E2" w:rsidP="00773BAB">
            <w:pPr>
              <w:jc w:val="center"/>
              <w:rPr>
                <w:rFonts w:eastAsia="MS ??"/>
                <w:sz w:val="20"/>
                <w:szCs w:val="20"/>
              </w:rPr>
            </w:pPr>
            <w:r w:rsidRPr="004B7EF4">
              <w:rPr>
                <w:rFonts w:eastAsia="MS ??"/>
                <w:sz w:val="20"/>
                <w:szCs w:val="20"/>
              </w:rPr>
              <w:t>Chloroethane, &lt; 0.1 %</w:t>
            </w:r>
          </w:p>
        </w:tc>
      </w:tr>
      <w:tr w:rsidR="001D41E2" w:rsidRPr="004B7EF4" w:rsidTr="004B0EFA">
        <w:trPr>
          <w:trHeight w:val="379"/>
        </w:trPr>
        <w:tc>
          <w:tcPr>
            <w:tcW w:w="1800" w:type="dxa"/>
            <w:vAlign w:val="center"/>
          </w:tcPr>
          <w:p w:rsidR="001D41E2" w:rsidRPr="004B7EF4" w:rsidRDefault="001D41E2" w:rsidP="00094EE5">
            <w:pPr>
              <w:pStyle w:val="BodyText2"/>
              <w:tabs>
                <w:tab w:val="left" w:pos="1332"/>
              </w:tabs>
              <w:spacing w:before="60" w:after="60"/>
              <w:ind w:left="1339" w:hanging="1339"/>
              <w:jc w:val="left"/>
              <w:rPr>
                <w:sz w:val="20"/>
                <w:lang w:val="en-US"/>
              </w:rPr>
            </w:pPr>
            <w:r w:rsidRPr="004B7EF4">
              <w:rPr>
                <w:sz w:val="20"/>
                <w:lang w:val="en-US"/>
              </w:rPr>
              <w:t>PrCF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&gt; 99 %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0.10 %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0.10 %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Dipropyl carbonate, ≤ 0.3 %</w:t>
            </w:r>
          </w:p>
        </w:tc>
      </w:tr>
      <w:tr w:rsidR="001D41E2" w:rsidRPr="004B7EF4" w:rsidTr="004B0EFA">
        <w:trPr>
          <w:trHeight w:val="1112"/>
        </w:trPr>
        <w:tc>
          <w:tcPr>
            <w:tcW w:w="1800" w:type="dxa"/>
            <w:vAlign w:val="center"/>
          </w:tcPr>
          <w:p w:rsidR="001D41E2" w:rsidRPr="004B7EF4" w:rsidRDefault="001D41E2" w:rsidP="00094EE5">
            <w:pPr>
              <w:pStyle w:val="BodyText2"/>
              <w:tabs>
                <w:tab w:val="left" w:pos="1332"/>
              </w:tabs>
              <w:spacing w:before="60" w:after="60"/>
              <w:ind w:left="1339" w:hanging="1339"/>
              <w:jc w:val="left"/>
              <w:rPr>
                <w:sz w:val="20"/>
                <w:lang w:val="en-US"/>
              </w:rPr>
            </w:pPr>
            <w:r w:rsidRPr="004B7EF4">
              <w:rPr>
                <w:sz w:val="20"/>
                <w:lang w:val="en-US"/>
              </w:rPr>
              <w:t>IpCF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&gt; 99 %</w:t>
            </w:r>
          </w:p>
        </w:tc>
        <w:tc>
          <w:tcPr>
            <w:tcW w:w="1680" w:type="dxa"/>
            <w:vAlign w:val="center"/>
          </w:tcPr>
          <w:p w:rsidR="001D41E2" w:rsidRPr="004B7EF4" w:rsidRDefault="001D41E2" w:rsidP="00773BAB">
            <w:pPr>
              <w:pStyle w:val="BodyText2"/>
              <w:tabs>
                <w:tab w:val="left" w:pos="612"/>
              </w:tabs>
              <w:spacing w:before="60" w:after="60"/>
              <w:ind w:left="12" w:hanging="12"/>
              <w:jc w:val="center"/>
              <w:rPr>
                <w:snapToGrid w:val="0"/>
                <w:sz w:val="20"/>
                <w:lang w:val="en-US" w:eastAsia="da-DK"/>
              </w:rPr>
            </w:pPr>
            <w:r w:rsidRPr="004B7EF4">
              <w:rPr>
                <w:snapToGrid w:val="0"/>
                <w:sz w:val="20"/>
                <w:lang w:val="en-US" w:eastAsia="da-DK"/>
              </w:rPr>
              <w:t>≤ 0.05 %</w:t>
            </w:r>
          </w:p>
        </w:tc>
        <w:tc>
          <w:tcPr>
            <w:tcW w:w="1680" w:type="dxa"/>
            <w:vAlign w:val="center"/>
          </w:tcPr>
          <w:p w:rsidR="001D41E2" w:rsidRPr="004B7EF4" w:rsidRDefault="001D41E2" w:rsidP="00773BAB">
            <w:pPr>
              <w:pStyle w:val="Tabletext"/>
              <w:keepNext w:val="0"/>
              <w:keepLines w:val="0"/>
              <w:tabs>
                <w:tab w:val="left" w:pos="612"/>
              </w:tabs>
              <w:suppressAutoHyphens/>
              <w:spacing w:before="60" w:after="60"/>
              <w:ind w:left="1338" w:hanging="1338"/>
              <w:jc w:val="center"/>
            </w:pPr>
            <w:r w:rsidRPr="004B7EF4">
              <w:t>≤ 0.10 %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2-Chloropropane, ≤ 0.5 %</w:t>
            </w:r>
          </w:p>
          <w:p w:rsidR="001D41E2" w:rsidRPr="004B7EF4" w:rsidRDefault="001D41E2" w:rsidP="00773BAB">
            <w:pPr>
              <w:jc w:val="center"/>
              <w:rPr>
                <w:rFonts w:eastAsia="MS ??"/>
                <w:sz w:val="20"/>
                <w:szCs w:val="20"/>
              </w:rPr>
            </w:pPr>
            <w:r w:rsidRPr="004B7EF4">
              <w:rPr>
                <w:rFonts w:eastAsia="MS ??"/>
                <w:sz w:val="20"/>
                <w:szCs w:val="20"/>
              </w:rPr>
              <w:t>Propan-2-ol, ≤ 0.25 %</w:t>
            </w:r>
          </w:p>
          <w:p w:rsidR="001D41E2" w:rsidRPr="004B7EF4" w:rsidRDefault="001D41E2" w:rsidP="00773BAB">
            <w:pPr>
              <w:jc w:val="center"/>
              <w:rPr>
                <w:rFonts w:eastAsia="MS ??"/>
                <w:sz w:val="20"/>
                <w:szCs w:val="20"/>
              </w:rPr>
            </w:pPr>
            <w:r w:rsidRPr="004B7EF4">
              <w:rPr>
                <w:rFonts w:eastAsia="MS ??"/>
                <w:sz w:val="20"/>
                <w:szCs w:val="20"/>
              </w:rPr>
              <w:t>Carbonic acid, bis(1-methylethyl)ester, ≤ 0.4 %</w:t>
            </w:r>
          </w:p>
        </w:tc>
      </w:tr>
      <w:tr w:rsidR="001D41E2" w:rsidRPr="004B7EF4" w:rsidTr="004B0EFA">
        <w:trPr>
          <w:trHeight w:val="818"/>
        </w:trPr>
        <w:tc>
          <w:tcPr>
            <w:tcW w:w="1800" w:type="dxa"/>
            <w:vAlign w:val="center"/>
          </w:tcPr>
          <w:p w:rsidR="001D41E2" w:rsidRPr="004B7EF4" w:rsidRDefault="001D41E2" w:rsidP="00094EE5">
            <w:pPr>
              <w:pStyle w:val="BodyText2"/>
              <w:tabs>
                <w:tab w:val="left" w:pos="1332"/>
              </w:tabs>
              <w:spacing w:before="60" w:after="60"/>
              <w:ind w:left="1339" w:hanging="1339"/>
              <w:rPr>
                <w:sz w:val="20"/>
                <w:lang w:val="en-US"/>
              </w:rPr>
            </w:pPr>
            <w:r w:rsidRPr="004B7EF4">
              <w:rPr>
                <w:sz w:val="20"/>
                <w:lang w:val="en-US"/>
              </w:rPr>
              <w:t>SbCF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 98 %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0.10 %</w:t>
            </w:r>
          </w:p>
        </w:tc>
        <w:tc>
          <w:tcPr>
            <w:tcW w:w="1680" w:type="dxa"/>
            <w:vAlign w:val="center"/>
          </w:tcPr>
          <w:p w:rsidR="001D41E2" w:rsidRPr="004B7EF4" w:rsidRDefault="001D41E2" w:rsidP="00773BAB">
            <w:pPr>
              <w:pStyle w:val="Tabletext"/>
              <w:keepNext w:val="0"/>
              <w:keepLines w:val="0"/>
              <w:tabs>
                <w:tab w:val="left" w:pos="612"/>
              </w:tabs>
              <w:suppressAutoHyphens/>
              <w:spacing w:before="60" w:after="60"/>
              <w:ind w:left="1338" w:hanging="1338"/>
              <w:jc w:val="center"/>
            </w:pPr>
            <w:r w:rsidRPr="004B7EF4">
              <w:t>≤ 0.10 %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 xml:space="preserve">2-Chlorobutane, </w:t>
            </w:r>
            <w:r w:rsidRPr="004B7EF4">
              <w:rPr>
                <w:snapToGrid w:val="0"/>
                <w:sz w:val="20"/>
                <w:szCs w:val="20"/>
                <w:lang w:eastAsia="da-DK"/>
              </w:rPr>
              <w:t>≤</w:t>
            </w:r>
            <w:r w:rsidRPr="004B7EF4">
              <w:rPr>
                <w:rFonts w:eastAsia="MS ??"/>
                <w:sz w:val="20"/>
                <w:szCs w:val="20"/>
              </w:rPr>
              <w:t xml:space="preserve"> 1%</w:t>
            </w:r>
          </w:p>
          <w:p w:rsidR="001D41E2" w:rsidRPr="004B7EF4" w:rsidRDefault="001D41E2" w:rsidP="00773BAB">
            <w:pPr>
              <w:jc w:val="center"/>
              <w:rPr>
                <w:rFonts w:eastAsia="MS ??"/>
                <w:sz w:val="20"/>
                <w:szCs w:val="20"/>
              </w:rPr>
            </w:pPr>
            <w:r w:rsidRPr="004B7EF4">
              <w:rPr>
                <w:rFonts w:eastAsia="MS ??"/>
                <w:sz w:val="20"/>
                <w:szCs w:val="20"/>
              </w:rPr>
              <w:t xml:space="preserve">Butan-2-ol, </w:t>
            </w:r>
            <w:r w:rsidRPr="004B7EF4">
              <w:rPr>
                <w:snapToGrid w:val="0"/>
                <w:sz w:val="20"/>
                <w:szCs w:val="20"/>
                <w:lang w:eastAsia="da-DK"/>
              </w:rPr>
              <w:t>≤</w:t>
            </w:r>
            <w:r w:rsidRPr="004B7EF4">
              <w:rPr>
                <w:rFonts w:eastAsia="MS ??"/>
                <w:sz w:val="20"/>
                <w:szCs w:val="20"/>
              </w:rPr>
              <w:t xml:space="preserve"> 0.5 %</w:t>
            </w:r>
          </w:p>
          <w:p w:rsidR="001D41E2" w:rsidRPr="004B7EF4" w:rsidRDefault="001D41E2" w:rsidP="00773BAB">
            <w:pPr>
              <w:jc w:val="center"/>
              <w:rPr>
                <w:rFonts w:eastAsia="MS ??"/>
                <w:sz w:val="20"/>
                <w:szCs w:val="20"/>
              </w:rPr>
            </w:pPr>
            <w:r w:rsidRPr="004B7EF4">
              <w:rPr>
                <w:rFonts w:eastAsia="MS ??"/>
                <w:sz w:val="20"/>
                <w:szCs w:val="20"/>
              </w:rPr>
              <w:t xml:space="preserve">Dibutylcarbonate, </w:t>
            </w:r>
            <w:r w:rsidRPr="004B7EF4">
              <w:rPr>
                <w:snapToGrid w:val="0"/>
                <w:sz w:val="20"/>
                <w:szCs w:val="20"/>
                <w:lang w:eastAsia="da-DK"/>
              </w:rPr>
              <w:t>≤</w:t>
            </w:r>
            <w:r w:rsidRPr="004B7EF4">
              <w:rPr>
                <w:rFonts w:eastAsia="MS ??"/>
                <w:sz w:val="20"/>
                <w:szCs w:val="20"/>
              </w:rPr>
              <w:t xml:space="preserve"> 0.5 %</w:t>
            </w:r>
          </w:p>
        </w:tc>
      </w:tr>
      <w:tr w:rsidR="001D41E2" w:rsidRPr="004B7EF4" w:rsidTr="004B0EFA">
        <w:trPr>
          <w:trHeight w:val="1267"/>
        </w:trPr>
        <w:tc>
          <w:tcPr>
            <w:tcW w:w="1800" w:type="dxa"/>
            <w:vAlign w:val="center"/>
          </w:tcPr>
          <w:p w:rsidR="001D41E2" w:rsidRPr="004B7EF4" w:rsidRDefault="001D41E2" w:rsidP="00094EE5">
            <w:pPr>
              <w:pStyle w:val="BodyText2"/>
              <w:tabs>
                <w:tab w:val="left" w:pos="1332"/>
              </w:tabs>
              <w:spacing w:before="60" w:after="60"/>
              <w:ind w:left="1339" w:hanging="1339"/>
              <w:rPr>
                <w:sz w:val="20"/>
                <w:lang w:val="en-US"/>
              </w:rPr>
            </w:pPr>
            <w:r w:rsidRPr="004B7EF4">
              <w:rPr>
                <w:sz w:val="20"/>
                <w:lang w:val="en-US"/>
              </w:rPr>
              <w:t>ObCF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&gt; 99 %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0.50 %</w:t>
            </w:r>
          </w:p>
        </w:tc>
        <w:tc>
          <w:tcPr>
            <w:tcW w:w="1680" w:type="dxa"/>
            <w:vAlign w:val="center"/>
          </w:tcPr>
          <w:p w:rsidR="001D41E2" w:rsidRPr="004B7EF4" w:rsidRDefault="001D41E2" w:rsidP="00773BAB">
            <w:pPr>
              <w:pStyle w:val="Tabletext"/>
              <w:keepNext w:val="0"/>
              <w:keepLines w:val="0"/>
              <w:tabs>
                <w:tab w:val="left" w:pos="612"/>
              </w:tabs>
              <w:suppressAutoHyphens/>
              <w:spacing w:before="60" w:after="60"/>
              <w:ind w:left="1338" w:hanging="1338"/>
              <w:jc w:val="center"/>
            </w:pPr>
            <w:r w:rsidRPr="004B7EF4">
              <w:t>≤ 0.10 %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Carbonochloridic acid, 1,2-ethanediylbis(oxy-2), ≤ 0.4 %</w:t>
            </w:r>
            <w:r w:rsidRPr="004B7EF4">
              <w:rPr>
                <w:rFonts w:eastAsia="MS ??"/>
                <w:sz w:val="20"/>
                <w:szCs w:val="20"/>
              </w:rPr>
              <w:br/>
              <w:t>Ethylene bis(chloroformate), ≤ 0.2 %</w:t>
            </w:r>
          </w:p>
          <w:p w:rsidR="001D41E2" w:rsidRPr="004B7EF4" w:rsidRDefault="001D41E2" w:rsidP="00773BAB">
            <w:pPr>
              <w:jc w:val="center"/>
              <w:rPr>
                <w:rFonts w:eastAsia="MS ??"/>
                <w:sz w:val="20"/>
                <w:szCs w:val="20"/>
              </w:rPr>
            </w:pPr>
            <w:r w:rsidRPr="004B7EF4">
              <w:rPr>
                <w:rFonts w:eastAsia="MS ??"/>
                <w:sz w:val="20"/>
                <w:szCs w:val="20"/>
              </w:rPr>
              <w:t>Formic acid, chloro-, monoester with diethylene, ≤ 0.7 %</w:t>
            </w:r>
          </w:p>
        </w:tc>
      </w:tr>
      <w:tr w:rsidR="001D41E2" w:rsidRPr="004B7EF4" w:rsidTr="004B0EFA">
        <w:trPr>
          <w:trHeight w:val="632"/>
        </w:trPr>
        <w:tc>
          <w:tcPr>
            <w:tcW w:w="1800" w:type="dxa"/>
            <w:vAlign w:val="center"/>
          </w:tcPr>
          <w:p w:rsidR="001D41E2" w:rsidRPr="004B7EF4" w:rsidRDefault="001D41E2" w:rsidP="00094EE5">
            <w:pPr>
              <w:pStyle w:val="BodyText2"/>
              <w:tabs>
                <w:tab w:val="left" w:pos="1332"/>
              </w:tabs>
              <w:spacing w:before="60" w:after="60"/>
              <w:ind w:left="1339" w:hanging="1339"/>
              <w:rPr>
                <w:sz w:val="20"/>
                <w:lang w:val="en-US"/>
              </w:rPr>
            </w:pPr>
            <w:r w:rsidRPr="004B7EF4">
              <w:rPr>
                <w:sz w:val="20"/>
                <w:lang w:val="en-US"/>
              </w:rPr>
              <w:t>EhCF</w:t>
            </w:r>
          </w:p>
        </w:tc>
        <w:tc>
          <w:tcPr>
            <w:tcW w:w="1080" w:type="dxa"/>
            <w:vAlign w:val="center"/>
          </w:tcPr>
          <w:p w:rsidR="001D41E2" w:rsidRPr="004B7EF4" w:rsidRDefault="001D41E2" w:rsidP="00773BAB">
            <w:pPr>
              <w:pStyle w:val="BodyText2"/>
              <w:tabs>
                <w:tab w:val="left" w:pos="1332"/>
              </w:tabs>
              <w:spacing w:before="60" w:after="60"/>
              <w:jc w:val="center"/>
              <w:rPr>
                <w:snapToGrid w:val="0"/>
                <w:sz w:val="20"/>
                <w:lang w:val="en-US" w:eastAsia="da-DK"/>
              </w:rPr>
            </w:pPr>
            <w:r w:rsidRPr="004B7EF4">
              <w:rPr>
                <w:snapToGrid w:val="0"/>
                <w:sz w:val="20"/>
                <w:lang w:val="en-US" w:eastAsia="da-DK"/>
              </w:rPr>
              <w:t>&gt; 99 %</w:t>
            </w:r>
          </w:p>
        </w:tc>
        <w:tc>
          <w:tcPr>
            <w:tcW w:w="1680" w:type="dxa"/>
            <w:vAlign w:val="center"/>
          </w:tcPr>
          <w:p w:rsidR="001D41E2" w:rsidRPr="004B7EF4" w:rsidRDefault="001D41E2"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 0.01 %</w:t>
            </w:r>
          </w:p>
        </w:tc>
        <w:tc>
          <w:tcPr>
            <w:tcW w:w="1680" w:type="dxa"/>
            <w:vAlign w:val="center"/>
          </w:tcPr>
          <w:p w:rsidR="001D41E2" w:rsidRPr="004B7EF4" w:rsidRDefault="001D41E2" w:rsidP="00773BAB">
            <w:pPr>
              <w:pStyle w:val="Tabletext"/>
              <w:keepNext w:val="0"/>
              <w:keepLines w:val="0"/>
              <w:tabs>
                <w:tab w:val="left" w:pos="612"/>
              </w:tabs>
              <w:suppressAutoHyphens/>
              <w:spacing w:before="60" w:after="60"/>
              <w:ind w:left="1338" w:hanging="1338"/>
              <w:jc w:val="center"/>
            </w:pPr>
            <w:r w:rsidRPr="004B7EF4">
              <w:t>≤ 0.05 %</w:t>
            </w:r>
          </w:p>
        </w:tc>
        <w:tc>
          <w:tcPr>
            <w:tcW w:w="3245" w:type="dxa"/>
            <w:vAlign w:val="center"/>
          </w:tcPr>
          <w:p w:rsidR="001D41E2" w:rsidRPr="004B7EF4" w:rsidRDefault="001D41E2" w:rsidP="00773BAB">
            <w:pPr>
              <w:jc w:val="center"/>
              <w:rPr>
                <w:rFonts w:eastAsia="MS ??"/>
                <w:sz w:val="20"/>
                <w:szCs w:val="20"/>
              </w:rPr>
            </w:pPr>
            <w:r w:rsidRPr="004B7EF4">
              <w:rPr>
                <w:rFonts w:eastAsia="MS ??"/>
                <w:sz w:val="20"/>
                <w:szCs w:val="20"/>
              </w:rPr>
              <w:t>Bis(2-ethylhexyl)carbonate, ≤ 0.5 %</w:t>
            </w:r>
          </w:p>
          <w:p w:rsidR="001D41E2" w:rsidRPr="004B7EF4" w:rsidRDefault="001D41E2" w:rsidP="00773BAB">
            <w:pPr>
              <w:jc w:val="center"/>
              <w:rPr>
                <w:rFonts w:eastAsia="MS ??"/>
                <w:sz w:val="20"/>
                <w:szCs w:val="20"/>
              </w:rPr>
            </w:pPr>
            <w:r w:rsidRPr="004B7EF4">
              <w:rPr>
                <w:rFonts w:eastAsia="MS ??"/>
                <w:sz w:val="20"/>
                <w:szCs w:val="20"/>
              </w:rPr>
              <w:t>2-Ethylhexan-1-ol, ≤ 0.25 %</w:t>
            </w:r>
          </w:p>
        </w:tc>
      </w:tr>
    </w:tbl>
    <w:p w:rsidR="004B0EFA" w:rsidRDefault="001D41E2" w:rsidP="004B0EFA">
      <w:pPr>
        <w:pStyle w:val="Heading2"/>
        <w:keepNext w:val="0"/>
        <w:keepLines/>
        <w:numPr>
          <w:ilvl w:val="0"/>
          <w:numId w:val="0"/>
        </w:numPr>
        <w:tabs>
          <w:tab w:val="clear" w:pos="1440"/>
        </w:tabs>
      </w:pPr>
      <w:bookmarkStart w:id="10" w:name="_Toc261961156"/>
      <w:bookmarkStart w:id="11" w:name="_Toc264983248"/>
      <w:r>
        <w:t>1.3</w:t>
      </w:r>
      <w:r>
        <w:tab/>
      </w:r>
      <w:r w:rsidRPr="004B7EF4">
        <w:t>Physico-Chemical properties</w:t>
      </w:r>
      <w:bookmarkStart w:id="12" w:name="_Toc262044519"/>
      <w:bookmarkStart w:id="13" w:name="_Toc264983281"/>
      <w:bookmarkEnd w:id="10"/>
      <w:bookmarkEnd w:id="11"/>
    </w:p>
    <w:p w:rsidR="004B0EFA" w:rsidRDefault="001D41E2" w:rsidP="004B0EFA">
      <w:pPr>
        <w:pStyle w:val="Heading2"/>
        <w:keepNext w:val="0"/>
        <w:keepLines/>
        <w:numPr>
          <w:ilvl w:val="0"/>
          <w:numId w:val="0"/>
        </w:numPr>
        <w:tabs>
          <w:tab w:val="clear" w:pos="1440"/>
        </w:tabs>
      </w:pPr>
      <w:r w:rsidRPr="004B7EF4">
        <w:t xml:space="preserve">Table </w:t>
      </w:r>
      <w:fldSimple w:instr=" SEQ Table \* ARABIC ">
        <w:r w:rsidR="00AB3C07" w:rsidRPr="004B0EFA">
          <w:rPr>
            <w:noProof/>
          </w:rPr>
          <w:t>3</w:t>
        </w:r>
      </w:fldSimple>
      <w:r w:rsidRPr="004B0EFA">
        <w:rPr>
          <w:bCs w:val="0"/>
        </w:rPr>
        <w:t xml:space="preserve">     </w:t>
      </w:r>
      <w:r w:rsidRPr="004B0EFA">
        <w:rPr>
          <w:rFonts w:ascii="Times New Roman" w:hAnsi="Times New Roman" w:cs="Times New Roman"/>
          <w:bCs w:val="0"/>
        </w:rPr>
        <w:t>Summary of physico-chemical properties</w:t>
      </w:r>
      <w:bookmarkEnd w:id="12"/>
      <w:bookmarkEnd w:id="13"/>
      <w:r w:rsidRPr="004B0EFA">
        <w:rPr>
          <w:rFonts w:ascii="Times New Roman" w:hAnsi="Times New Roman" w:cs="Times New Roman"/>
          <w:bCs w:val="0"/>
        </w:rP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5"/>
        <w:gridCol w:w="2101"/>
        <w:gridCol w:w="3572"/>
        <w:gridCol w:w="2587"/>
      </w:tblGrid>
      <w:tr w:rsidR="001D41E2" w:rsidRPr="004B7EF4" w:rsidTr="004B0EFA">
        <w:trPr>
          <w:tblHeader/>
        </w:trPr>
        <w:tc>
          <w:tcPr>
            <w:tcW w:w="1553" w:type="dxa"/>
            <w:tcBorders>
              <w:top w:val="single" w:sz="12" w:space="0" w:color="auto"/>
              <w:left w:val="single" w:sz="12" w:space="0" w:color="auto"/>
              <w:bottom w:val="single" w:sz="12" w:space="0" w:color="auto"/>
            </w:tcBorders>
            <w:vAlign w:val="center"/>
          </w:tcPr>
          <w:p w:rsidR="001D41E2" w:rsidRPr="004B7EF4" w:rsidRDefault="001D41E2" w:rsidP="004B0EFA">
            <w:pPr>
              <w:pStyle w:val="Tabletext"/>
              <w:spacing w:before="60" w:after="60"/>
              <w:jc w:val="center"/>
              <w:rPr>
                <w:b/>
                <w:bCs/>
              </w:rPr>
            </w:pPr>
            <w:r w:rsidRPr="004B7EF4">
              <w:rPr>
                <w:b/>
                <w:bCs/>
              </w:rPr>
              <w:t>Endpoint</w:t>
            </w:r>
          </w:p>
        </w:tc>
        <w:tc>
          <w:tcPr>
            <w:tcW w:w="2047" w:type="dxa"/>
            <w:tcBorders>
              <w:top w:val="single" w:sz="12" w:space="0" w:color="auto"/>
              <w:bottom w:val="single" w:sz="12" w:space="0" w:color="auto"/>
            </w:tcBorders>
            <w:vAlign w:val="center"/>
          </w:tcPr>
          <w:p w:rsidR="001D41E2" w:rsidRPr="004B7EF4" w:rsidRDefault="001D41E2" w:rsidP="004B0EFA">
            <w:pPr>
              <w:pStyle w:val="Tabletext"/>
              <w:spacing w:before="60" w:after="60"/>
              <w:jc w:val="center"/>
              <w:rPr>
                <w:b/>
                <w:bCs/>
              </w:rPr>
            </w:pPr>
            <w:r w:rsidRPr="004B7EF4">
              <w:rPr>
                <w:b/>
                <w:bCs/>
              </w:rPr>
              <w:t xml:space="preserve">Category member / </w:t>
            </w:r>
            <w:r w:rsidRPr="00071FE0">
              <w:rPr>
                <w:b/>
                <w:bCs/>
                <w:highlight w:val="lightGray"/>
              </w:rPr>
              <w:t>hydrolysis product</w:t>
            </w:r>
          </w:p>
        </w:tc>
        <w:tc>
          <w:tcPr>
            <w:tcW w:w="3480" w:type="dxa"/>
            <w:tcBorders>
              <w:top w:val="single" w:sz="12" w:space="0" w:color="auto"/>
              <w:bottom w:val="single" w:sz="12" w:space="0" w:color="auto"/>
            </w:tcBorders>
            <w:vAlign w:val="center"/>
          </w:tcPr>
          <w:p w:rsidR="001D41E2" w:rsidRPr="004B7EF4" w:rsidRDefault="001D41E2" w:rsidP="004B0EFA">
            <w:pPr>
              <w:pStyle w:val="BodyText2"/>
              <w:keepLines/>
              <w:tabs>
                <w:tab w:val="left" w:pos="12"/>
              </w:tabs>
              <w:spacing w:before="60" w:after="60"/>
              <w:ind w:left="12" w:hanging="12"/>
              <w:jc w:val="center"/>
              <w:rPr>
                <w:b/>
                <w:bCs/>
                <w:snapToGrid w:val="0"/>
                <w:sz w:val="20"/>
                <w:lang w:val="en-US" w:eastAsia="da-DK"/>
              </w:rPr>
            </w:pPr>
            <w:r w:rsidRPr="004B7EF4">
              <w:rPr>
                <w:b/>
                <w:bCs/>
                <w:snapToGrid w:val="0"/>
                <w:sz w:val="20"/>
                <w:lang w:val="en-US" w:eastAsia="da-DK"/>
              </w:rPr>
              <w:t>Value</w:t>
            </w:r>
          </w:p>
        </w:tc>
        <w:tc>
          <w:tcPr>
            <w:tcW w:w="2520" w:type="dxa"/>
            <w:tcBorders>
              <w:top w:val="single" w:sz="12" w:space="0" w:color="auto"/>
              <w:bottom w:val="single" w:sz="12" w:space="0" w:color="auto"/>
              <w:right w:val="single" w:sz="12" w:space="0" w:color="auto"/>
            </w:tcBorders>
            <w:vAlign w:val="center"/>
          </w:tcPr>
          <w:p w:rsidR="001D41E2" w:rsidRPr="004B7EF4" w:rsidRDefault="001D41E2" w:rsidP="004B0EFA">
            <w:pPr>
              <w:pStyle w:val="Tabletext"/>
              <w:spacing w:before="60" w:after="60"/>
              <w:jc w:val="center"/>
              <w:rPr>
                <w:b/>
                <w:bCs/>
              </w:rPr>
            </w:pPr>
            <w:r w:rsidRPr="004B7EF4">
              <w:rPr>
                <w:b/>
                <w:bCs/>
              </w:rPr>
              <w:t>References</w:t>
            </w:r>
          </w:p>
        </w:tc>
      </w:tr>
      <w:tr w:rsidR="001D41E2" w:rsidRPr="004B7EF4" w:rsidTr="004B0EFA">
        <w:tc>
          <w:tcPr>
            <w:tcW w:w="1553" w:type="dxa"/>
            <w:vMerge w:val="restart"/>
            <w:tcBorders>
              <w:top w:val="single" w:sz="12" w:space="0" w:color="auto"/>
              <w:left w:val="single" w:sz="12" w:space="0" w:color="auto"/>
            </w:tcBorders>
          </w:tcPr>
          <w:p w:rsidR="001D41E2" w:rsidRPr="004B7EF4" w:rsidRDefault="001D41E2" w:rsidP="004B0EFA">
            <w:pPr>
              <w:pStyle w:val="Tabletext"/>
              <w:spacing w:before="60" w:after="60"/>
            </w:pPr>
            <w:r w:rsidRPr="004B7EF4">
              <w:t>Appearance / Physical state  / Color (20 °C, 1013 hPa)</w:t>
            </w:r>
          </w:p>
        </w:tc>
        <w:tc>
          <w:tcPr>
            <w:tcW w:w="2047" w:type="dxa"/>
            <w:tcBorders>
              <w:top w:val="single" w:sz="12" w:space="0" w:color="auto"/>
              <w:bottom w:val="nil"/>
            </w:tcBorders>
            <w:vAlign w:val="center"/>
          </w:tcPr>
          <w:p w:rsidR="001D41E2" w:rsidRPr="004B7EF4" w:rsidRDefault="001D41E2" w:rsidP="004B0EFA">
            <w:pPr>
              <w:pStyle w:val="Tabletext"/>
              <w:jc w:val="center"/>
            </w:pPr>
            <w:r>
              <w:t>MeCF</w:t>
            </w:r>
          </w:p>
        </w:tc>
        <w:tc>
          <w:tcPr>
            <w:tcW w:w="3480" w:type="dxa"/>
            <w:tcBorders>
              <w:top w:val="single" w:sz="12" w:space="0" w:color="auto"/>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Clear liquid with unpleasant, acrid odor</w:t>
            </w:r>
          </w:p>
        </w:tc>
        <w:tc>
          <w:tcPr>
            <w:tcW w:w="2520" w:type="dxa"/>
            <w:tcBorders>
              <w:top w:val="single" w:sz="12" w:space="0" w:color="auto"/>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Budavari, 1989a</w:t>
            </w:r>
          </w:p>
        </w:tc>
      </w:tr>
      <w:tr w:rsidR="001D41E2" w:rsidRPr="004B7EF4" w:rsidTr="004B0EFA">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EtCF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Water white liquid with a sharp, hydrochloric acid like odor</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 xml:space="preserve"> Sax and Lewis, 1987</w:t>
            </w:r>
          </w:p>
        </w:tc>
      </w:tr>
      <w:tr w:rsidR="001D41E2" w:rsidRPr="004B7EF4" w:rsidTr="004B0EFA">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PrCF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 xml:space="preserve">Colorless </w:t>
            </w:r>
            <w:r>
              <w:rPr>
                <w:snapToGrid w:val="0"/>
                <w:sz w:val="20"/>
                <w:lang w:val="en-US" w:eastAsia="da-DK"/>
              </w:rPr>
              <w:t xml:space="preserve">to pale yellow </w:t>
            </w:r>
            <w:r w:rsidRPr="004B7EF4">
              <w:rPr>
                <w:snapToGrid w:val="0"/>
                <w:sz w:val="20"/>
                <w:lang w:val="en-US" w:eastAsia="da-DK"/>
              </w:rPr>
              <w:t>liquid with a biting odor</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Budavari, 1989b;</w:t>
            </w:r>
            <w:r w:rsidRPr="004B7EF4">
              <w:rPr>
                <w:snapToGrid w:val="0"/>
                <w:sz w:val="20"/>
                <w:lang w:val="en-US" w:eastAsia="da-DK"/>
              </w:rPr>
              <w:br/>
              <w:t>GESTIS, 2008a</w:t>
            </w:r>
          </w:p>
        </w:tc>
      </w:tr>
      <w:tr w:rsidR="001D41E2" w:rsidRPr="004B7EF4" w:rsidTr="004B0EFA">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IpCF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Colorless liquid with a pungent odor</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 xml:space="preserve"> Sax and Lewis, 1987b</w:t>
            </w:r>
          </w:p>
        </w:tc>
      </w:tr>
      <w:tr w:rsidR="001D41E2" w:rsidRPr="004B7EF4" w:rsidTr="004B0EFA">
        <w:trPr>
          <w:trHeight w:val="297"/>
        </w:trPr>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SbCF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Colorless liquid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Kirk-Othmer, 200</w:t>
            </w:r>
            <w:r>
              <w:rPr>
                <w:snapToGrid w:val="0"/>
                <w:sz w:val="20"/>
                <w:lang w:val="en-US" w:eastAsia="da-DK"/>
              </w:rPr>
              <w:t>8</w:t>
            </w:r>
          </w:p>
        </w:tc>
      </w:tr>
      <w:tr w:rsidR="001D41E2" w:rsidRPr="004B7EF4" w:rsidTr="004B0EFA">
        <w:trPr>
          <w:trHeight w:val="297"/>
        </w:trPr>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rPr>
                <w:i/>
                <w:iCs/>
              </w:rPr>
            </w:pPr>
            <w:r>
              <w:t>ObCF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Colorless liquid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Kirk-Othmer, 200</w:t>
            </w:r>
            <w:r>
              <w:rPr>
                <w:snapToGrid w:val="0"/>
                <w:sz w:val="20"/>
                <w:lang w:val="en-US" w:eastAsia="da-DK"/>
              </w:rPr>
              <w:t>8</w:t>
            </w:r>
          </w:p>
        </w:tc>
      </w:tr>
      <w:tr w:rsidR="001D41E2" w:rsidRPr="004B7EF4" w:rsidTr="004B0EFA">
        <w:tc>
          <w:tcPr>
            <w:tcW w:w="1553" w:type="dxa"/>
            <w:vMerge/>
            <w:tcBorders>
              <w:left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rPr>
                <w:i/>
                <w:iCs/>
              </w:rPr>
            </w:pPr>
            <w:r>
              <w:t>EhCF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Colorless liquid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Kirk-Othmer, 200</w:t>
            </w:r>
            <w:r>
              <w:rPr>
                <w:snapToGrid w:val="0"/>
                <w:sz w:val="20"/>
                <w:lang w:val="en-US" w:eastAsia="da-DK"/>
              </w:rPr>
              <w:t>8</w:t>
            </w:r>
          </w:p>
        </w:tc>
      </w:tr>
      <w:tr w:rsidR="001D41E2" w:rsidRPr="004B7EF4" w:rsidTr="004B0EFA">
        <w:tc>
          <w:tcPr>
            <w:tcW w:w="1553" w:type="dxa"/>
            <w:vMerge w:val="restart"/>
            <w:tcBorders>
              <w:top w:val="single" w:sz="12" w:space="0" w:color="auto"/>
              <w:left w:val="single" w:sz="12" w:space="0" w:color="auto"/>
              <w:bottom w:val="single" w:sz="12" w:space="0" w:color="auto"/>
            </w:tcBorders>
          </w:tcPr>
          <w:p w:rsidR="001D41E2" w:rsidRPr="004B7EF4" w:rsidRDefault="001D41E2" w:rsidP="004B0EFA">
            <w:pPr>
              <w:pStyle w:val="Tabletext"/>
              <w:spacing w:before="60" w:after="60"/>
            </w:pPr>
            <w:r w:rsidRPr="004B7EF4">
              <w:t>Melting point</w:t>
            </w:r>
          </w:p>
        </w:tc>
        <w:tc>
          <w:tcPr>
            <w:tcW w:w="2047" w:type="dxa"/>
            <w:tcBorders>
              <w:top w:val="single" w:sz="12" w:space="0" w:color="auto"/>
              <w:bottom w:val="nil"/>
            </w:tcBorders>
            <w:vAlign w:val="center"/>
          </w:tcPr>
          <w:p w:rsidR="001D41E2" w:rsidRPr="004B7EF4" w:rsidRDefault="001D41E2" w:rsidP="004B0EFA">
            <w:pPr>
              <w:pStyle w:val="Tabletext"/>
              <w:jc w:val="center"/>
            </w:pPr>
            <w:r>
              <w:t>MeCF</w:t>
            </w:r>
          </w:p>
        </w:tc>
        <w:tc>
          <w:tcPr>
            <w:tcW w:w="3480" w:type="dxa"/>
            <w:tcBorders>
              <w:top w:val="single" w:sz="12" w:space="0" w:color="auto"/>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&lt; -81 °C (measured)</w:t>
            </w:r>
          </w:p>
        </w:tc>
        <w:tc>
          <w:tcPr>
            <w:tcW w:w="2520" w:type="dxa"/>
            <w:tcBorders>
              <w:top w:val="single" w:sz="12" w:space="0" w:color="auto"/>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 xml:space="preserve">U.S. Coast Guard, 1984-5 </w:t>
            </w:r>
          </w:p>
        </w:tc>
      </w:tr>
      <w:tr w:rsidR="001D41E2" w:rsidRPr="004B7EF4" w:rsidTr="004B0EFA">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EtCF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-80.6 °C (measured)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Lide, D.R., 1991-1992</w:t>
            </w:r>
          </w:p>
        </w:tc>
      </w:tr>
      <w:tr w:rsidR="001D41E2" w:rsidRPr="004B7EF4" w:rsidTr="004B0EFA">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PrCF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&lt;  -70 °C (measured)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GESTIS, 2008a</w:t>
            </w:r>
          </w:p>
        </w:tc>
      </w:tr>
      <w:tr w:rsidR="001D41E2" w:rsidRPr="004B7EF4" w:rsidTr="004B0EFA">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IpCF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-80 °C (measured)</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GESTIS, 2008b</w:t>
            </w:r>
          </w:p>
        </w:tc>
      </w:tr>
      <w:tr w:rsidR="001D41E2" w:rsidRPr="004B7EF4" w:rsidTr="004B0EFA">
        <w:trPr>
          <w:trHeight w:val="219"/>
        </w:trPr>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nil"/>
            </w:tcBorders>
            <w:vAlign w:val="center"/>
          </w:tcPr>
          <w:p w:rsidR="001D41E2" w:rsidRPr="004B7EF4" w:rsidRDefault="001D41E2" w:rsidP="004B0EFA">
            <w:pPr>
              <w:pStyle w:val="Tabletext"/>
              <w:jc w:val="center"/>
            </w:pPr>
            <w:r>
              <w:t>SbCF</w:t>
            </w:r>
          </w:p>
        </w:tc>
        <w:tc>
          <w:tcPr>
            <w:tcW w:w="3480" w:type="dxa"/>
            <w:tcBorders>
              <w:bottom w:val="nil"/>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&lt; -20 °C</w:t>
            </w:r>
          </w:p>
        </w:tc>
        <w:tc>
          <w:tcPr>
            <w:tcW w:w="2520" w:type="dxa"/>
            <w:tcBorders>
              <w:bottom w:val="nil"/>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BASF (</w:t>
            </w:r>
            <w:r w:rsidRPr="004B7EF4">
              <w:rPr>
                <w:snapToGrid w:val="0"/>
                <w:sz w:val="20"/>
                <w:lang w:val="en-US" w:eastAsia="da-DK"/>
              </w:rPr>
              <w:t>Expert judgement</w:t>
            </w:r>
            <w:r>
              <w:rPr>
                <w:snapToGrid w:val="0"/>
                <w:sz w:val="20"/>
                <w:lang w:val="en-US" w:eastAsia="da-DK"/>
              </w:rPr>
              <w:t>)</w:t>
            </w:r>
            <w:r w:rsidRPr="004B7EF4">
              <w:rPr>
                <w:snapToGrid w:val="0"/>
                <w:sz w:val="20"/>
                <w:lang w:val="en-US" w:eastAsia="da-DK"/>
              </w:rPr>
              <w:t>, 2009</w:t>
            </w:r>
            <w:r>
              <w:rPr>
                <w:snapToGrid w:val="0"/>
                <w:sz w:val="20"/>
                <w:lang w:val="en-US" w:eastAsia="da-DK"/>
              </w:rPr>
              <w:t xml:space="preserve">d  </w:t>
            </w:r>
          </w:p>
        </w:tc>
      </w:tr>
      <w:tr w:rsidR="001D41E2" w:rsidRPr="004B7EF4" w:rsidTr="004B0EFA">
        <w:trPr>
          <w:trHeight w:val="219"/>
        </w:trPr>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single" w:sz="4" w:space="0" w:color="auto"/>
            </w:tcBorders>
            <w:vAlign w:val="center"/>
          </w:tcPr>
          <w:p w:rsidR="001D41E2" w:rsidRPr="004B7EF4" w:rsidRDefault="001D41E2" w:rsidP="004B0EFA">
            <w:pPr>
              <w:pStyle w:val="Tabletext"/>
              <w:jc w:val="center"/>
            </w:pPr>
            <w:r>
              <w:t>ObCF</w:t>
            </w:r>
          </w:p>
        </w:tc>
        <w:tc>
          <w:tcPr>
            <w:tcW w:w="3480" w:type="dxa"/>
            <w:tcBorders>
              <w:bottom w:val="single" w:sz="4" w:space="0" w:color="auto"/>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5 - 6 °C (1013 hPa, measured)</w:t>
            </w:r>
          </w:p>
        </w:tc>
        <w:tc>
          <w:tcPr>
            <w:tcW w:w="2520" w:type="dxa"/>
            <w:tcBorders>
              <w:bottom w:val="single" w:sz="4" w:space="0" w:color="auto"/>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sidRPr="004B7EF4">
              <w:rPr>
                <w:snapToGrid w:val="0"/>
                <w:sz w:val="20"/>
                <w:lang w:val="en-US" w:eastAsia="da-DK"/>
              </w:rPr>
              <w:t>GESTIS, 2008c</w:t>
            </w:r>
          </w:p>
        </w:tc>
      </w:tr>
      <w:tr w:rsidR="001D41E2" w:rsidRPr="004B7EF4" w:rsidTr="004B0EFA">
        <w:tc>
          <w:tcPr>
            <w:tcW w:w="1553" w:type="dxa"/>
            <w:vMerge/>
            <w:tcBorders>
              <w:left w:val="single" w:sz="12" w:space="0" w:color="auto"/>
              <w:bottom w:val="single" w:sz="12" w:space="0" w:color="auto"/>
            </w:tcBorders>
          </w:tcPr>
          <w:p w:rsidR="001D41E2" w:rsidRPr="004B7EF4" w:rsidRDefault="001D41E2" w:rsidP="004B0EFA">
            <w:pPr>
              <w:pStyle w:val="Tabletext"/>
              <w:spacing w:before="60" w:after="60"/>
            </w:pPr>
          </w:p>
        </w:tc>
        <w:tc>
          <w:tcPr>
            <w:tcW w:w="2047" w:type="dxa"/>
            <w:tcBorders>
              <w:bottom w:val="single" w:sz="12" w:space="0" w:color="auto"/>
            </w:tcBorders>
            <w:vAlign w:val="center"/>
          </w:tcPr>
          <w:p w:rsidR="001D41E2" w:rsidRPr="004B7EF4" w:rsidRDefault="001D41E2" w:rsidP="004B0EFA">
            <w:pPr>
              <w:pStyle w:val="Tabletext"/>
              <w:jc w:val="center"/>
            </w:pPr>
            <w:r>
              <w:t>EhCF</w:t>
            </w:r>
          </w:p>
        </w:tc>
        <w:tc>
          <w:tcPr>
            <w:tcW w:w="3480" w:type="dxa"/>
            <w:tcBorders>
              <w:bottom w:val="single" w:sz="12" w:space="0" w:color="auto"/>
            </w:tcBorders>
            <w:vAlign w:val="center"/>
          </w:tcPr>
          <w:p w:rsidR="001D41E2" w:rsidRPr="004B7EF4" w:rsidRDefault="001D41E2" w:rsidP="004B0EFA">
            <w:pPr>
              <w:pStyle w:val="BodyText2"/>
              <w:keepLines/>
              <w:tabs>
                <w:tab w:val="left" w:pos="12"/>
              </w:tabs>
              <w:spacing w:before="60" w:after="60"/>
              <w:ind w:left="12" w:hanging="12"/>
              <w:jc w:val="center"/>
              <w:rPr>
                <w:snapToGrid w:val="0"/>
                <w:sz w:val="20"/>
                <w:lang w:val="en-US" w:eastAsia="da-DK"/>
              </w:rPr>
            </w:pPr>
            <w:r w:rsidRPr="004B7EF4">
              <w:rPr>
                <w:snapToGrid w:val="0"/>
                <w:sz w:val="20"/>
                <w:lang w:val="en-US" w:eastAsia="da-DK"/>
              </w:rPr>
              <w:t>&lt; –</w:t>
            </w:r>
            <w:r>
              <w:rPr>
                <w:snapToGrid w:val="0"/>
                <w:sz w:val="20"/>
                <w:lang w:val="en-US" w:eastAsia="da-DK"/>
              </w:rPr>
              <w:t>55</w:t>
            </w:r>
            <w:r w:rsidRPr="004B7EF4">
              <w:rPr>
                <w:snapToGrid w:val="0"/>
                <w:sz w:val="20"/>
                <w:lang w:val="en-US" w:eastAsia="da-DK"/>
              </w:rPr>
              <w:t xml:space="preserve"> °C</w:t>
            </w:r>
          </w:p>
        </w:tc>
        <w:tc>
          <w:tcPr>
            <w:tcW w:w="2520" w:type="dxa"/>
            <w:tcBorders>
              <w:bottom w:val="single" w:sz="12" w:space="0" w:color="auto"/>
              <w:right w:val="single" w:sz="12" w:space="0" w:color="auto"/>
            </w:tcBorders>
            <w:vAlign w:val="center"/>
          </w:tcPr>
          <w:p w:rsidR="001D41E2" w:rsidRPr="004B7EF4" w:rsidRDefault="001D41E2" w:rsidP="004B0EFA">
            <w:pPr>
              <w:pStyle w:val="BodyText2"/>
              <w:keepLines/>
              <w:tabs>
                <w:tab w:val="left" w:pos="612"/>
              </w:tabs>
              <w:spacing w:before="60" w:after="60"/>
              <w:ind w:left="148"/>
              <w:jc w:val="left"/>
              <w:rPr>
                <w:snapToGrid w:val="0"/>
                <w:sz w:val="20"/>
                <w:lang w:val="en-US" w:eastAsia="da-DK"/>
              </w:rPr>
            </w:pPr>
            <w:r>
              <w:rPr>
                <w:snapToGrid w:val="0"/>
                <w:sz w:val="20"/>
                <w:lang w:val="en-US" w:eastAsia="da-DK"/>
              </w:rPr>
              <w:t>GESTIS, 2008d</w:t>
            </w:r>
          </w:p>
        </w:tc>
      </w:tr>
    </w:tbl>
    <w:p w:rsidR="004B0EFA" w:rsidRDefault="004B0EFA"/>
    <w:tbl>
      <w:tblPr>
        <w:tblW w:w="5018" w:type="pct"/>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630"/>
        <w:gridCol w:w="2101"/>
        <w:gridCol w:w="3572"/>
        <w:gridCol w:w="2587"/>
      </w:tblGrid>
      <w:tr w:rsidR="004B0EFA" w:rsidRPr="004B7EF4" w:rsidTr="008D4D03">
        <w:trPr>
          <w:tblHeader/>
        </w:trPr>
        <w:tc>
          <w:tcPr>
            <w:tcW w:w="1630" w:type="dxa"/>
            <w:tcBorders>
              <w:top w:val="single" w:sz="12" w:space="0" w:color="auto"/>
              <w:bottom w:val="single" w:sz="12" w:space="0" w:color="auto"/>
            </w:tcBorders>
            <w:vAlign w:val="center"/>
          </w:tcPr>
          <w:p w:rsidR="004B0EFA" w:rsidRPr="004B7EF4" w:rsidRDefault="004B0EFA" w:rsidP="004B0EFA">
            <w:pPr>
              <w:pStyle w:val="Tabletext"/>
              <w:spacing w:before="60" w:after="60"/>
              <w:jc w:val="center"/>
              <w:rPr>
                <w:b/>
                <w:bCs/>
              </w:rPr>
            </w:pPr>
            <w:r w:rsidRPr="004B7EF4">
              <w:rPr>
                <w:b/>
                <w:bCs/>
              </w:rPr>
              <w:t>Endpoint</w:t>
            </w:r>
          </w:p>
        </w:tc>
        <w:tc>
          <w:tcPr>
            <w:tcW w:w="2101" w:type="dxa"/>
            <w:tcBorders>
              <w:top w:val="single" w:sz="12" w:space="0" w:color="auto"/>
              <w:bottom w:val="single" w:sz="12" w:space="0" w:color="auto"/>
            </w:tcBorders>
            <w:vAlign w:val="center"/>
          </w:tcPr>
          <w:p w:rsidR="004B0EFA" w:rsidRPr="004B7EF4" w:rsidRDefault="004B0EFA" w:rsidP="004B0EFA">
            <w:pPr>
              <w:pStyle w:val="Tabletext"/>
              <w:spacing w:before="60" w:after="60"/>
              <w:jc w:val="center"/>
              <w:rPr>
                <w:b/>
                <w:bCs/>
              </w:rPr>
            </w:pPr>
            <w:r w:rsidRPr="004B7EF4">
              <w:rPr>
                <w:b/>
                <w:bCs/>
              </w:rPr>
              <w:t xml:space="preserve">Category member / </w:t>
            </w:r>
            <w:r w:rsidRPr="00071FE0">
              <w:rPr>
                <w:b/>
                <w:bCs/>
                <w:highlight w:val="lightGray"/>
              </w:rPr>
              <w:t>hydrolysis product</w:t>
            </w:r>
          </w:p>
        </w:tc>
        <w:tc>
          <w:tcPr>
            <w:tcW w:w="3572" w:type="dxa"/>
            <w:tcBorders>
              <w:top w:val="single" w:sz="12" w:space="0" w:color="auto"/>
              <w:bottom w:val="single" w:sz="12" w:space="0" w:color="auto"/>
            </w:tcBorders>
            <w:vAlign w:val="center"/>
          </w:tcPr>
          <w:p w:rsidR="004B0EFA" w:rsidRPr="004B7EF4" w:rsidRDefault="004B0EFA" w:rsidP="004B0EFA">
            <w:pPr>
              <w:pStyle w:val="BodyText2"/>
              <w:keepLines/>
              <w:tabs>
                <w:tab w:val="left" w:pos="12"/>
              </w:tabs>
              <w:spacing w:before="60" w:after="60"/>
              <w:ind w:left="12" w:hanging="12"/>
              <w:jc w:val="center"/>
              <w:rPr>
                <w:b/>
                <w:bCs/>
                <w:snapToGrid w:val="0"/>
                <w:sz w:val="20"/>
                <w:lang w:val="en-US" w:eastAsia="da-DK"/>
              </w:rPr>
            </w:pPr>
            <w:r w:rsidRPr="004B7EF4">
              <w:rPr>
                <w:b/>
                <w:bCs/>
                <w:snapToGrid w:val="0"/>
                <w:sz w:val="20"/>
                <w:lang w:val="en-US" w:eastAsia="da-DK"/>
              </w:rPr>
              <w:t>Value</w:t>
            </w:r>
          </w:p>
        </w:tc>
        <w:tc>
          <w:tcPr>
            <w:tcW w:w="2587" w:type="dxa"/>
            <w:tcBorders>
              <w:top w:val="single" w:sz="12" w:space="0" w:color="auto"/>
              <w:bottom w:val="single" w:sz="12" w:space="0" w:color="auto"/>
            </w:tcBorders>
            <w:vAlign w:val="center"/>
          </w:tcPr>
          <w:p w:rsidR="004B0EFA" w:rsidRPr="004B7EF4" w:rsidRDefault="004B0EFA" w:rsidP="004B0EFA">
            <w:pPr>
              <w:pStyle w:val="Tabletext"/>
              <w:spacing w:before="60" w:after="60"/>
              <w:jc w:val="center"/>
              <w:rPr>
                <w:b/>
                <w:bCs/>
              </w:rPr>
            </w:pPr>
            <w:r w:rsidRPr="004B7EF4">
              <w:rPr>
                <w:b/>
                <w:bCs/>
              </w:rPr>
              <w:t>References</w:t>
            </w:r>
          </w:p>
        </w:tc>
      </w:tr>
      <w:tr w:rsidR="001D41E2" w:rsidRPr="004B7EF4" w:rsidTr="008D4D03">
        <w:tc>
          <w:tcPr>
            <w:tcW w:w="1630" w:type="dxa"/>
            <w:vMerge w:val="restart"/>
            <w:tcBorders>
              <w:top w:val="single" w:sz="12" w:space="0" w:color="auto"/>
              <w:bottom w:val="single" w:sz="6" w:space="0" w:color="auto"/>
            </w:tcBorders>
          </w:tcPr>
          <w:p w:rsidR="001D41E2" w:rsidRPr="004B7EF4" w:rsidRDefault="001D41E2" w:rsidP="00773BAB">
            <w:pPr>
              <w:pStyle w:val="Tabletext"/>
              <w:spacing w:before="60" w:after="60"/>
            </w:pPr>
            <w:r w:rsidRPr="004B7EF4">
              <w:t>Boiling point</w:t>
            </w:r>
          </w:p>
        </w:tc>
        <w:tc>
          <w:tcPr>
            <w:tcW w:w="2101" w:type="dxa"/>
            <w:tcBorders>
              <w:top w:val="single" w:sz="12" w:space="0" w:color="auto"/>
              <w:bottom w:val="single" w:sz="6" w:space="0" w:color="auto"/>
            </w:tcBorders>
            <w:vAlign w:val="center"/>
          </w:tcPr>
          <w:p w:rsidR="001D41E2" w:rsidRPr="004B7EF4" w:rsidRDefault="001D41E2" w:rsidP="004B0EFA">
            <w:pPr>
              <w:pStyle w:val="Tabletext"/>
              <w:jc w:val="center"/>
            </w:pPr>
            <w:r>
              <w:t>MeCF</w:t>
            </w:r>
          </w:p>
        </w:tc>
        <w:tc>
          <w:tcPr>
            <w:tcW w:w="3572" w:type="dxa"/>
            <w:tcBorders>
              <w:top w:val="single" w:sz="12" w:space="0" w:color="auto"/>
              <w:bottom w:val="single" w:sz="6" w:space="0" w:color="auto"/>
            </w:tcBorders>
            <w:vAlign w:val="center"/>
          </w:tcPr>
          <w:p w:rsidR="001D41E2" w:rsidRPr="004B7EF4" w:rsidRDefault="001D41E2" w:rsidP="00795D00">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71 °C (</w:t>
            </w:r>
            <w:r>
              <w:rPr>
                <w:snapToGrid w:val="0"/>
                <w:sz w:val="20"/>
                <w:lang w:val="en-US" w:eastAsia="da-DK"/>
              </w:rPr>
              <w:t xml:space="preserve">1013 hPa, </w:t>
            </w:r>
            <w:r w:rsidRPr="004B7EF4">
              <w:rPr>
                <w:snapToGrid w:val="0"/>
                <w:sz w:val="20"/>
                <w:lang w:val="en-US" w:eastAsia="da-DK"/>
              </w:rPr>
              <w:t>measured)</w:t>
            </w:r>
          </w:p>
        </w:tc>
        <w:tc>
          <w:tcPr>
            <w:tcW w:w="2587" w:type="dxa"/>
            <w:tcBorders>
              <w:top w:val="single" w:sz="12" w:space="0" w:color="auto"/>
              <w:bottom w:val="single" w:sz="6" w:space="0" w:color="auto"/>
            </w:tcBorders>
            <w:vAlign w:val="center"/>
          </w:tcPr>
          <w:p w:rsidR="001D41E2" w:rsidRPr="004B7EF4" w:rsidRDefault="001D41E2" w:rsidP="004B0EFA">
            <w:pPr>
              <w:pStyle w:val="BodyText2"/>
              <w:tabs>
                <w:tab w:val="left" w:pos="612"/>
              </w:tabs>
              <w:spacing w:before="60" w:after="60"/>
              <w:ind w:left="148"/>
              <w:jc w:val="left"/>
              <w:rPr>
                <w:snapToGrid w:val="0"/>
                <w:sz w:val="20"/>
                <w:lang w:val="en-US" w:eastAsia="da-DK"/>
              </w:rPr>
            </w:pPr>
            <w:r>
              <w:rPr>
                <w:snapToGrid w:val="0"/>
                <w:sz w:val="20"/>
                <w:lang w:val="en-US" w:eastAsia="da-DK"/>
              </w:rPr>
              <w:t xml:space="preserve">Budavari, 1989a </w:t>
            </w:r>
          </w:p>
        </w:tc>
      </w:tr>
      <w:tr w:rsidR="001D41E2" w:rsidRPr="004B7EF4" w:rsidTr="008D4D03">
        <w:tc>
          <w:tcPr>
            <w:tcW w:w="1630" w:type="dxa"/>
            <w:vMerge/>
            <w:tcBorders>
              <w:top w:val="single" w:sz="6" w:space="0" w:color="auto"/>
              <w:bottom w:val="single" w:sz="6"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6" w:space="0" w:color="auto"/>
            </w:tcBorders>
            <w:vAlign w:val="center"/>
          </w:tcPr>
          <w:p w:rsidR="001D41E2" w:rsidRPr="004B7EF4" w:rsidRDefault="001D41E2" w:rsidP="004B0EFA">
            <w:pPr>
              <w:pStyle w:val="Tabletext"/>
              <w:jc w:val="center"/>
            </w:pPr>
            <w:r>
              <w:t>EtCF</w:t>
            </w:r>
          </w:p>
        </w:tc>
        <w:tc>
          <w:tcPr>
            <w:tcW w:w="3572" w:type="dxa"/>
            <w:tcBorders>
              <w:top w:val="single" w:sz="6" w:space="0" w:color="auto"/>
              <w:bottom w:val="single" w:sz="6" w:space="0" w:color="auto"/>
            </w:tcBorders>
            <w:vAlign w:val="center"/>
          </w:tcPr>
          <w:p w:rsidR="001D41E2" w:rsidRPr="004B7EF4" w:rsidRDefault="001D41E2"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95 °C (</w:t>
            </w:r>
            <w:r>
              <w:rPr>
                <w:snapToGrid w:val="0"/>
                <w:sz w:val="20"/>
                <w:lang w:val="en-US" w:eastAsia="da-DK"/>
              </w:rPr>
              <w:t xml:space="preserve">1013 hPa, </w:t>
            </w:r>
            <w:r w:rsidRPr="004B7EF4">
              <w:rPr>
                <w:snapToGrid w:val="0"/>
                <w:sz w:val="20"/>
                <w:lang w:val="en-US" w:eastAsia="da-DK"/>
              </w:rPr>
              <w:t>measured)</w:t>
            </w:r>
          </w:p>
        </w:tc>
        <w:tc>
          <w:tcPr>
            <w:tcW w:w="2587" w:type="dxa"/>
            <w:tcBorders>
              <w:top w:val="single" w:sz="6" w:space="0" w:color="auto"/>
              <w:bottom w:val="single" w:sz="6" w:space="0" w:color="auto"/>
            </w:tcBorders>
            <w:vAlign w:val="center"/>
          </w:tcPr>
          <w:p w:rsidR="001D41E2" w:rsidRPr="004B7EF4" w:rsidRDefault="001D41E2" w:rsidP="004B0EFA">
            <w:pPr>
              <w:pStyle w:val="BodyText2"/>
              <w:tabs>
                <w:tab w:val="left" w:pos="612"/>
              </w:tabs>
              <w:spacing w:before="60" w:after="60"/>
              <w:ind w:left="148"/>
              <w:jc w:val="left"/>
              <w:rPr>
                <w:snapToGrid w:val="0"/>
                <w:sz w:val="20"/>
                <w:lang w:val="en-US" w:eastAsia="da-DK"/>
              </w:rPr>
            </w:pPr>
            <w:r>
              <w:rPr>
                <w:snapToGrid w:val="0"/>
                <w:sz w:val="20"/>
                <w:lang w:val="en-US" w:eastAsia="da-DK"/>
              </w:rPr>
              <w:t xml:space="preserve"> Sax and Lewis, 1987</w:t>
            </w:r>
          </w:p>
        </w:tc>
      </w:tr>
      <w:tr w:rsidR="001D41E2" w:rsidRPr="004B7EF4" w:rsidTr="008D4D03">
        <w:tc>
          <w:tcPr>
            <w:tcW w:w="1630" w:type="dxa"/>
            <w:vMerge/>
            <w:tcBorders>
              <w:top w:val="single" w:sz="6" w:space="0" w:color="auto"/>
              <w:bottom w:val="single" w:sz="6"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6" w:space="0" w:color="auto"/>
            </w:tcBorders>
            <w:vAlign w:val="center"/>
          </w:tcPr>
          <w:p w:rsidR="001D41E2" w:rsidRPr="004B7EF4" w:rsidRDefault="001D41E2" w:rsidP="004B0EFA">
            <w:pPr>
              <w:pStyle w:val="Tabletext"/>
              <w:jc w:val="center"/>
            </w:pPr>
            <w:r>
              <w:t>PrCF</w:t>
            </w:r>
          </w:p>
        </w:tc>
        <w:tc>
          <w:tcPr>
            <w:tcW w:w="3572" w:type="dxa"/>
            <w:tcBorders>
              <w:top w:val="single" w:sz="6" w:space="0" w:color="auto"/>
              <w:bottom w:val="single" w:sz="6" w:space="0" w:color="auto"/>
            </w:tcBorders>
            <w:vAlign w:val="center"/>
          </w:tcPr>
          <w:p w:rsidR="001D41E2" w:rsidRPr="004B7EF4" w:rsidRDefault="001D41E2"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112.4 °C (measured)</w:t>
            </w:r>
          </w:p>
        </w:tc>
        <w:tc>
          <w:tcPr>
            <w:tcW w:w="2587" w:type="dxa"/>
            <w:tcBorders>
              <w:top w:val="single" w:sz="6" w:space="0" w:color="auto"/>
              <w:bottom w:val="single" w:sz="6" w:space="0" w:color="auto"/>
            </w:tcBorders>
            <w:vAlign w:val="center"/>
          </w:tcPr>
          <w:p w:rsidR="001D41E2" w:rsidRPr="004B7EF4" w:rsidRDefault="007D3E3E" w:rsidP="004B0EFA">
            <w:pPr>
              <w:pStyle w:val="BodyText2"/>
              <w:tabs>
                <w:tab w:val="left" w:pos="612"/>
              </w:tabs>
              <w:spacing w:before="60" w:after="60"/>
              <w:ind w:left="148"/>
              <w:jc w:val="left"/>
              <w:rPr>
                <w:snapToGrid w:val="0"/>
                <w:sz w:val="20"/>
                <w:lang w:val="en-US" w:eastAsia="da-DK"/>
              </w:rPr>
            </w:pPr>
            <w:r w:rsidRPr="007D3E3E">
              <w:rPr>
                <w:snapToGrid w:val="0"/>
                <w:sz w:val="20"/>
                <w:lang w:val="en-US" w:eastAsia="da-DK"/>
              </w:rPr>
              <w:t>Kirk-Othmer, 1991</w:t>
            </w:r>
          </w:p>
        </w:tc>
      </w:tr>
      <w:tr w:rsidR="001D41E2" w:rsidRPr="004B7EF4" w:rsidTr="008D4D03">
        <w:tc>
          <w:tcPr>
            <w:tcW w:w="1630" w:type="dxa"/>
            <w:vMerge/>
            <w:tcBorders>
              <w:top w:val="single" w:sz="6" w:space="0" w:color="auto"/>
              <w:bottom w:val="single" w:sz="6"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6" w:space="0" w:color="auto"/>
            </w:tcBorders>
            <w:vAlign w:val="center"/>
          </w:tcPr>
          <w:p w:rsidR="001D41E2" w:rsidRPr="004B7EF4" w:rsidRDefault="001D41E2" w:rsidP="004B0EFA">
            <w:pPr>
              <w:pStyle w:val="Tabletext"/>
              <w:jc w:val="center"/>
            </w:pPr>
            <w:r>
              <w:t>IpCF</w:t>
            </w:r>
          </w:p>
        </w:tc>
        <w:tc>
          <w:tcPr>
            <w:tcW w:w="3572" w:type="dxa"/>
            <w:tcBorders>
              <w:top w:val="single" w:sz="6" w:space="0" w:color="auto"/>
              <w:bottom w:val="single" w:sz="6" w:space="0" w:color="auto"/>
            </w:tcBorders>
            <w:vAlign w:val="center"/>
          </w:tcPr>
          <w:p w:rsidR="001D41E2" w:rsidRPr="004B7EF4" w:rsidRDefault="001D41E2"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104.6 °C (1014.6 hPa, measured)</w:t>
            </w:r>
          </w:p>
        </w:tc>
        <w:tc>
          <w:tcPr>
            <w:tcW w:w="2587" w:type="dxa"/>
            <w:tcBorders>
              <w:top w:val="single" w:sz="6" w:space="0" w:color="auto"/>
              <w:bottom w:val="single" w:sz="6" w:space="0" w:color="auto"/>
            </w:tcBorders>
            <w:vAlign w:val="center"/>
          </w:tcPr>
          <w:p w:rsidR="009D5214" w:rsidRDefault="001D41E2" w:rsidP="004B0EFA">
            <w:pPr>
              <w:pStyle w:val="BodyText2"/>
              <w:tabs>
                <w:tab w:val="left" w:pos="612"/>
              </w:tabs>
              <w:spacing w:before="60" w:after="60"/>
              <w:ind w:left="148"/>
              <w:jc w:val="left"/>
              <w:rPr>
                <w:snapToGrid w:val="0"/>
                <w:sz w:val="20"/>
                <w:lang w:val="en-US" w:eastAsia="da-DK"/>
              </w:rPr>
            </w:pPr>
            <w:r>
              <w:rPr>
                <w:snapToGrid w:val="0"/>
                <w:sz w:val="20"/>
                <w:lang w:val="en-US" w:eastAsia="da-DK"/>
              </w:rPr>
              <w:t xml:space="preserve"> Lide, D.R., 1994-1995   </w:t>
            </w:r>
          </w:p>
        </w:tc>
      </w:tr>
      <w:tr w:rsidR="001D41E2" w:rsidRPr="004B7EF4" w:rsidTr="008D4D03">
        <w:trPr>
          <w:trHeight w:val="247"/>
        </w:trPr>
        <w:tc>
          <w:tcPr>
            <w:tcW w:w="1630" w:type="dxa"/>
            <w:vMerge/>
            <w:tcBorders>
              <w:top w:val="single" w:sz="6" w:space="0" w:color="auto"/>
              <w:bottom w:val="single" w:sz="6"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6" w:space="0" w:color="auto"/>
            </w:tcBorders>
            <w:vAlign w:val="center"/>
          </w:tcPr>
          <w:p w:rsidR="001D41E2" w:rsidRPr="004B7EF4" w:rsidRDefault="001D41E2" w:rsidP="004B0EFA">
            <w:pPr>
              <w:pStyle w:val="Tabletext"/>
              <w:jc w:val="center"/>
            </w:pPr>
            <w:r>
              <w:t>SbCF</w:t>
            </w:r>
          </w:p>
        </w:tc>
        <w:tc>
          <w:tcPr>
            <w:tcW w:w="3572" w:type="dxa"/>
            <w:tcBorders>
              <w:top w:val="single" w:sz="6" w:space="0" w:color="auto"/>
              <w:bottom w:val="single" w:sz="6" w:space="0" w:color="auto"/>
            </w:tcBorders>
            <w:vAlign w:val="center"/>
          </w:tcPr>
          <w:p w:rsidR="001D41E2" w:rsidRPr="001D41E2" w:rsidRDefault="001D41E2" w:rsidP="00B56A20">
            <w:pPr>
              <w:pStyle w:val="BodyText2"/>
              <w:tabs>
                <w:tab w:val="left" w:pos="12"/>
              </w:tabs>
              <w:spacing w:before="60" w:after="60"/>
              <w:ind w:left="12" w:hanging="12"/>
              <w:jc w:val="center"/>
              <w:rPr>
                <w:dstrike/>
                <w:snapToGrid w:val="0"/>
                <w:sz w:val="20"/>
                <w:lang w:val="en-US" w:eastAsia="da-DK"/>
              </w:rPr>
            </w:pPr>
            <w:r>
              <w:rPr>
                <w:snapToGrid w:val="0"/>
                <w:sz w:val="20"/>
                <w:lang w:val="en-US" w:eastAsia="da-DK"/>
              </w:rPr>
              <w:t xml:space="preserve">Substance starts decomposing before boiling at </w:t>
            </w:r>
            <w:r w:rsidRPr="004B7EF4">
              <w:rPr>
                <w:snapToGrid w:val="0"/>
                <w:sz w:val="20"/>
                <w:lang w:val="en-US" w:eastAsia="da-DK"/>
              </w:rPr>
              <w:t xml:space="preserve">&gt; 90 °C (measured) </w:t>
            </w:r>
          </w:p>
        </w:tc>
        <w:tc>
          <w:tcPr>
            <w:tcW w:w="2587" w:type="dxa"/>
            <w:tcBorders>
              <w:top w:val="single" w:sz="6" w:space="0" w:color="auto"/>
              <w:bottom w:val="single" w:sz="6" w:space="0" w:color="auto"/>
            </w:tcBorders>
            <w:vAlign w:val="center"/>
          </w:tcPr>
          <w:p w:rsidR="001D41E2" w:rsidRDefault="001D41E2" w:rsidP="004B0EFA">
            <w:pPr>
              <w:pStyle w:val="BodyText2"/>
              <w:tabs>
                <w:tab w:val="left" w:pos="612"/>
              </w:tabs>
              <w:spacing w:before="60" w:after="60"/>
              <w:ind w:left="148"/>
              <w:jc w:val="left"/>
              <w:rPr>
                <w:snapToGrid w:val="0"/>
                <w:sz w:val="20"/>
                <w:lang w:val="en-US" w:eastAsia="da-DK"/>
              </w:rPr>
            </w:pPr>
          </w:p>
          <w:p w:rsidR="001D41E2" w:rsidRPr="004B7EF4" w:rsidRDefault="001D41E2"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BASF AG, 2007</w:t>
            </w:r>
            <w:r>
              <w:rPr>
                <w:snapToGrid w:val="0"/>
                <w:sz w:val="20"/>
                <w:lang w:val="en-US" w:eastAsia="da-DK"/>
              </w:rPr>
              <w:t xml:space="preserve">a  </w:t>
            </w:r>
          </w:p>
        </w:tc>
      </w:tr>
      <w:tr w:rsidR="001D41E2" w:rsidRPr="004B7EF4" w:rsidTr="008D4D03">
        <w:trPr>
          <w:trHeight w:val="247"/>
        </w:trPr>
        <w:tc>
          <w:tcPr>
            <w:tcW w:w="1630" w:type="dxa"/>
            <w:vMerge/>
            <w:tcBorders>
              <w:top w:val="single" w:sz="6" w:space="0" w:color="auto"/>
              <w:bottom w:val="single" w:sz="6"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6" w:space="0" w:color="auto"/>
            </w:tcBorders>
            <w:vAlign w:val="center"/>
          </w:tcPr>
          <w:p w:rsidR="001D41E2" w:rsidRPr="004B7EF4" w:rsidRDefault="001D41E2" w:rsidP="004B0EFA">
            <w:pPr>
              <w:pStyle w:val="Tabletext"/>
              <w:jc w:val="center"/>
            </w:pPr>
            <w:r>
              <w:t>ObCF</w:t>
            </w:r>
          </w:p>
        </w:tc>
        <w:tc>
          <w:tcPr>
            <w:tcW w:w="3572" w:type="dxa"/>
            <w:tcBorders>
              <w:top w:val="single" w:sz="6" w:space="0" w:color="auto"/>
              <w:bottom w:val="single" w:sz="6" w:space="0" w:color="auto"/>
            </w:tcBorders>
            <w:vAlign w:val="center"/>
          </w:tcPr>
          <w:p w:rsidR="001D41E2" w:rsidRPr="004B7EF4" w:rsidRDefault="001D41E2"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 xml:space="preserve">264.5 °C (1013 hPa, </w:t>
            </w:r>
            <w:r>
              <w:rPr>
                <w:snapToGrid w:val="0"/>
                <w:sz w:val="20"/>
                <w:lang w:val="en-US" w:eastAsia="da-DK"/>
              </w:rPr>
              <w:t xml:space="preserve">calculated from </w:t>
            </w:r>
            <w:r w:rsidRPr="004B7EF4">
              <w:rPr>
                <w:snapToGrid w:val="0"/>
                <w:sz w:val="20"/>
                <w:lang w:val="en-US" w:eastAsia="da-DK"/>
              </w:rPr>
              <w:t>measured</w:t>
            </w:r>
            <w:r>
              <w:rPr>
                <w:snapToGrid w:val="0"/>
                <w:sz w:val="20"/>
                <w:lang w:val="en-US" w:eastAsia="da-DK"/>
              </w:rPr>
              <w:t xml:space="preserve"> data</w:t>
            </w:r>
            <w:r w:rsidRPr="004B7EF4">
              <w:rPr>
                <w:snapToGrid w:val="0"/>
                <w:sz w:val="20"/>
                <w:lang w:val="en-US" w:eastAsia="da-DK"/>
              </w:rPr>
              <w:t xml:space="preserve">; substance </w:t>
            </w:r>
            <w:r>
              <w:rPr>
                <w:snapToGrid w:val="0"/>
                <w:sz w:val="20"/>
                <w:lang w:val="en-US" w:eastAsia="da-DK"/>
              </w:rPr>
              <w:t xml:space="preserve">starts </w:t>
            </w:r>
            <w:r w:rsidRPr="004B7EF4">
              <w:rPr>
                <w:snapToGrid w:val="0"/>
                <w:sz w:val="20"/>
                <w:lang w:val="en-US" w:eastAsia="da-DK"/>
              </w:rPr>
              <w:t>decompos</w:t>
            </w:r>
            <w:r>
              <w:rPr>
                <w:snapToGrid w:val="0"/>
                <w:sz w:val="20"/>
                <w:lang w:val="en-US" w:eastAsia="da-DK"/>
              </w:rPr>
              <w:t>ing</w:t>
            </w:r>
            <w:r w:rsidRPr="004B7EF4">
              <w:rPr>
                <w:snapToGrid w:val="0"/>
                <w:sz w:val="20"/>
                <w:lang w:val="en-US" w:eastAsia="da-DK"/>
              </w:rPr>
              <w:t xml:space="preserve"> before boiling at &gt; 180 °C)</w:t>
            </w:r>
          </w:p>
        </w:tc>
        <w:tc>
          <w:tcPr>
            <w:tcW w:w="2587" w:type="dxa"/>
            <w:tcBorders>
              <w:top w:val="single" w:sz="6" w:space="0" w:color="auto"/>
              <w:bottom w:val="single" w:sz="6" w:space="0" w:color="auto"/>
            </w:tcBorders>
            <w:vAlign w:val="center"/>
          </w:tcPr>
          <w:p w:rsidR="001D41E2" w:rsidRPr="004B7EF4" w:rsidRDefault="001D41E2"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BASF AG, 1989b</w:t>
            </w:r>
          </w:p>
        </w:tc>
      </w:tr>
      <w:tr w:rsidR="001D41E2" w:rsidRPr="004B7EF4" w:rsidTr="008D4D03">
        <w:tc>
          <w:tcPr>
            <w:tcW w:w="1630" w:type="dxa"/>
            <w:vMerge/>
            <w:tcBorders>
              <w:top w:val="single" w:sz="6" w:space="0" w:color="auto"/>
              <w:bottom w:val="single" w:sz="12" w:space="0" w:color="auto"/>
            </w:tcBorders>
          </w:tcPr>
          <w:p w:rsidR="001D41E2" w:rsidRPr="004B7EF4" w:rsidRDefault="001D41E2" w:rsidP="00773BAB">
            <w:pPr>
              <w:pStyle w:val="Tabletext"/>
              <w:spacing w:before="60" w:after="60"/>
            </w:pPr>
          </w:p>
        </w:tc>
        <w:tc>
          <w:tcPr>
            <w:tcW w:w="2101" w:type="dxa"/>
            <w:tcBorders>
              <w:top w:val="single" w:sz="6" w:space="0" w:color="auto"/>
              <w:bottom w:val="single" w:sz="12" w:space="0" w:color="auto"/>
            </w:tcBorders>
            <w:vAlign w:val="center"/>
          </w:tcPr>
          <w:p w:rsidR="001D41E2" w:rsidRPr="004B7EF4" w:rsidRDefault="001D41E2" w:rsidP="004B0EFA">
            <w:pPr>
              <w:pStyle w:val="Tabletext"/>
              <w:jc w:val="center"/>
            </w:pPr>
            <w:r>
              <w:t>EhCF</w:t>
            </w:r>
          </w:p>
        </w:tc>
        <w:tc>
          <w:tcPr>
            <w:tcW w:w="3572" w:type="dxa"/>
            <w:tcBorders>
              <w:top w:val="single" w:sz="6" w:space="0" w:color="auto"/>
              <w:bottom w:val="single" w:sz="12" w:space="0" w:color="auto"/>
            </w:tcBorders>
            <w:vAlign w:val="center"/>
          </w:tcPr>
          <w:p w:rsidR="001D41E2" w:rsidRDefault="001D41E2" w:rsidP="00F20F2D">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Substance decomposes before boiling</w:t>
            </w:r>
            <w:r>
              <w:rPr>
                <w:snapToGrid w:val="0"/>
                <w:sz w:val="20"/>
                <w:lang w:val="en-US" w:eastAsia="da-DK"/>
              </w:rPr>
              <w:t xml:space="preserve"> </w:t>
            </w:r>
            <w:r w:rsidRPr="002234D3">
              <w:rPr>
                <w:snapToGrid w:val="0"/>
                <w:sz w:val="20"/>
                <w:lang w:val="en-US" w:eastAsia="da-DK"/>
              </w:rPr>
              <w:t>at</w:t>
            </w:r>
            <w:r>
              <w:rPr>
                <w:snapToGrid w:val="0"/>
                <w:sz w:val="20"/>
                <w:lang w:val="en-US" w:eastAsia="da-DK"/>
              </w:rPr>
              <w:t xml:space="preserve"> atmospheric pressure;</w:t>
            </w:r>
          </w:p>
          <w:p w:rsidR="001D41E2" w:rsidRPr="004B7EF4" w:rsidRDefault="001D41E2" w:rsidP="00F20F2D">
            <w:pPr>
              <w:pStyle w:val="BodyText2"/>
              <w:tabs>
                <w:tab w:val="left" w:pos="12"/>
              </w:tabs>
              <w:spacing w:before="60" w:after="60"/>
              <w:ind w:left="12" w:hanging="12"/>
              <w:jc w:val="center"/>
              <w:rPr>
                <w:snapToGrid w:val="0"/>
                <w:sz w:val="20"/>
                <w:lang w:val="en-US" w:eastAsia="da-DK"/>
              </w:rPr>
            </w:pPr>
            <w:r>
              <w:rPr>
                <w:snapToGrid w:val="0"/>
                <w:sz w:val="20"/>
                <w:lang w:val="en-US" w:eastAsia="da-DK"/>
              </w:rPr>
              <w:t>106 – 107 °C (40 hPa)</w:t>
            </w:r>
          </w:p>
        </w:tc>
        <w:tc>
          <w:tcPr>
            <w:tcW w:w="2587" w:type="dxa"/>
            <w:tcBorders>
              <w:top w:val="single" w:sz="6" w:space="0" w:color="auto"/>
              <w:bottom w:val="single" w:sz="12" w:space="0" w:color="auto"/>
            </w:tcBorders>
            <w:vAlign w:val="center"/>
          </w:tcPr>
          <w:p w:rsidR="009D5214" w:rsidRDefault="001D41E2" w:rsidP="004B0EFA">
            <w:pPr>
              <w:pStyle w:val="BodyText2"/>
              <w:tabs>
                <w:tab w:val="left" w:pos="612"/>
              </w:tabs>
              <w:spacing w:before="60" w:after="60"/>
              <w:ind w:left="148"/>
              <w:jc w:val="left"/>
              <w:rPr>
                <w:snapToGrid w:val="0"/>
                <w:sz w:val="20"/>
                <w:lang w:val="en-US" w:eastAsia="da-DK"/>
              </w:rPr>
            </w:pPr>
            <w:r>
              <w:rPr>
                <w:snapToGrid w:val="0"/>
                <w:sz w:val="20"/>
                <w:lang w:val="en-US" w:eastAsia="da-DK"/>
              </w:rPr>
              <w:t>BASF (</w:t>
            </w:r>
            <w:r w:rsidRPr="004B7EF4">
              <w:rPr>
                <w:snapToGrid w:val="0"/>
                <w:sz w:val="20"/>
                <w:lang w:val="en-US" w:eastAsia="da-DK"/>
              </w:rPr>
              <w:t>Expert judgement</w:t>
            </w:r>
            <w:r>
              <w:rPr>
                <w:snapToGrid w:val="0"/>
                <w:sz w:val="20"/>
                <w:lang w:val="en-US" w:eastAsia="da-DK"/>
              </w:rPr>
              <w:t>)</w:t>
            </w:r>
            <w:r w:rsidRPr="004B7EF4">
              <w:rPr>
                <w:snapToGrid w:val="0"/>
                <w:sz w:val="20"/>
                <w:lang w:val="en-US" w:eastAsia="da-DK"/>
              </w:rPr>
              <w:t>, 20</w:t>
            </w:r>
            <w:r>
              <w:rPr>
                <w:snapToGrid w:val="0"/>
                <w:sz w:val="20"/>
                <w:lang w:val="en-US" w:eastAsia="da-DK"/>
              </w:rPr>
              <w:t>10</w:t>
            </w:r>
          </w:p>
          <w:p w:rsidR="001D41E2" w:rsidRPr="004B7EF4" w:rsidRDefault="001D41E2" w:rsidP="004B0EFA">
            <w:pPr>
              <w:pStyle w:val="BodyText2"/>
              <w:tabs>
                <w:tab w:val="left" w:pos="612"/>
              </w:tabs>
              <w:spacing w:before="60" w:after="60"/>
              <w:ind w:left="148"/>
              <w:jc w:val="left"/>
              <w:rPr>
                <w:snapToGrid w:val="0"/>
                <w:sz w:val="20"/>
                <w:lang w:val="en-US" w:eastAsia="da-DK"/>
              </w:rPr>
            </w:pPr>
            <w:r>
              <w:rPr>
                <w:snapToGrid w:val="0"/>
                <w:sz w:val="20"/>
                <w:lang w:val="en-US" w:eastAsia="da-DK"/>
              </w:rPr>
              <w:t>GESTIS, 2008d</w:t>
            </w:r>
          </w:p>
        </w:tc>
      </w:tr>
      <w:tr w:rsidR="008D4D03" w:rsidRPr="004B7EF4" w:rsidTr="008D4D03">
        <w:tc>
          <w:tcPr>
            <w:tcW w:w="1630" w:type="dxa"/>
            <w:vMerge w:val="restart"/>
            <w:tcBorders>
              <w:top w:val="single" w:sz="12" w:space="0" w:color="auto"/>
            </w:tcBorders>
          </w:tcPr>
          <w:p w:rsidR="008D4D03" w:rsidRPr="004B7EF4" w:rsidRDefault="008D4D03" w:rsidP="00773BAB">
            <w:pPr>
              <w:pStyle w:val="Tabletext"/>
              <w:spacing w:before="60" w:after="60"/>
            </w:pPr>
            <w:r w:rsidRPr="004B7EF4">
              <w:t>Vapor pressure</w:t>
            </w:r>
          </w:p>
        </w:tc>
        <w:tc>
          <w:tcPr>
            <w:tcW w:w="2101" w:type="dxa"/>
            <w:tcBorders>
              <w:top w:val="single" w:sz="12" w:space="0" w:color="auto"/>
            </w:tcBorders>
            <w:vAlign w:val="center"/>
          </w:tcPr>
          <w:p w:rsidR="008D4D03" w:rsidRPr="004B7EF4" w:rsidRDefault="008D4D03" w:rsidP="004B0EFA">
            <w:pPr>
              <w:pStyle w:val="Tabletext"/>
              <w:jc w:val="center"/>
            </w:pPr>
            <w:r>
              <w:t>MeCF</w:t>
            </w:r>
          </w:p>
        </w:tc>
        <w:tc>
          <w:tcPr>
            <w:tcW w:w="3572" w:type="dxa"/>
            <w:tcBorders>
              <w:top w:val="single" w:sz="12" w:space="0" w:color="auto"/>
            </w:tcBorders>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137.53 hPa (20 °C, measured)</w:t>
            </w:r>
          </w:p>
        </w:tc>
        <w:tc>
          <w:tcPr>
            <w:tcW w:w="2587" w:type="dxa"/>
            <w:tcBorders>
              <w:top w:val="single" w:sz="12" w:space="0" w:color="auto"/>
            </w:tcBorders>
            <w:vAlign w:val="center"/>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BASF AG, 1989a</w:t>
            </w:r>
          </w:p>
        </w:tc>
      </w:tr>
      <w:tr w:rsidR="008D4D03" w:rsidRPr="004B7EF4" w:rsidTr="008D4D03">
        <w:tc>
          <w:tcPr>
            <w:tcW w:w="1630" w:type="dxa"/>
            <w:vMerge/>
          </w:tcPr>
          <w:p w:rsidR="008D4D03" w:rsidRPr="004B7EF4" w:rsidRDefault="008D4D03" w:rsidP="00773BAB">
            <w:pPr>
              <w:pStyle w:val="Tabletext"/>
              <w:spacing w:before="60" w:after="60"/>
            </w:pPr>
          </w:p>
        </w:tc>
        <w:tc>
          <w:tcPr>
            <w:tcW w:w="2101" w:type="dxa"/>
            <w:vAlign w:val="center"/>
          </w:tcPr>
          <w:p w:rsidR="008D4D03" w:rsidRPr="004B7EF4" w:rsidRDefault="008D4D03" w:rsidP="004B0EFA">
            <w:pPr>
              <w:pStyle w:val="Tabletext"/>
              <w:jc w:val="center"/>
            </w:pPr>
            <w:r>
              <w:t>EtCF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55 hPa (20 °C, measured)</w:t>
            </w:r>
          </w:p>
        </w:tc>
        <w:tc>
          <w:tcPr>
            <w:tcW w:w="2587" w:type="dxa"/>
            <w:vAlign w:val="center"/>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Knovel, 2003</w:t>
            </w:r>
          </w:p>
        </w:tc>
      </w:tr>
      <w:tr w:rsidR="008D4D03" w:rsidRPr="004B7EF4" w:rsidTr="008D4D03">
        <w:tc>
          <w:tcPr>
            <w:tcW w:w="1630" w:type="dxa"/>
            <w:vMerge/>
          </w:tcPr>
          <w:p w:rsidR="008D4D03" w:rsidRPr="004B7EF4" w:rsidRDefault="008D4D03" w:rsidP="00773BAB">
            <w:pPr>
              <w:pStyle w:val="Tabletext"/>
              <w:spacing w:before="60" w:after="60"/>
            </w:pPr>
          </w:p>
        </w:tc>
        <w:tc>
          <w:tcPr>
            <w:tcW w:w="2101" w:type="dxa"/>
            <w:vAlign w:val="center"/>
          </w:tcPr>
          <w:p w:rsidR="008D4D03" w:rsidRPr="004B7EF4" w:rsidRDefault="008D4D03" w:rsidP="004B0EFA">
            <w:pPr>
              <w:pStyle w:val="Tabletext"/>
              <w:jc w:val="center"/>
            </w:pPr>
            <w:r>
              <w:t>PrCF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26.7 hPa (25.3 °C, measured)</w:t>
            </w:r>
          </w:p>
        </w:tc>
        <w:tc>
          <w:tcPr>
            <w:tcW w:w="2587" w:type="dxa"/>
            <w:vAlign w:val="center"/>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5B6456">
              <w:rPr>
                <w:snapToGrid w:val="0"/>
                <w:sz w:val="20"/>
                <w:lang w:val="en-US" w:eastAsia="da-DK"/>
              </w:rPr>
              <w:t>Kirk-Othmer, 1991</w:t>
            </w:r>
          </w:p>
        </w:tc>
      </w:tr>
      <w:tr w:rsidR="008D4D03" w:rsidRPr="004B7EF4" w:rsidTr="008D4D03">
        <w:tc>
          <w:tcPr>
            <w:tcW w:w="1630" w:type="dxa"/>
            <w:vMerge/>
          </w:tcPr>
          <w:p w:rsidR="008D4D03" w:rsidRPr="004B7EF4" w:rsidRDefault="008D4D03" w:rsidP="00773BAB">
            <w:pPr>
              <w:pStyle w:val="Tabletext"/>
              <w:spacing w:before="60" w:after="60"/>
            </w:pPr>
          </w:p>
        </w:tc>
        <w:tc>
          <w:tcPr>
            <w:tcW w:w="2101" w:type="dxa"/>
            <w:vAlign w:val="center"/>
          </w:tcPr>
          <w:p w:rsidR="008D4D03" w:rsidRPr="004B7EF4" w:rsidRDefault="008D4D03" w:rsidP="004B0EFA">
            <w:pPr>
              <w:pStyle w:val="Tabletext"/>
              <w:jc w:val="center"/>
            </w:pPr>
            <w:r>
              <w:t>IpCF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31 hPa (20 °C, measured)</w:t>
            </w:r>
          </w:p>
        </w:tc>
        <w:tc>
          <w:tcPr>
            <w:tcW w:w="2587" w:type="dxa"/>
            <w:vAlign w:val="center"/>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GESTIS, 2008b</w:t>
            </w:r>
          </w:p>
        </w:tc>
      </w:tr>
      <w:tr w:rsidR="008D4D03" w:rsidRPr="004B7EF4" w:rsidTr="008D4D03">
        <w:trPr>
          <w:trHeight w:val="282"/>
        </w:trPr>
        <w:tc>
          <w:tcPr>
            <w:tcW w:w="1630" w:type="dxa"/>
            <w:vMerge/>
          </w:tcPr>
          <w:p w:rsidR="008D4D03" w:rsidRPr="004B7EF4" w:rsidRDefault="008D4D03" w:rsidP="00773BAB">
            <w:pPr>
              <w:pStyle w:val="Tabletext"/>
              <w:spacing w:before="60" w:after="60"/>
            </w:pPr>
          </w:p>
        </w:tc>
        <w:tc>
          <w:tcPr>
            <w:tcW w:w="2101" w:type="dxa"/>
            <w:vAlign w:val="center"/>
          </w:tcPr>
          <w:p w:rsidR="008D4D03" w:rsidRPr="004B7EF4" w:rsidRDefault="008D4D03" w:rsidP="004B0EFA">
            <w:pPr>
              <w:pStyle w:val="Tabletext"/>
              <w:jc w:val="center"/>
            </w:pPr>
            <w:r>
              <w:t>SbCF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11.61 hPa  (20 °C, measured)</w:t>
            </w:r>
          </w:p>
        </w:tc>
        <w:tc>
          <w:tcPr>
            <w:tcW w:w="2587" w:type="dxa"/>
            <w:vAlign w:val="center"/>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BASF AG, 2007</w:t>
            </w:r>
            <w:r>
              <w:rPr>
                <w:snapToGrid w:val="0"/>
                <w:sz w:val="20"/>
                <w:lang w:val="en-US" w:eastAsia="da-DK"/>
              </w:rPr>
              <w:t>a</w:t>
            </w:r>
          </w:p>
        </w:tc>
      </w:tr>
      <w:tr w:rsidR="008D4D03" w:rsidRPr="00A84549" w:rsidTr="008D4D03">
        <w:trPr>
          <w:trHeight w:val="282"/>
        </w:trPr>
        <w:tc>
          <w:tcPr>
            <w:tcW w:w="1630" w:type="dxa"/>
            <w:vMerge/>
          </w:tcPr>
          <w:p w:rsidR="008D4D03" w:rsidRPr="004B7EF4" w:rsidRDefault="008D4D03" w:rsidP="00773BAB">
            <w:pPr>
              <w:pStyle w:val="Tabletext"/>
              <w:spacing w:before="60" w:after="60"/>
            </w:pPr>
          </w:p>
        </w:tc>
        <w:tc>
          <w:tcPr>
            <w:tcW w:w="2101" w:type="dxa"/>
            <w:vAlign w:val="center"/>
          </w:tcPr>
          <w:p w:rsidR="008D4D03" w:rsidRPr="004B7EF4" w:rsidRDefault="008D4D03" w:rsidP="004B0EFA">
            <w:pPr>
              <w:pStyle w:val="Tabletext"/>
              <w:jc w:val="center"/>
            </w:pPr>
            <w:r>
              <w:t>ObCF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 xml:space="preserve">0.0016 hPa </w:t>
            </w:r>
            <w:r w:rsidRPr="004B7EF4">
              <w:rPr>
                <w:snapToGrid w:val="0"/>
                <w:sz w:val="20"/>
                <w:lang w:val="en-US" w:eastAsia="da-DK"/>
              </w:rPr>
              <w:br/>
              <w:t>(20°C, extrapolated from measured data)</w:t>
            </w:r>
          </w:p>
        </w:tc>
        <w:tc>
          <w:tcPr>
            <w:tcW w:w="2587" w:type="dxa"/>
            <w:vAlign w:val="center"/>
          </w:tcPr>
          <w:p w:rsidR="008D4D03" w:rsidRPr="00F761CE" w:rsidRDefault="008D4D03" w:rsidP="004B0EFA">
            <w:pPr>
              <w:pStyle w:val="BodyText2"/>
              <w:tabs>
                <w:tab w:val="left" w:pos="612"/>
              </w:tabs>
              <w:spacing w:before="60" w:after="60"/>
              <w:ind w:left="148"/>
              <w:jc w:val="left"/>
              <w:rPr>
                <w:snapToGrid w:val="0"/>
                <w:sz w:val="20"/>
                <w:lang w:val="de-DE" w:eastAsia="da-DK"/>
              </w:rPr>
            </w:pPr>
            <w:r w:rsidRPr="00F761CE">
              <w:rPr>
                <w:snapToGrid w:val="0"/>
                <w:sz w:val="20"/>
                <w:lang w:val="de-DE" w:eastAsia="da-DK"/>
              </w:rPr>
              <w:t xml:space="preserve">BASF AG, 1989b; </w:t>
            </w:r>
            <w:r w:rsidRPr="00F761CE">
              <w:rPr>
                <w:snapToGrid w:val="0"/>
                <w:sz w:val="20"/>
                <w:lang w:val="de-DE" w:eastAsia="da-DK"/>
              </w:rPr>
              <w:br/>
              <w:t>BASF AG, 2005</w:t>
            </w:r>
          </w:p>
        </w:tc>
      </w:tr>
      <w:tr w:rsidR="008D4D03" w:rsidRPr="00A84549" w:rsidTr="008D4D03">
        <w:trPr>
          <w:trHeight w:val="282"/>
        </w:trPr>
        <w:tc>
          <w:tcPr>
            <w:tcW w:w="1630" w:type="dxa"/>
            <w:vMerge/>
          </w:tcPr>
          <w:p w:rsidR="008D4D03" w:rsidRPr="004B7EF4" w:rsidRDefault="008D4D03" w:rsidP="00773BAB">
            <w:pPr>
              <w:pStyle w:val="Tabletext"/>
              <w:spacing w:before="60" w:after="60"/>
            </w:pPr>
          </w:p>
        </w:tc>
        <w:tc>
          <w:tcPr>
            <w:tcW w:w="2101" w:type="dxa"/>
            <w:vAlign w:val="center"/>
          </w:tcPr>
          <w:p w:rsidR="008D4D03" w:rsidRDefault="008D4D03" w:rsidP="004B0EFA">
            <w:pPr>
              <w:pStyle w:val="Tabletext"/>
              <w:jc w:val="center"/>
            </w:pP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p>
        </w:tc>
        <w:tc>
          <w:tcPr>
            <w:tcW w:w="2587" w:type="dxa"/>
            <w:vAlign w:val="center"/>
          </w:tcPr>
          <w:p w:rsidR="008D4D03" w:rsidRPr="00F761CE" w:rsidRDefault="008D4D03" w:rsidP="004B0EFA">
            <w:pPr>
              <w:pStyle w:val="BodyText2"/>
              <w:tabs>
                <w:tab w:val="left" w:pos="612"/>
              </w:tabs>
              <w:spacing w:before="60" w:after="60"/>
              <w:ind w:left="148"/>
              <w:jc w:val="left"/>
              <w:rPr>
                <w:snapToGrid w:val="0"/>
                <w:sz w:val="20"/>
                <w:lang w:val="de-DE" w:eastAsia="da-DK"/>
              </w:rPr>
            </w:pPr>
          </w:p>
        </w:tc>
      </w:tr>
      <w:tr w:rsidR="008D4D03" w:rsidRPr="004B7EF4" w:rsidTr="008D4D03">
        <w:tc>
          <w:tcPr>
            <w:tcW w:w="1630" w:type="dxa"/>
            <w:vMerge/>
          </w:tcPr>
          <w:p w:rsidR="008D4D03" w:rsidRPr="0083718E" w:rsidRDefault="008D4D03" w:rsidP="00773BAB">
            <w:pPr>
              <w:pStyle w:val="Tabletext"/>
              <w:spacing w:before="60" w:after="60"/>
              <w:rPr>
                <w:lang w:val="de-DE"/>
              </w:rPr>
            </w:pPr>
          </w:p>
        </w:tc>
        <w:tc>
          <w:tcPr>
            <w:tcW w:w="2101" w:type="dxa"/>
          </w:tcPr>
          <w:p w:rsidR="008D4D03" w:rsidRPr="004B7EF4" w:rsidRDefault="008D4D03" w:rsidP="004B0EFA">
            <w:pPr>
              <w:pStyle w:val="Tabletext"/>
              <w:jc w:val="center"/>
            </w:pPr>
            <w:r>
              <w:t>EhCF</w:t>
            </w:r>
          </w:p>
        </w:tc>
        <w:tc>
          <w:tcPr>
            <w:tcW w:w="3572" w:type="dxa"/>
          </w:tcPr>
          <w:p w:rsidR="008D4D03" w:rsidRPr="004B7EF4" w:rsidRDefault="008D4D03" w:rsidP="004C2CEE">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0.22</w:t>
            </w:r>
            <w:r>
              <w:rPr>
                <w:snapToGrid w:val="0"/>
                <w:sz w:val="20"/>
                <w:lang w:val="en-US" w:eastAsia="da-DK"/>
              </w:rPr>
              <w:t xml:space="preserve"> </w:t>
            </w:r>
            <w:r w:rsidRPr="004C2CEE">
              <w:rPr>
                <w:snapToGrid w:val="0"/>
                <w:sz w:val="20"/>
                <w:lang w:val="en-US" w:eastAsia="da-DK"/>
              </w:rPr>
              <w:t>hPa (20</w:t>
            </w:r>
            <w:r w:rsidRPr="004B7EF4">
              <w:rPr>
                <w:snapToGrid w:val="0"/>
                <w:sz w:val="20"/>
                <w:lang w:val="en-US" w:eastAsia="da-DK"/>
              </w:rPr>
              <w:t xml:space="preserve"> °C, extrapolated from measured</w:t>
            </w:r>
            <w:r>
              <w:rPr>
                <w:snapToGrid w:val="0"/>
                <w:sz w:val="20"/>
                <w:lang w:val="en-US" w:eastAsia="da-DK"/>
              </w:rPr>
              <w:t xml:space="preserve"> data</w:t>
            </w:r>
            <w:r w:rsidRPr="004B7EF4">
              <w:rPr>
                <w:snapToGrid w:val="0"/>
                <w:sz w:val="20"/>
                <w:lang w:val="en-US" w:eastAsia="da-DK"/>
              </w:rPr>
              <w:t>)</w:t>
            </w:r>
          </w:p>
        </w:tc>
        <w:tc>
          <w:tcPr>
            <w:tcW w:w="2587" w:type="dxa"/>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BASF AG, 1984</w:t>
            </w:r>
          </w:p>
        </w:tc>
      </w:tr>
      <w:tr w:rsidR="008D4D03" w:rsidRPr="004B7EF4" w:rsidTr="008D4D03">
        <w:tc>
          <w:tcPr>
            <w:tcW w:w="1630" w:type="dxa"/>
            <w:vMerge/>
            <w:shd w:val="clear" w:color="auto" w:fill="auto"/>
          </w:tcPr>
          <w:p w:rsidR="008D4D03" w:rsidRDefault="008D4D03">
            <w:pPr>
              <w:pStyle w:val="Tabletext"/>
              <w:tabs>
                <w:tab w:val="left" w:pos="839"/>
              </w:tabs>
              <w:spacing w:before="60" w:after="60"/>
              <w:ind w:left="839"/>
              <w:outlineLvl w:val="0"/>
            </w:pPr>
          </w:p>
        </w:tc>
        <w:tc>
          <w:tcPr>
            <w:tcW w:w="2101" w:type="dxa"/>
            <w:shd w:val="clear" w:color="auto" w:fill="BFBFBF"/>
          </w:tcPr>
          <w:p w:rsidR="008D4D03" w:rsidRDefault="008D4D03" w:rsidP="004B0EFA">
            <w:pPr>
              <w:pStyle w:val="Tabletext"/>
              <w:jc w:val="center"/>
            </w:pPr>
            <w:r>
              <w:t>Me</w:t>
            </w:r>
          </w:p>
        </w:tc>
        <w:tc>
          <w:tcPr>
            <w:tcW w:w="3572" w:type="dxa"/>
            <w:shd w:val="clear" w:color="auto" w:fill="BFBFBF"/>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128 hPa (</w:t>
            </w:r>
            <w:r w:rsidRPr="004B7EF4">
              <w:rPr>
                <w:snapToGrid w:val="0"/>
                <w:sz w:val="20"/>
                <w:lang w:val="en-US" w:eastAsia="da-DK"/>
              </w:rPr>
              <w:t>20 °C, measured</w:t>
            </w:r>
            <w:r>
              <w:rPr>
                <w:snapToGrid w:val="0"/>
                <w:sz w:val="20"/>
                <w:lang w:val="en-US" w:eastAsia="da-DK"/>
              </w:rPr>
              <w:t>)</w:t>
            </w:r>
          </w:p>
        </w:tc>
        <w:tc>
          <w:tcPr>
            <w:tcW w:w="2587" w:type="dxa"/>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2004a</w:t>
            </w:r>
          </w:p>
        </w:tc>
      </w:tr>
      <w:tr w:rsidR="008D4D03" w:rsidRPr="004B7EF4" w:rsidTr="008D4D03">
        <w:tc>
          <w:tcPr>
            <w:tcW w:w="1630" w:type="dxa"/>
            <w:vMerge/>
            <w:shd w:val="clear" w:color="auto" w:fill="auto"/>
          </w:tcPr>
          <w:p w:rsidR="008D4D03" w:rsidRPr="001D41E2" w:rsidRDefault="008D4D03" w:rsidP="00773BAB">
            <w:pPr>
              <w:pStyle w:val="Tabletext"/>
              <w:spacing w:before="60" w:after="60"/>
            </w:pPr>
          </w:p>
        </w:tc>
        <w:tc>
          <w:tcPr>
            <w:tcW w:w="2101" w:type="dxa"/>
            <w:shd w:val="clear" w:color="auto" w:fill="BFBFBF"/>
          </w:tcPr>
          <w:p w:rsidR="008D4D03" w:rsidRDefault="008D4D03" w:rsidP="004B0EFA">
            <w:pPr>
              <w:pStyle w:val="Tabletext"/>
              <w:jc w:val="center"/>
            </w:pPr>
            <w:r>
              <w:t>Et</w:t>
            </w:r>
          </w:p>
        </w:tc>
        <w:tc>
          <w:tcPr>
            <w:tcW w:w="3572" w:type="dxa"/>
            <w:shd w:val="clear" w:color="auto" w:fill="BFBFBF"/>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57.3 hPa (</w:t>
            </w:r>
            <w:r w:rsidRPr="004B7EF4">
              <w:rPr>
                <w:snapToGrid w:val="0"/>
                <w:sz w:val="20"/>
                <w:lang w:val="en-US" w:eastAsia="da-DK"/>
              </w:rPr>
              <w:t>20 °C, measured</w:t>
            </w:r>
            <w:r>
              <w:rPr>
                <w:snapToGrid w:val="0"/>
                <w:sz w:val="20"/>
                <w:lang w:val="en-US" w:eastAsia="da-DK"/>
              </w:rPr>
              <w:t>)</w:t>
            </w:r>
          </w:p>
        </w:tc>
        <w:tc>
          <w:tcPr>
            <w:tcW w:w="2587" w:type="dxa"/>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2005</w:t>
            </w:r>
          </w:p>
        </w:tc>
      </w:tr>
      <w:tr w:rsidR="008D4D03" w:rsidRPr="004B7EF4" w:rsidTr="008D4D03">
        <w:tc>
          <w:tcPr>
            <w:tcW w:w="1630" w:type="dxa"/>
            <w:vMerge/>
            <w:shd w:val="clear" w:color="auto" w:fill="auto"/>
          </w:tcPr>
          <w:p w:rsidR="008D4D03" w:rsidRPr="001D41E2" w:rsidRDefault="008D4D03" w:rsidP="00773BAB">
            <w:pPr>
              <w:pStyle w:val="Tabletext"/>
              <w:spacing w:before="60" w:after="60"/>
            </w:pPr>
          </w:p>
        </w:tc>
        <w:tc>
          <w:tcPr>
            <w:tcW w:w="2101" w:type="dxa"/>
            <w:shd w:val="clear" w:color="auto" w:fill="BFBFBF"/>
          </w:tcPr>
          <w:p w:rsidR="008D4D03" w:rsidRDefault="008D4D03" w:rsidP="004B0EFA">
            <w:pPr>
              <w:pStyle w:val="Tabletext"/>
              <w:jc w:val="center"/>
            </w:pPr>
            <w:r>
              <w:t>Pr</w:t>
            </w:r>
          </w:p>
        </w:tc>
        <w:tc>
          <w:tcPr>
            <w:tcW w:w="3572" w:type="dxa"/>
            <w:shd w:val="clear" w:color="auto" w:fill="BFBFBF"/>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19.4 hPa (</w:t>
            </w:r>
            <w:r w:rsidRPr="004B7EF4">
              <w:rPr>
                <w:snapToGrid w:val="0"/>
                <w:sz w:val="20"/>
                <w:lang w:val="en-US" w:eastAsia="da-DK"/>
              </w:rPr>
              <w:t xml:space="preserve">20 °C, </w:t>
            </w:r>
            <w:r>
              <w:rPr>
                <w:snapToGrid w:val="0"/>
                <w:sz w:val="20"/>
                <w:lang w:val="en-US" w:eastAsia="da-DK"/>
              </w:rPr>
              <w:t>calculated)</w:t>
            </w:r>
          </w:p>
        </w:tc>
        <w:tc>
          <w:tcPr>
            <w:tcW w:w="2587" w:type="dxa"/>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E</w:t>
            </w:r>
            <w:r>
              <w:rPr>
                <w:snapToGrid w:val="0"/>
                <w:sz w:val="20"/>
                <w:lang w:val="en-US" w:eastAsia="da-DK"/>
              </w:rPr>
              <w:t>C</w:t>
            </w:r>
            <w:r w:rsidRPr="004B7EF4">
              <w:rPr>
                <w:snapToGrid w:val="0"/>
                <w:sz w:val="20"/>
                <w:lang w:val="en-US" w:eastAsia="da-DK"/>
              </w:rPr>
              <w:t>, 2008</w:t>
            </w:r>
          </w:p>
        </w:tc>
      </w:tr>
      <w:tr w:rsidR="008D4D03" w:rsidRPr="004B7EF4" w:rsidTr="008D4D03">
        <w:tc>
          <w:tcPr>
            <w:tcW w:w="1630" w:type="dxa"/>
            <w:vMerge/>
            <w:shd w:val="clear" w:color="auto" w:fill="auto"/>
          </w:tcPr>
          <w:p w:rsidR="008D4D03" w:rsidRPr="0083718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Ip</w:t>
            </w:r>
          </w:p>
        </w:tc>
        <w:tc>
          <w:tcPr>
            <w:tcW w:w="3572" w:type="dxa"/>
            <w:shd w:val="clear" w:color="auto" w:fill="BFBFBF"/>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43 hPa (</w:t>
            </w:r>
            <w:r w:rsidRPr="004B7EF4">
              <w:rPr>
                <w:snapToGrid w:val="0"/>
                <w:sz w:val="20"/>
                <w:lang w:val="en-US" w:eastAsia="da-DK"/>
              </w:rPr>
              <w:t>20 °C, measured</w:t>
            </w:r>
            <w:r>
              <w:rPr>
                <w:snapToGrid w:val="0"/>
                <w:sz w:val="20"/>
                <w:lang w:val="en-US" w:eastAsia="da-DK"/>
              </w:rPr>
              <w:t>)</w:t>
            </w:r>
          </w:p>
        </w:tc>
        <w:tc>
          <w:tcPr>
            <w:tcW w:w="2587" w:type="dxa"/>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2000</w:t>
            </w:r>
          </w:p>
        </w:tc>
      </w:tr>
      <w:tr w:rsidR="008D4D03" w:rsidRPr="004B7EF4" w:rsidTr="008D4D03">
        <w:tc>
          <w:tcPr>
            <w:tcW w:w="1630" w:type="dxa"/>
            <w:vMerge/>
            <w:shd w:val="clear" w:color="auto" w:fill="auto"/>
          </w:tcPr>
          <w:p w:rsidR="008D4D03" w:rsidRPr="0083718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Sb</w:t>
            </w:r>
          </w:p>
        </w:tc>
        <w:tc>
          <w:tcPr>
            <w:tcW w:w="3572" w:type="dxa"/>
            <w:shd w:val="clear" w:color="auto" w:fill="BFBFBF"/>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16 hPa (20 °C, measured)</w:t>
            </w:r>
          </w:p>
        </w:tc>
        <w:tc>
          <w:tcPr>
            <w:tcW w:w="2587" w:type="dxa"/>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2002b</w:t>
            </w:r>
          </w:p>
        </w:tc>
      </w:tr>
      <w:tr w:rsidR="008D4D03" w:rsidRPr="004B7EF4" w:rsidTr="008D4D03">
        <w:tc>
          <w:tcPr>
            <w:tcW w:w="1630" w:type="dxa"/>
            <w:vMerge/>
            <w:shd w:val="clear" w:color="auto" w:fill="auto"/>
          </w:tcPr>
          <w:p w:rsidR="008D4D03" w:rsidRPr="0083718E" w:rsidRDefault="008D4D03" w:rsidP="00773BAB">
            <w:pPr>
              <w:pStyle w:val="Tabletext"/>
              <w:spacing w:before="60" w:after="60"/>
              <w:rPr>
                <w:lang w:val="de-DE"/>
              </w:rPr>
            </w:pPr>
          </w:p>
        </w:tc>
        <w:tc>
          <w:tcPr>
            <w:tcW w:w="2101" w:type="dxa"/>
            <w:tcBorders>
              <w:bottom w:val="single" w:sz="6" w:space="0" w:color="auto"/>
            </w:tcBorders>
            <w:shd w:val="clear" w:color="auto" w:fill="BFBFBF"/>
          </w:tcPr>
          <w:p w:rsidR="008D4D03" w:rsidRDefault="008D4D03" w:rsidP="004B0EFA">
            <w:pPr>
              <w:pStyle w:val="Tabletext"/>
              <w:jc w:val="center"/>
            </w:pPr>
            <w:r>
              <w:t>DEG</w:t>
            </w:r>
          </w:p>
        </w:tc>
        <w:tc>
          <w:tcPr>
            <w:tcW w:w="3572" w:type="dxa"/>
            <w:tcBorders>
              <w:bottom w:val="single" w:sz="6" w:space="0" w:color="auto"/>
            </w:tcBorders>
            <w:shd w:val="clear" w:color="auto" w:fill="BFBFBF"/>
          </w:tcPr>
          <w:p w:rsidR="008D4D03" w:rsidRPr="004C2CEE" w:rsidRDefault="008D4D03" w:rsidP="004C2CEE">
            <w:pPr>
              <w:pStyle w:val="BodyText2"/>
              <w:tabs>
                <w:tab w:val="left" w:pos="12"/>
              </w:tabs>
              <w:spacing w:before="60" w:after="60"/>
              <w:ind w:left="12" w:hanging="12"/>
              <w:jc w:val="center"/>
              <w:rPr>
                <w:snapToGrid w:val="0"/>
                <w:sz w:val="20"/>
                <w:lang w:val="en-US" w:eastAsia="da-DK"/>
              </w:rPr>
            </w:pPr>
            <w:r w:rsidRPr="004C2CEE">
              <w:rPr>
                <w:snapToGrid w:val="0"/>
                <w:sz w:val="20"/>
              </w:rPr>
              <w:t>(</w:t>
            </w:r>
            <w:r w:rsidRPr="007D3E3E">
              <w:rPr>
                <w:snapToGrid w:val="0"/>
                <w:sz w:val="20"/>
              </w:rPr>
              <w:t>0.00783 mmHg</w:t>
            </w:r>
            <w:r w:rsidRPr="004C2CEE">
              <w:rPr>
                <w:snapToGrid w:val="0"/>
                <w:sz w:val="20"/>
              </w:rPr>
              <w:t>)</w:t>
            </w:r>
            <w:r w:rsidRPr="007D3E3E">
              <w:rPr>
                <w:sz w:val="20"/>
              </w:rPr>
              <w:t xml:space="preserve"> </w:t>
            </w:r>
            <w:r w:rsidRPr="004C2CEE">
              <w:rPr>
                <w:sz w:val="20"/>
              </w:rPr>
              <w:t>0.00001</w:t>
            </w:r>
            <w:r>
              <w:rPr>
                <w:sz w:val="20"/>
              </w:rPr>
              <w:t xml:space="preserve"> </w:t>
            </w:r>
            <w:r w:rsidRPr="004C2CEE">
              <w:rPr>
                <w:sz w:val="20"/>
              </w:rPr>
              <w:t>hPa (</w:t>
            </w:r>
            <w:r w:rsidRPr="007D3E3E">
              <w:rPr>
                <w:sz w:val="20"/>
              </w:rPr>
              <w:t>25 ºC</w:t>
            </w:r>
            <w:r w:rsidRPr="004C2CEE">
              <w:rPr>
                <w:sz w:val="20"/>
              </w:rPr>
              <w:t xml:space="preserve">, measured) </w:t>
            </w:r>
          </w:p>
        </w:tc>
        <w:tc>
          <w:tcPr>
            <w:tcW w:w="2587" w:type="dxa"/>
            <w:tcBorders>
              <w:bottom w:val="single" w:sz="6" w:space="0" w:color="auto"/>
            </w:tcBorders>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2004b</w:t>
            </w:r>
          </w:p>
        </w:tc>
      </w:tr>
      <w:tr w:rsidR="008D4D03" w:rsidRPr="004B7EF4" w:rsidTr="008D4D03">
        <w:tc>
          <w:tcPr>
            <w:tcW w:w="1630" w:type="dxa"/>
            <w:vMerge/>
            <w:tcBorders>
              <w:bottom w:val="single" w:sz="12" w:space="0" w:color="auto"/>
            </w:tcBorders>
            <w:shd w:val="clear" w:color="auto" w:fill="auto"/>
          </w:tcPr>
          <w:p w:rsidR="008D4D03" w:rsidRPr="001D41E2" w:rsidRDefault="008D4D03" w:rsidP="00773BAB">
            <w:pPr>
              <w:pStyle w:val="Tabletext"/>
              <w:spacing w:before="60" w:after="60"/>
            </w:pPr>
          </w:p>
        </w:tc>
        <w:tc>
          <w:tcPr>
            <w:tcW w:w="2101" w:type="dxa"/>
            <w:tcBorders>
              <w:top w:val="single" w:sz="6" w:space="0" w:color="auto"/>
              <w:bottom w:val="single" w:sz="12" w:space="0" w:color="auto"/>
            </w:tcBorders>
            <w:shd w:val="clear" w:color="auto" w:fill="BFBFBF"/>
          </w:tcPr>
          <w:p w:rsidR="008D4D03" w:rsidRDefault="008D4D03" w:rsidP="004B0EFA">
            <w:pPr>
              <w:pStyle w:val="Tabletext"/>
              <w:jc w:val="center"/>
            </w:pPr>
            <w:r>
              <w:t>Eh</w:t>
            </w:r>
          </w:p>
        </w:tc>
        <w:tc>
          <w:tcPr>
            <w:tcW w:w="3572" w:type="dxa"/>
            <w:tcBorders>
              <w:top w:val="single" w:sz="6" w:space="0" w:color="auto"/>
              <w:bottom w:val="single" w:sz="12" w:space="0" w:color="auto"/>
            </w:tcBorders>
            <w:shd w:val="clear" w:color="auto" w:fill="BFBFBF"/>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13 hPa (</w:t>
            </w:r>
            <w:r w:rsidRPr="004B7EF4">
              <w:rPr>
                <w:snapToGrid w:val="0"/>
                <w:sz w:val="20"/>
                <w:lang w:val="en-US" w:eastAsia="da-DK"/>
              </w:rPr>
              <w:t>2</w:t>
            </w:r>
            <w:r>
              <w:rPr>
                <w:snapToGrid w:val="0"/>
                <w:sz w:val="20"/>
                <w:lang w:val="en-US" w:eastAsia="da-DK"/>
              </w:rPr>
              <w:t>5</w:t>
            </w:r>
            <w:r w:rsidRPr="004B7EF4">
              <w:rPr>
                <w:snapToGrid w:val="0"/>
                <w:sz w:val="20"/>
                <w:lang w:val="en-US" w:eastAsia="da-DK"/>
              </w:rPr>
              <w:t xml:space="preserve"> °C, measured</w:t>
            </w:r>
            <w:r>
              <w:rPr>
                <w:snapToGrid w:val="0"/>
                <w:sz w:val="20"/>
                <w:lang w:val="en-US" w:eastAsia="da-DK"/>
              </w:rPr>
              <w:t>)</w:t>
            </w:r>
          </w:p>
        </w:tc>
        <w:tc>
          <w:tcPr>
            <w:tcW w:w="2587" w:type="dxa"/>
            <w:tcBorders>
              <w:top w:val="single" w:sz="6" w:space="0" w:color="auto"/>
              <w:bottom w:val="single" w:sz="12" w:space="0" w:color="auto"/>
            </w:tcBorders>
            <w:shd w:val="clear" w:color="auto" w:fill="BFBFBF"/>
          </w:tcPr>
          <w:p w:rsidR="008D4D03" w:rsidRPr="004B7EF4" w:rsidRDefault="008D4D03" w:rsidP="004B0EFA">
            <w:pPr>
              <w:pStyle w:val="BodyText2"/>
              <w:tabs>
                <w:tab w:val="left" w:pos="612"/>
              </w:tabs>
              <w:spacing w:before="60" w:after="60"/>
              <w:ind w:left="148"/>
              <w:jc w:val="left"/>
              <w:rPr>
                <w:snapToGrid w:val="0"/>
                <w:sz w:val="20"/>
                <w:lang w:val="en-US" w:eastAsia="da-DK"/>
              </w:rPr>
            </w:pPr>
            <w:r w:rsidRPr="007C24F9">
              <w:rPr>
                <w:snapToGrid w:val="0"/>
                <w:sz w:val="20"/>
                <w:lang w:val="en-US" w:eastAsia="da-DK"/>
              </w:rPr>
              <w:t>OECD, 1995</w:t>
            </w:r>
          </w:p>
        </w:tc>
      </w:tr>
      <w:tr w:rsidR="008D4D03" w:rsidRPr="004B7EF4" w:rsidTr="008D4D03">
        <w:tc>
          <w:tcPr>
            <w:tcW w:w="1630" w:type="dxa"/>
            <w:vMerge w:val="restart"/>
            <w:tcBorders>
              <w:top w:val="single" w:sz="12" w:space="0" w:color="auto"/>
            </w:tcBorders>
          </w:tcPr>
          <w:p w:rsidR="008D4D03" w:rsidRPr="001D41E2" w:rsidRDefault="008D4D03" w:rsidP="00773BAB">
            <w:pPr>
              <w:pStyle w:val="Tabletext"/>
              <w:spacing w:before="60" w:after="60"/>
            </w:pPr>
            <w:r w:rsidRPr="007D3E3E">
              <w:t xml:space="preserve">Water solubility </w:t>
            </w:r>
          </w:p>
        </w:tc>
        <w:tc>
          <w:tcPr>
            <w:tcW w:w="2101" w:type="dxa"/>
            <w:tcBorders>
              <w:top w:val="single" w:sz="12" w:space="0" w:color="auto"/>
            </w:tcBorders>
          </w:tcPr>
          <w:p w:rsidR="008D4D03" w:rsidRDefault="008D4D03" w:rsidP="004B0EFA">
            <w:pPr>
              <w:pStyle w:val="Tabletext"/>
              <w:jc w:val="center"/>
            </w:pPr>
            <w:r>
              <w:t>MeCF</w:t>
            </w:r>
          </w:p>
        </w:tc>
        <w:tc>
          <w:tcPr>
            <w:tcW w:w="3572" w:type="dxa"/>
            <w:tcBorders>
              <w:top w:val="single" w:sz="12" w:space="0" w:color="auto"/>
            </w:tcBorders>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 xml:space="preserve"> </w:t>
            </w:r>
            <w:r w:rsidRPr="007D3E3E">
              <w:rPr>
                <w:snapToGrid w:val="0"/>
                <w:sz w:val="20"/>
                <w:lang w:val="en-US" w:eastAsia="da-DK"/>
              </w:rPr>
              <w:t>927500</w:t>
            </w:r>
            <w:r w:rsidRPr="004C2CEE">
              <w:rPr>
                <w:snapToGrid w:val="0"/>
                <w:sz w:val="20"/>
                <w:lang w:val="en-US" w:eastAsia="da-DK"/>
              </w:rPr>
              <w:t xml:space="preserve"> mg/L (25 </w:t>
            </w:r>
            <w:r w:rsidRPr="007D3E3E">
              <w:rPr>
                <w:snapToGrid w:val="0"/>
                <w:sz w:val="20"/>
                <w:vertAlign w:val="superscript"/>
                <w:lang w:val="en-US" w:eastAsia="da-DK"/>
              </w:rPr>
              <w:t>o</w:t>
            </w:r>
            <w:r w:rsidRPr="004C2CEE">
              <w:rPr>
                <w:snapToGrid w:val="0"/>
                <w:sz w:val="20"/>
                <w:lang w:val="en-US" w:eastAsia="da-DK"/>
              </w:rPr>
              <w:t>C, calculated)</w:t>
            </w:r>
          </w:p>
        </w:tc>
        <w:tc>
          <w:tcPr>
            <w:tcW w:w="2587" w:type="dxa"/>
            <w:tcBorders>
              <w:top w:val="single" w:sz="12" w:space="0" w:color="auto"/>
            </w:tcBorders>
          </w:tcPr>
          <w:p w:rsidR="008D4D03" w:rsidRPr="004C2CEE" w:rsidRDefault="008D4D03" w:rsidP="004B0EFA">
            <w:pPr>
              <w:pStyle w:val="BodyText2"/>
              <w:tabs>
                <w:tab w:val="left" w:pos="612"/>
              </w:tabs>
              <w:spacing w:before="60" w:after="60"/>
              <w:ind w:left="148"/>
              <w:jc w:val="left"/>
              <w:rPr>
                <w:snapToGrid w:val="0"/>
                <w:sz w:val="20"/>
                <w:lang w:val="en-US" w:eastAsia="da-DK"/>
              </w:rPr>
            </w:pPr>
            <w:r w:rsidRPr="004C2CEE">
              <w:rPr>
                <w:snapToGrid w:val="0"/>
                <w:sz w:val="20"/>
                <w:lang w:val="en-US" w:eastAsia="da-DK"/>
              </w:rPr>
              <w:t>US EPA, 200</w:t>
            </w:r>
            <w:r w:rsidRPr="007D3E3E">
              <w:rPr>
                <w:snapToGrid w:val="0"/>
                <w:sz w:val="20"/>
                <w:lang w:val="en-US" w:eastAsia="da-DK"/>
              </w:rPr>
              <w:t>8</w:t>
            </w:r>
            <w:r w:rsidRPr="004C2CEE">
              <w:rPr>
                <w:snapToGrid w:val="0"/>
                <w:sz w:val="20"/>
                <w:lang w:val="en-US" w:eastAsia="da-DK"/>
              </w:rPr>
              <w:t>a</w:t>
            </w:r>
          </w:p>
        </w:tc>
      </w:tr>
      <w:tr w:rsidR="008D4D03" w:rsidRPr="004B7EF4" w:rsidTr="008D4D03">
        <w:tc>
          <w:tcPr>
            <w:tcW w:w="1630" w:type="dxa"/>
            <w:vMerge/>
          </w:tcPr>
          <w:p w:rsidR="008D4D03" w:rsidRPr="001D41E2" w:rsidRDefault="008D4D03" w:rsidP="00773BAB">
            <w:pPr>
              <w:pStyle w:val="Tabletext"/>
              <w:spacing w:before="60" w:after="60"/>
            </w:pPr>
          </w:p>
        </w:tc>
        <w:tc>
          <w:tcPr>
            <w:tcW w:w="2101" w:type="dxa"/>
            <w:vAlign w:val="center"/>
          </w:tcPr>
          <w:p w:rsidR="008D4D03" w:rsidRDefault="008D4D03" w:rsidP="004B0EFA">
            <w:pPr>
              <w:pStyle w:val="Tabletext"/>
              <w:jc w:val="center"/>
            </w:pPr>
            <w:r>
              <w:t>EtCF</w:t>
            </w:r>
          </w:p>
        </w:tc>
        <w:tc>
          <w:tcPr>
            <w:tcW w:w="3572" w:type="dxa"/>
            <w:vAlign w:val="center"/>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 xml:space="preserve">32060 mg/L (25 </w:t>
            </w:r>
            <w:r w:rsidRPr="004C2CEE">
              <w:rPr>
                <w:snapToGrid w:val="0"/>
                <w:sz w:val="20"/>
                <w:vertAlign w:val="superscript"/>
                <w:lang w:val="en-US" w:eastAsia="da-DK"/>
              </w:rPr>
              <w:t>o</w:t>
            </w:r>
            <w:r w:rsidRPr="004C2CEE">
              <w:rPr>
                <w:snapToGrid w:val="0"/>
                <w:sz w:val="20"/>
                <w:lang w:val="en-US" w:eastAsia="da-DK"/>
              </w:rPr>
              <w:t>C, calculated)</w:t>
            </w:r>
          </w:p>
        </w:tc>
        <w:tc>
          <w:tcPr>
            <w:tcW w:w="2587" w:type="dxa"/>
            <w:vAlign w:val="center"/>
          </w:tcPr>
          <w:p w:rsidR="008D4D03" w:rsidRPr="004C2CEE" w:rsidRDefault="008D4D03" w:rsidP="004B0EFA">
            <w:pPr>
              <w:pStyle w:val="BodyText2"/>
              <w:tabs>
                <w:tab w:val="left" w:pos="612"/>
              </w:tabs>
              <w:spacing w:before="60" w:after="60"/>
              <w:ind w:left="148"/>
              <w:jc w:val="left"/>
              <w:rPr>
                <w:snapToGrid w:val="0"/>
                <w:sz w:val="20"/>
                <w:lang w:val="en-US" w:eastAsia="da-DK"/>
              </w:rPr>
            </w:pPr>
            <w:r w:rsidRPr="004C2CEE">
              <w:rPr>
                <w:snapToGrid w:val="0"/>
                <w:sz w:val="20"/>
                <w:lang w:val="en-US" w:eastAsia="da-DK"/>
              </w:rPr>
              <w:t>US EPA, 200</w:t>
            </w:r>
            <w:r w:rsidRPr="007D3E3E">
              <w:rPr>
                <w:snapToGrid w:val="0"/>
                <w:sz w:val="20"/>
                <w:lang w:val="en-US" w:eastAsia="da-DK"/>
              </w:rPr>
              <w:t>8</w:t>
            </w:r>
            <w:r w:rsidRPr="004C2CEE">
              <w:rPr>
                <w:snapToGrid w:val="0"/>
                <w:sz w:val="20"/>
                <w:lang w:val="en-US" w:eastAsia="da-DK"/>
              </w:rPr>
              <w:t>b</w:t>
            </w:r>
          </w:p>
        </w:tc>
      </w:tr>
      <w:tr w:rsidR="008D4D03" w:rsidRPr="004B7EF4" w:rsidTr="008D4D03">
        <w:tc>
          <w:tcPr>
            <w:tcW w:w="1630" w:type="dxa"/>
            <w:vMerge/>
          </w:tcPr>
          <w:p w:rsidR="008D4D03" w:rsidRPr="001D41E2" w:rsidRDefault="008D4D03" w:rsidP="00773BAB">
            <w:pPr>
              <w:pStyle w:val="Tabletext"/>
              <w:spacing w:before="60" w:after="60"/>
            </w:pPr>
          </w:p>
        </w:tc>
        <w:tc>
          <w:tcPr>
            <w:tcW w:w="2101" w:type="dxa"/>
            <w:vAlign w:val="center"/>
          </w:tcPr>
          <w:p w:rsidR="008D4D03" w:rsidRDefault="008D4D03" w:rsidP="004B0EFA">
            <w:pPr>
              <w:pStyle w:val="Tabletext"/>
              <w:jc w:val="center"/>
            </w:pPr>
            <w:r>
              <w:t>PrCF</w:t>
            </w:r>
          </w:p>
        </w:tc>
        <w:tc>
          <w:tcPr>
            <w:tcW w:w="3572" w:type="dxa"/>
            <w:vAlign w:val="center"/>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 xml:space="preserve">10890 mg/L (25 </w:t>
            </w:r>
            <w:r w:rsidRPr="004C2CEE">
              <w:rPr>
                <w:snapToGrid w:val="0"/>
                <w:sz w:val="20"/>
                <w:vertAlign w:val="superscript"/>
                <w:lang w:val="en-US" w:eastAsia="da-DK"/>
              </w:rPr>
              <w:t>o</w:t>
            </w:r>
            <w:r w:rsidRPr="004C2CEE">
              <w:rPr>
                <w:snapToGrid w:val="0"/>
                <w:sz w:val="20"/>
                <w:lang w:val="en-US" w:eastAsia="da-DK"/>
              </w:rPr>
              <w:t>C, calculated)</w:t>
            </w:r>
          </w:p>
        </w:tc>
        <w:tc>
          <w:tcPr>
            <w:tcW w:w="2587" w:type="dxa"/>
            <w:vAlign w:val="center"/>
          </w:tcPr>
          <w:p w:rsidR="008D4D03" w:rsidRPr="004C2CEE" w:rsidRDefault="008D4D03" w:rsidP="004B0EFA">
            <w:pPr>
              <w:pStyle w:val="BodyText2"/>
              <w:tabs>
                <w:tab w:val="left" w:pos="612"/>
              </w:tabs>
              <w:spacing w:before="60" w:after="60"/>
              <w:ind w:left="148"/>
              <w:jc w:val="left"/>
              <w:rPr>
                <w:snapToGrid w:val="0"/>
                <w:sz w:val="20"/>
                <w:lang w:val="en-US" w:eastAsia="da-DK"/>
              </w:rPr>
            </w:pPr>
            <w:r w:rsidRPr="004C2CEE">
              <w:rPr>
                <w:snapToGrid w:val="0"/>
                <w:sz w:val="20"/>
                <w:lang w:val="en-US" w:eastAsia="da-DK"/>
              </w:rPr>
              <w:t>US EPA, 200</w:t>
            </w:r>
            <w:r w:rsidRPr="007D3E3E">
              <w:rPr>
                <w:snapToGrid w:val="0"/>
                <w:sz w:val="20"/>
                <w:lang w:val="en-US" w:eastAsia="da-DK"/>
              </w:rPr>
              <w:t>8</w:t>
            </w:r>
            <w:r w:rsidRPr="004C2CEE">
              <w:rPr>
                <w:snapToGrid w:val="0"/>
                <w:sz w:val="20"/>
                <w:lang w:val="en-US" w:eastAsia="da-DK"/>
              </w:rPr>
              <w:t>c</w:t>
            </w:r>
          </w:p>
        </w:tc>
      </w:tr>
      <w:tr w:rsidR="008D4D03" w:rsidRPr="004B7EF4" w:rsidTr="008D4D03">
        <w:tc>
          <w:tcPr>
            <w:tcW w:w="1630" w:type="dxa"/>
            <w:vMerge/>
          </w:tcPr>
          <w:p w:rsidR="008D4D03" w:rsidRPr="001D41E2" w:rsidRDefault="008D4D03" w:rsidP="00773BAB">
            <w:pPr>
              <w:pStyle w:val="Tabletext"/>
              <w:spacing w:before="60" w:after="60"/>
            </w:pPr>
          </w:p>
        </w:tc>
        <w:tc>
          <w:tcPr>
            <w:tcW w:w="2101" w:type="dxa"/>
            <w:vAlign w:val="center"/>
          </w:tcPr>
          <w:p w:rsidR="008D4D03" w:rsidRDefault="008D4D03" w:rsidP="004B0EFA">
            <w:pPr>
              <w:pStyle w:val="Tabletext"/>
              <w:jc w:val="center"/>
            </w:pPr>
            <w:r>
              <w:t>IpCF</w:t>
            </w:r>
          </w:p>
        </w:tc>
        <w:tc>
          <w:tcPr>
            <w:tcW w:w="3572" w:type="dxa"/>
            <w:vAlign w:val="center"/>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4C2CEE">
              <w:rPr>
                <w:snapToGrid w:val="0"/>
                <w:sz w:val="20"/>
                <w:lang w:val="en-US" w:eastAsia="da-DK"/>
              </w:rPr>
              <w:t xml:space="preserve">12590 mg/L (25 </w:t>
            </w:r>
            <w:r w:rsidRPr="004C2CEE">
              <w:rPr>
                <w:snapToGrid w:val="0"/>
                <w:sz w:val="20"/>
                <w:vertAlign w:val="superscript"/>
                <w:lang w:val="en-US" w:eastAsia="da-DK"/>
              </w:rPr>
              <w:t>o</w:t>
            </w:r>
            <w:r w:rsidRPr="004C2CEE">
              <w:rPr>
                <w:snapToGrid w:val="0"/>
                <w:sz w:val="20"/>
                <w:lang w:val="en-US" w:eastAsia="da-DK"/>
              </w:rPr>
              <w:t xml:space="preserve">C, calculated) </w:t>
            </w:r>
          </w:p>
        </w:tc>
        <w:tc>
          <w:tcPr>
            <w:tcW w:w="2587" w:type="dxa"/>
            <w:vAlign w:val="center"/>
          </w:tcPr>
          <w:p w:rsidR="008D4D03" w:rsidRPr="004C2CEE" w:rsidRDefault="008D4D03" w:rsidP="004B0EFA">
            <w:pPr>
              <w:pStyle w:val="BodyText2"/>
              <w:tabs>
                <w:tab w:val="left" w:pos="612"/>
              </w:tabs>
              <w:spacing w:before="60" w:after="60"/>
              <w:ind w:left="148"/>
              <w:jc w:val="left"/>
              <w:rPr>
                <w:snapToGrid w:val="0"/>
                <w:sz w:val="20"/>
                <w:lang w:val="en-US" w:eastAsia="da-DK"/>
              </w:rPr>
            </w:pPr>
            <w:r w:rsidRPr="004C2CEE">
              <w:rPr>
                <w:snapToGrid w:val="0"/>
                <w:sz w:val="20"/>
                <w:lang w:val="en-US" w:eastAsia="da-DK"/>
              </w:rPr>
              <w:t>US EPA, 200</w:t>
            </w:r>
            <w:r w:rsidRPr="007D3E3E">
              <w:rPr>
                <w:snapToGrid w:val="0"/>
                <w:sz w:val="20"/>
                <w:lang w:val="en-US" w:eastAsia="da-DK"/>
              </w:rPr>
              <w:t>8</w:t>
            </w:r>
            <w:r w:rsidRPr="004C2CEE">
              <w:rPr>
                <w:snapToGrid w:val="0"/>
                <w:sz w:val="20"/>
                <w:lang w:val="en-US" w:eastAsia="da-DK"/>
              </w:rPr>
              <w:t>d</w:t>
            </w:r>
          </w:p>
        </w:tc>
      </w:tr>
      <w:tr w:rsidR="008D4D03" w:rsidRPr="004B7EF4" w:rsidTr="008D4D03">
        <w:tc>
          <w:tcPr>
            <w:tcW w:w="1630" w:type="dxa"/>
            <w:vMerge/>
          </w:tcPr>
          <w:p w:rsidR="008D4D03" w:rsidRPr="001D41E2" w:rsidRDefault="008D4D03" w:rsidP="00773BAB">
            <w:pPr>
              <w:pStyle w:val="Tabletext"/>
              <w:spacing w:before="60" w:after="60"/>
            </w:pPr>
          </w:p>
        </w:tc>
        <w:tc>
          <w:tcPr>
            <w:tcW w:w="2101" w:type="dxa"/>
            <w:vAlign w:val="center"/>
          </w:tcPr>
          <w:p w:rsidR="008D4D03" w:rsidRDefault="008D4D03" w:rsidP="004B0EFA">
            <w:pPr>
              <w:pStyle w:val="Tabletext"/>
              <w:jc w:val="center"/>
            </w:pPr>
            <w:r>
              <w:t>SbCF</w:t>
            </w:r>
          </w:p>
        </w:tc>
        <w:tc>
          <w:tcPr>
            <w:tcW w:w="3572" w:type="dxa"/>
            <w:vAlign w:val="center"/>
          </w:tcPr>
          <w:p w:rsidR="008D4D03" w:rsidRPr="004C2CEE" w:rsidRDefault="008D4D03" w:rsidP="00773BAB">
            <w:pPr>
              <w:pStyle w:val="BodyText2"/>
              <w:tabs>
                <w:tab w:val="left" w:pos="12"/>
              </w:tabs>
              <w:spacing w:before="60" w:after="60"/>
              <w:ind w:left="12" w:hanging="12"/>
              <w:jc w:val="center"/>
              <w:rPr>
                <w:snapToGrid w:val="0"/>
                <w:sz w:val="20"/>
                <w:lang w:val="en-US" w:eastAsia="da-DK"/>
              </w:rPr>
            </w:pPr>
            <w:r w:rsidRPr="007D3E3E">
              <w:rPr>
                <w:snapToGrid w:val="0"/>
                <w:sz w:val="20"/>
                <w:lang w:val="en-US" w:eastAsia="da-DK"/>
              </w:rPr>
              <w:t>4222</w:t>
            </w:r>
            <w:r w:rsidRPr="004C2CEE">
              <w:rPr>
                <w:snapToGrid w:val="0"/>
                <w:sz w:val="20"/>
                <w:lang w:val="en-US" w:eastAsia="da-DK"/>
              </w:rPr>
              <w:t xml:space="preserve"> mg/L (25 </w:t>
            </w:r>
            <w:r w:rsidRPr="004C2CEE">
              <w:rPr>
                <w:snapToGrid w:val="0"/>
                <w:sz w:val="20"/>
                <w:vertAlign w:val="superscript"/>
                <w:lang w:val="en-US" w:eastAsia="da-DK"/>
              </w:rPr>
              <w:t>o</w:t>
            </w:r>
            <w:r w:rsidRPr="004C2CEE">
              <w:rPr>
                <w:snapToGrid w:val="0"/>
                <w:sz w:val="20"/>
                <w:lang w:val="en-US" w:eastAsia="da-DK"/>
              </w:rPr>
              <w:t xml:space="preserve">C, calculated) </w:t>
            </w:r>
          </w:p>
        </w:tc>
        <w:tc>
          <w:tcPr>
            <w:tcW w:w="2587" w:type="dxa"/>
            <w:vAlign w:val="center"/>
          </w:tcPr>
          <w:p w:rsidR="008D4D03" w:rsidRPr="004C2CEE" w:rsidRDefault="008D4D03" w:rsidP="004B0EFA">
            <w:pPr>
              <w:pStyle w:val="BodyText2"/>
              <w:tabs>
                <w:tab w:val="left" w:pos="612"/>
              </w:tabs>
              <w:spacing w:before="60" w:after="60"/>
              <w:ind w:left="148"/>
              <w:jc w:val="left"/>
              <w:rPr>
                <w:snapToGrid w:val="0"/>
                <w:sz w:val="20"/>
                <w:lang w:val="en-US" w:eastAsia="da-DK"/>
              </w:rPr>
            </w:pPr>
            <w:r w:rsidRPr="004C2CEE">
              <w:rPr>
                <w:snapToGrid w:val="0"/>
                <w:sz w:val="20"/>
                <w:lang w:val="en-US" w:eastAsia="da-DK"/>
              </w:rPr>
              <w:t>US EPA, 200</w:t>
            </w:r>
            <w:r w:rsidRPr="007D3E3E">
              <w:rPr>
                <w:snapToGrid w:val="0"/>
                <w:sz w:val="20"/>
                <w:lang w:val="en-US" w:eastAsia="da-DK"/>
              </w:rPr>
              <w:t>8</w:t>
            </w:r>
            <w:r w:rsidRPr="004C2CEE">
              <w:rPr>
                <w:snapToGrid w:val="0"/>
                <w:sz w:val="20"/>
                <w:lang w:val="en-US" w:eastAsia="da-DK"/>
              </w:rPr>
              <w:t>e</w:t>
            </w:r>
          </w:p>
        </w:tc>
      </w:tr>
      <w:tr w:rsidR="008D4D03" w:rsidRPr="00003B2D" w:rsidTr="008D4D03">
        <w:tc>
          <w:tcPr>
            <w:tcW w:w="1630" w:type="dxa"/>
            <w:vMerge/>
          </w:tcPr>
          <w:p w:rsidR="008D4D03" w:rsidRPr="001D41E2" w:rsidRDefault="008D4D03" w:rsidP="00773BAB">
            <w:pPr>
              <w:pStyle w:val="Tabletext"/>
              <w:spacing w:before="60" w:after="60"/>
            </w:pPr>
          </w:p>
        </w:tc>
        <w:tc>
          <w:tcPr>
            <w:tcW w:w="2101" w:type="dxa"/>
            <w:vAlign w:val="center"/>
          </w:tcPr>
          <w:p w:rsidR="008D4D03" w:rsidRDefault="008D4D03" w:rsidP="004B0EFA">
            <w:pPr>
              <w:pStyle w:val="Tabletext"/>
              <w:jc w:val="center"/>
            </w:pPr>
            <w:r>
              <w:t>ObCF</w:t>
            </w:r>
          </w:p>
        </w:tc>
        <w:tc>
          <w:tcPr>
            <w:tcW w:w="3572" w:type="dxa"/>
            <w:vAlign w:val="center"/>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 xml:space="preserve">3 mg/L (20 </w:t>
            </w:r>
            <w:r w:rsidRPr="007D3E3E">
              <w:rPr>
                <w:snapToGrid w:val="0"/>
                <w:sz w:val="20"/>
                <w:vertAlign w:val="superscript"/>
                <w:lang w:val="en-US" w:eastAsia="da-DK"/>
              </w:rPr>
              <w:t>o</w:t>
            </w:r>
            <w:r>
              <w:rPr>
                <w:snapToGrid w:val="0"/>
                <w:sz w:val="20"/>
                <w:lang w:val="en-US" w:eastAsia="da-DK"/>
              </w:rPr>
              <w:t>C, measured)</w:t>
            </w:r>
          </w:p>
        </w:tc>
        <w:tc>
          <w:tcPr>
            <w:tcW w:w="2587" w:type="dxa"/>
            <w:vAlign w:val="center"/>
          </w:tcPr>
          <w:p w:rsidR="008D4D03" w:rsidRPr="001D41E2" w:rsidRDefault="008D4D03" w:rsidP="004B0EFA">
            <w:pPr>
              <w:pStyle w:val="BodyText2"/>
              <w:tabs>
                <w:tab w:val="left" w:pos="612"/>
              </w:tabs>
              <w:spacing w:before="60" w:after="60"/>
              <w:ind w:left="148"/>
              <w:jc w:val="left"/>
              <w:rPr>
                <w:snapToGrid w:val="0"/>
                <w:sz w:val="20"/>
                <w:lang w:val="de-DE" w:eastAsia="da-DK"/>
              </w:rPr>
            </w:pPr>
            <w:r w:rsidRPr="007D3E3E">
              <w:rPr>
                <w:snapToGrid w:val="0"/>
                <w:sz w:val="20"/>
                <w:lang w:val="de-DE" w:eastAsia="da-DK"/>
              </w:rPr>
              <w:t>GESTIS, 2008e</w:t>
            </w:r>
            <w:r w:rsidRPr="004C2CEE">
              <w:rPr>
                <w:snapToGrid w:val="0"/>
                <w:sz w:val="20"/>
                <w:lang w:val="de-DE" w:eastAsia="da-DK"/>
              </w:rPr>
              <w:t xml:space="preserve"> </w:t>
            </w:r>
          </w:p>
        </w:tc>
      </w:tr>
      <w:tr w:rsidR="008D4D03" w:rsidRPr="004B7EF4" w:rsidTr="008D4D03">
        <w:tc>
          <w:tcPr>
            <w:tcW w:w="1630" w:type="dxa"/>
            <w:vMerge/>
          </w:tcPr>
          <w:p w:rsidR="008D4D03" w:rsidRPr="001D41E2" w:rsidRDefault="008D4D03" w:rsidP="00773BAB">
            <w:pPr>
              <w:pStyle w:val="Tabletext"/>
              <w:spacing w:before="60" w:after="60"/>
              <w:rPr>
                <w:lang w:val="de-DE"/>
              </w:rPr>
            </w:pPr>
          </w:p>
        </w:tc>
        <w:tc>
          <w:tcPr>
            <w:tcW w:w="2101" w:type="dxa"/>
          </w:tcPr>
          <w:p w:rsidR="008D4D03" w:rsidRDefault="008D4D03" w:rsidP="004B0EFA">
            <w:pPr>
              <w:pStyle w:val="Tabletext"/>
              <w:jc w:val="center"/>
            </w:pPr>
            <w:r>
              <w:t>EhCF</w:t>
            </w:r>
          </w:p>
        </w:tc>
        <w:tc>
          <w:tcPr>
            <w:tcW w:w="3572" w:type="dxa"/>
          </w:tcPr>
          <w:p w:rsidR="008D4D03" w:rsidRPr="004B7EF4" w:rsidRDefault="008D4D03" w:rsidP="00773BAB">
            <w:pPr>
              <w:pStyle w:val="BodyText2"/>
              <w:tabs>
                <w:tab w:val="left" w:pos="12"/>
              </w:tabs>
              <w:spacing w:before="60" w:after="60"/>
              <w:ind w:left="12" w:hanging="12"/>
              <w:jc w:val="center"/>
              <w:rPr>
                <w:snapToGrid w:val="0"/>
                <w:sz w:val="20"/>
                <w:lang w:val="en-US" w:eastAsia="da-DK"/>
              </w:rPr>
            </w:pPr>
            <w:r>
              <w:rPr>
                <w:snapToGrid w:val="0"/>
                <w:sz w:val="20"/>
                <w:lang w:val="en-US" w:eastAsia="da-DK"/>
              </w:rPr>
              <w:t xml:space="preserve">49 mg/L (25 </w:t>
            </w:r>
            <w:r w:rsidRPr="00436C98">
              <w:rPr>
                <w:snapToGrid w:val="0"/>
                <w:sz w:val="20"/>
                <w:vertAlign w:val="superscript"/>
                <w:lang w:val="en-US" w:eastAsia="da-DK"/>
              </w:rPr>
              <w:t>o</w:t>
            </w:r>
            <w:r>
              <w:rPr>
                <w:snapToGrid w:val="0"/>
                <w:sz w:val="20"/>
                <w:lang w:val="en-US" w:eastAsia="da-DK"/>
              </w:rPr>
              <w:t xml:space="preserve">C, calculated) </w:t>
            </w:r>
          </w:p>
        </w:tc>
        <w:tc>
          <w:tcPr>
            <w:tcW w:w="2587" w:type="dxa"/>
          </w:tcPr>
          <w:p w:rsidR="008D4D03" w:rsidRPr="004B7EF4" w:rsidRDefault="008D4D03" w:rsidP="004B0EFA">
            <w:pPr>
              <w:pStyle w:val="BodyText2"/>
              <w:tabs>
                <w:tab w:val="left" w:pos="612"/>
              </w:tabs>
              <w:spacing w:before="60" w:after="60"/>
              <w:ind w:left="148"/>
              <w:jc w:val="left"/>
              <w:rPr>
                <w:snapToGrid w:val="0"/>
                <w:sz w:val="20"/>
                <w:lang w:val="en-US" w:eastAsia="da-DK"/>
              </w:rPr>
            </w:pPr>
            <w:r>
              <w:rPr>
                <w:snapToGrid w:val="0"/>
                <w:sz w:val="20"/>
                <w:lang w:val="en-US" w:eastAsia="da-DK"/>
              </w:rPr>
              <w:t>US EPA, 2008g</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Me</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7D3E3E">
              <w:rPr>
                <w:snapToGrid w:val="0"/>
                <w:sz w:val="20"/>
                <w:lang w:val="en-US" w:eastAsia="da-DK"/>
              </w:rPr>
              <w:t xml:space="preserve">Miscible with water </w:t>
            </w:r>
          </w:p>
        </w:tc>
        <w:tc>
          <w:tcPr>
            <w:tcW w:w="2587" w:type="dxa"/>
            <w:shd w:val="clear" w:color="auto" w:fill="BFBFBF"/>
          </w:tcPr>
          <w:p w:rsidR="008D4D03"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2004a</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Et</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C207F1">
              <w:rPr>
                <w:snapToGrid w:val="0"/>
                <w:sz w:val="20"/>
                <w:lang w:val="en-US" w:eastAsia="da-DK"/>
              </w:rPr>
              <w:t>Miscible with water</w:t>
            </w:r>
          </w:p>
        </w:tc>
        <w:tc>
          <w:tcPr>
            <w:tcW w:w="2587" w:type="dxa"/>
            <w:shd w:val="clear" w:color="auto" w:fill="BFBFBF"/>
          </w:tcPr>
          <w:p w:rsidR="008D4D03" w:rsidRDefault="008D4D03" w:rsidP="004B0EFA">
            <w:pPr>
              <w:pStyle w:val="BodyText2"/>
              <w:tabs>
                <w:tab w:val="left" w:pos="612"/>
              </w:tabs>
              <w:spacing w:before="60" w:after="60"/>
              <w:ind w:left="148"/>
              <w:jc w:val="left"/>
              <w:rPr>
                <w:snapToGrid w:val="0"/>
                <w:sz w:val="20"/>
                <w:lang w:val="en-US" w:eastAsia="da-DK"/>
              </w:rPr>
            </w:pPr>
            <w:r w:rsidRPr="004B7EF4">
              <w:rPr>
                <w:snapToGrid w:val="0"/>
                <w:sz w:val="20"/>
                <w:lang w:val="en-US" w:eastAsia="da-DK"/>
              </w:rPr>
              <w:t>OECD, 2005</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Pr</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C207F1">
              <w:rPr>
                <w:snapToGrid w:val="0"/>
                <w:sz w:val="20"/>
                <w:lang w:val="en-US" w:eastAsia="da-DK"/>
              </w:rPr>
              <w:t>Miscible with water</w:t>
            </w:r>
          </w:p>
        </w:tc>
        <w:tc>
          <w:tcPr>
            <w:tcW w:w="2587" w:type="dxa"/>
            <w:shd w:val="clear" w:color="auto" w:fill="BFBFBF"/>
          </w:tcPr>
          <w:p w:rsidR="008D4D03" w:rsidRDefault="008D4D03"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E</w:t>
            </w:r>
            <w:r>
              <w:rPr>
                <w:snapToGrid w:val="0"/>
                <w:sz w:val="20"/>
                <w:lang w:val="en-US" w:eastAsia="da-DK"/>
              </w:rPr>
              <w:t>C</w:t>
            </w:r>
            <w:r w:rsidRPr="004B7EF4">
              <w:rPr>
                <w:snapToGrid w:val="0"/>
                <w:sz w:val="20"/>
                <w:lang w:val="en-US" w:eastAsia="da-DK"/>
              </w:rPr>
              <w:t>, 2008</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Ip</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C207F1">
              <w:rPr>
                <w:snapToGrid w:val="0"/>
                <w:sz w:val="20"/>
                <w:lang w:val="en-US" w:eastAsia="da-DK"/>
              </w:rPr>
              <w:t>Miscible with water</w:t>
            </w:r>
          </w:p>
        </w:tc>
        <w:tc>
          <w:tcPr>
            <w:tcW w:w="2587" w:type="dxa"/>
            <w:shd w:val="clear" w:color="auto" w:fill="BFBFBF"/>
          </w:tcPr>
          <w:p w:rsidR="008D4D03" w:rsidRDefault="008D4D03"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2000</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Sb</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7D3E3E">
              <w:rPr>
                <w:snapToGrid w:val="0"/>
                <w:sz w:val="20"/>
                <w:lang w:val="en-US" w:eastAsia="da-DK"/>
              </w:rPr>
              <w:t xml:space="preserve">125 g/L </w:t>
            </w:r>
            <w:r w:rsidRPr="004C2CEE">
              <w:rPr>
                <w:snapToGrid w:val="0"/>
                <w:sz w:val="20"/>
                <w:lang w:val="en-US" w:eastAsia="da-DK"/>
              </w:rPr>
              <w:t>(20</w:t>
            </w:r>
            <w:r>
              <w:rPr>
                <w:snapToGrid w:val="0"/>
                <w:sz w:val="20"/>
                <w:lang w:val="en-US" w:eastAsia="da-DK"/>
              </w:rPr>
              <w:t xml:space="preserve"> </w:t>
            </w:r>
            <w:r w:rsidRPr="006942E8">
              <w:rPr>
                <w:snapToGrid w:val="0"/>
                <w:sz w:val="20"/>
                <w:vertAlign w:val="superscript"/>
                <w:lang w:val="en-US" w:eastAsia="da-DK"/>
              </w:rPr>
              <w:t>o</w:t>
            </w:r>
            <w:r>
              <w:rPr>
                <w:snapToGrid w:val="0"/>
                <w:sz w:val="20"/>
                <w:lang w:val="en-US" w:eastAsia="da-DK"/>
              </w:rPr>
              <w:t>C, measured)</w:t>
            </w:r>
          </w:p>
        </w:tc>
        <w:tc>
          <w:tcPr>
            <w:tcW w:w="2587" w:type="dxa"/>
            <w:shd w:val="clear" w:color="auto" w:fill="BFBFBF"/>
          </w:tcPr>
          <w:p w:rsidR="008D4D03" w:rsidRDefault="008D4D03"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2002b</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DEG</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sidRPr="00C207F1">
              <w:rPr>
                <w:snapToGrid w:val="0"/>
                <w:sz w:val="20"/>
                <w:lang w:val="en-US" w:eastAsia="da-DK"/>
              </w:rPr>
              <w:t>Miscible with water</w:t>
            </w:r>
          </w:p>
        </w:tc>
        <w:tc>
          <w:tcPr>
            <w:tcW w:w="2587" w:type="dxa"/>
            <w:shd w:val="clear" w:color="auto" w:fill="BFBFBF"/>
          </w:tcPr>
          <w:p w:rsidR="008D4D03" w:rsidRDefault="008D4D03"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2004b</w:t>
            </w:r>
          </w:p>
        </w:tc>
      </w:tr>
      <w:tr w:rsidR="008D4D03" w:rsidRPr="004B7EF4" w:rsidTr="008D4D03">
        <w:tc>
          <w:tcPr>
            <w:tcW w:w="1630" w:type="dxa"/>
            <w:vMerge/>
          </w:tcPr>
          <w:p w:rsidR="008D4D03" w:rsidRPr="004C2CEE" w:rsidRDefault="008D4D03" w:rsidP="00773BAB">
            <w:pPr>
              <w:pStyle w:val="Tabletext"/>
              <w:spacing w:before="60" w:after="60"/>
              <w:rPr>
                <w:lang w:val="de-DE"/>
              </w:rPr>
            </w:pPr>
          </w:p>
        </w:tc>
        <w:tc>
          <w:tcPr>
            <w:tcW w:w="2101" w:type="dxa"/>
            <w:shd w:val="clear" w:color="auto" w:fill="BFBFBF"/>
          </w:tcPr>
          <w:p w:rsidR="008D4D03" w:rsidRDefault="008D4D03" w:rsidP="004B0EFA">
            <w:pPr>
              <w:pStyle w:val="Tabletext"/>
              <w:jc w:val="center"/>
            </w:pPr>
            <w:r>
              <w:t>Eh</w:t>
            </w:r>
          </w:p>
        </w:tc>
        <w:tc>
          <w:tcPr>
            <w:tcW w:w="3572" w:type="dxa"/>
            <w:shd w:val="clear" w:color="auto" w:fill="BFBFBF"/>
          </w:tcPr>
          <w:p w:rsidR="008D4D03" w:rsidRPr="008E0991" w:rsidRDefault="008D4D03" w:rsidP="00773BAB">
            <w:pPr>
              <w:pStyle w:val="BodyText2"/>
              <w:tabs>
                <w:tab w:val="left" w:pos="12"/>
              </w:tabs>
              <w:spacing w:before="60" w:after="60"/>
              <w:ind w:left="12" w:hanging="12"/>
              <w:jc w:val="center"/>
              <w:rPr>
                <w:snapToGrid w:val="0"/>
                <w:sz w:val="20"/>
                <w:highlight w:val="cyan"/>
                <w:lang w:val="en-US" w:eastAsia="da-DK"/>
              </w:rPr>
            </w:pPr>
            <w:r>
              <w:rPr>
                <w:snapToGrid w:val="0"/>
                <w:sz w:val="20"/>
                <w:lang w:val="en-US" w:eastAsia="da-DK"/>
              </w:rPr>
              <w:t xml:space="preserve">400 - </w:t>
            </w:r>
            <w:r w:rsidRPr="007D3E3E">
              <w:rPr>
                <w:snapToGrid w:val="0"/>
                <w:sz w:val="20"/>
                <w:lang w:val="en-US" w:eastAsia="da-DK"/>
              </w:rPr>
              <w:t>1</w:t>
            </w:r>
            <w:r>
              <w:rPr>
                <w:snapToGrid w:val="0"/>
                <w:sz w:val="20"/>
                <w:lang w:val="en-US" w:eastAsia="da-DK"/>
              </w:rPr>
              <w:t>0</w:t>
            </w:r>
            <w:r w:rsidRPr="007D3E3E">
              <w:rPr>
                <w:snapToGrid w:val="0"/>
                <w:sz w:val="20"/>
                <w:lang w:val="en-US" w:eastAsia="da-DK"/>
              </w:rPr>
              <w:t>00 mg/L (</w:t>
            </w:r>
            <w:r w:rsidRPr="00724E1A">
              <w:rPr>
                <w:snapToGrid w:val="0"/>
                <w:sz w:val="20"/>
                <w:lang w:val="en-US" w:eastAsia="da-DK"/>
              </w:rPr>
              <w:t>20</w:t>
            </w:r>
            <w:r>
              <w:rPr>
                <w:snapToGrid w:val="0"/>
                <w:sz w:val="20"/>
                <w:lang w:val="en-US" w:eastAsia="da-DK"/>
              </w:rPr>
              <w:t xml:space="preserve"> </w:t>
            </w:r>
            <w:r w:rsidRPr="006942E8">
              <w:rPr>
                <w:snapToGrid w:val="0"/>
                <w:sz w:val="20"/>
                <w:vertAlign w:val="superscript"/>
                <w:lang w:val="en-US" w:eastAsia="da-DK"/>
              </w:rPr>
              <w:t>o</w:t>
            </w:r>
            <w:r>
              <w:rPr>
                <w:snapToGrid w:val="0"/>
                <w:sz w:val="20"/>
                <w:lang w:val="en-US" w:eastAsia="da-DK"/>
              </w:rPr>
              <w:t>C, measured</w:t>
            </w:r>
            <w:r w:rsidRPr="007D3E3E">
              <w:rPr>
                <w:snapToGrid w:val="0"/>
                <w:sz w:val="20"/>
                <w:lang w:val="en-US" w:eastAsia="da-DK"/>
              </w:rPr>
              <w:t xml:space="preserve">) </w:t>
            </w:r>
          </w:p>
        </w:tc>
        <w:tc>
          <w:tcPr>
            <w:tcW w:w="2587" w:type="dxa"/>
            <w:shd w:val="clear" w:color="auto" w:fill="BFBFBF"/>
          </w:tcPr>
          <w:p w:rsidR="008D4D03" w:rsidRDefault="008D4D03" w:rsidP="00773BAB">
            <w:pPr>
              <w:pStyle w:val="BodyText2"/>
              <w:tabs>
                <w:tab w:val="left" w:pos="612"/>
              </w:tabs>
              <w:spacing w:before="60" w:after="60"/>
              <w:ind w:left="1338" w:hanging="1338"/>
              <w:jc w:val="center"/>
              <w:rPr>
                <w:snapToGrid w:val="0"/>
                <w:sz w:val="20"/>
                <w:lang w:val="en-US" w:eastAsia="da-DK"/>
              </w:rPr>
            </w:pPr>
            <w:r w:rsidRPr="00974E54">
              <w:rPr>
                <w:snapToGrid w:val="0"/>
                <w:sz w:val="20"/>
                <w:lang w:val="en-US" w:eastAsia="da-DK"/>
              </w:rPr>
              <w:t>OECD, 1995</w:t>
            </w:r>
          </w:p>
        </w:tc>
      </w:tr>
      <w:tr w:rsidR="007C24F9" w:rsidRPr="004B7EF4" w:rsidTr="008D4D03">
        <w:tc>
          <w:tcPr>
            <w:tcW w:w="1630" w:type="dxa"/>
            <w:vMerge w:val="restart"/>
          </w:tcPr>
          <w:p w:rsidR="007C24F9" w:rsidRPr="001C339C" w:rsidRDefault="007C24F9" w:rsidP="00773BAB">
            <w:pPr>
              <w:pStyle w:val="Tabletext"/>
              <w:spacing w:before="60" w:after="60"/>
              <w:rPr>
                <w:lang w:val="fr-FR"/>
              </w:rPr>
            </w:pPr>
            <w:r w:rsidRPr="001C339C">
              <w:rPr>
                <w:lang w:val="fr-FR"/>
              </w:rPr>
              <w:t>Partition coefficient n-octanol/water (log K</w:t>
            </w:r>
            <w:r w:rsidRPr="001C339C">
              <w:rPr>
                <w:vertAlign w:val="subscript"/>
                <w:lang w:val="fr-FR"/>
              </w:rPr>
              <w:t>OW</w:t>
            </w:r>
            <w:r w:rsidRPr="001C339C">
              <w:rPr>
                <w:lang w:val="fr-FR"/>
              </w:rPr>
              <w:t>)</w:t>
            </w:r>
          </w:p>
        </w:tc>
        <w:tc>
          <w:tcPr>
            <w:tcW w:w="2101" w:type="dxa"/>
          </w:tcPr>
          <w:p w:rsidR="007C24F9" w:rsidRPr="004B7EF4" w:rsidRDefault="007C24F9" w:rsidP="004B0EFA">
            <w:pPr>
              <w:pStyle w:val="Tabletext"/>
              <w:jc w:val="center"/>
            </w:pPr>
            <w:r w:rsidRPr="004B7EF4">
              <w:t>Chloroformates</w:t>
            </w:r>
          </w:p>
        </w:tc>
        <w:tc>
          <w:tcPr>
            <w:tcW w:w="3572" w:type="dxa"/>
          </w:tcPr>
          <w:p w:rsidR="007C24F9" w:rsidRPr="004B7EF4" w:rsidRDefault="007C24F9" w:rsidP="000573B8">
            <w:pPr>
              <w:pStyle w:val="BodyText2"/>
              <w:tabs>
                <w:tab w:val="left" w:pos="12"/>
              </w:tabs>
              <w:spacing w:before="60" w:after="60"/>
              <w:ind w:left="12" w:hanging="12"/>
              <w:jc w:val="center"/>
              <w:rPr>
                <w:snapToGrid w:val="0"/>
                <w:sz w:val="20"/>
                <w:lang w:val="en-US" w:eastAsia="da-DK"/>
              </w:rPr>
            </w:pPr>
            <w:r>
              <w:rPr>
                <w:snapToGrid w:val="0"/>
                <w:sz w:val="20"/>
                <w:lang w:val="en-US" w:eastAsia="da-DK"/>
              </w:rPr>
              <w:t>Not Relevant</w:t>
            </w:r>
            <w:r w:rsidRPr="004B7EF4">
              <w:rPr>
                <w:snapToGrid w:val="0"/>
                <w:sz w:val="20"/>
                <w:lang w:val="en-US" w:eastAsia="da-DK"/>
              </w:rPr>
              <w:t>. (hydrolytically unstable)</w:t>
            </w:r>
          </w:p>
        </w:tc>
        <w:tc>
          <w:tcPr>
            <w:tcW w:w="2587" w:type="dxa"/>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Pr>
                <w:snapToGrid w:val="0"/>
                <w:sz w:val="20"/>
                <w:lang w:val="en-US" w:eastAsia="da-DK"/>
              </w:rPr>
              <w:t>see section 2.2.3</w:t>
            </w:r>
          </w:p>
        </w:tc>
      </w:tr>
      <w:tr w:rsidR="007C24F9" w:rsidRPr="004B7EF4" w:rsidTr="008D4D03">
        <w:tc>
          <w:tcPr>
            <w:tcW w:w="1630" w:type="dxa"/>
            <w:vMerge/>
            <w:shd w:val="clear" w:color="auto" w:fill="C0C0C0"/>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Me</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–0.74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2004a</w:t>
            </w:r>
          </w:p>
        </w:tc>
      </w:tr>
      <w:tr w:rsidR="007C24F9" w:rsidRPr="004B7EF4" w:rsidTr="008D4D03">
        <w:trPr>
          <w:trHeight w:val="390"/>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Et</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–0.31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2005</w:t>
            </w:r>
          </w:p>
        </w:tc>
      </w:tr>
      <w:tr w:rsidR="007C24F9" w:rsidRPr="004B7EF4" w:rsidTr="008D4D03">
        <w:trPr>
          <w:trHeight w:val="282"/>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Pr</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0.34 (measured)</w:t>
            </w:r>
          </w:p>
        </w:tc>
        <w:tc>
          <w:tcPr>
            <w:tcW w:w="2587" w:type="dxa"/>
            <w:shd w:val="clear" w:color="auto" w:fill="C0C0C0"/>
            <w:vAlign w:val="center"/>
          </w:tcPr>
          <w:p w:rsidR="007C24F9" w:rsidRPr="004B7EF4" w:rsidRDefault="007C24F9" w:rsidP="007F6F58">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E</w:t>
            </w:r>
            <w:r>
              <w:rPr>
                <w:snapToGrid w:val="0"/>
                <w:sz w:val="20"/>
                <w:lang w:val="en-US" w:eastAsia="da-DK"/>
              </w:rPr>
              <w:t>C</w:t>
            </w:r>
            <w:r w:rsidRPr="004B7EF4">
              <w:rPr>
                <w:snapToGrid w:val="0"/>
                <w:sz w:val="20"/>
                <w:lang w:val="en-US" w:eastAsia="da-DK"/>
              </w:rPr>
              <w:t>, 2008</w:t>
            </w:r>
          </w:p>
        </w:tc>
      </w:tr>
      <w:tr w:rsidR="007C24F9" w:rsidRPr="004B7EF4" w:rsidTr="008D4D03">
        <w:trPr>
          <w:trHeight w:val="282"/>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Ip</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0.05 (25 °C,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2000</w:t>
            </w:r>
          </w:p>
        </w:tc>
      </w:tr>
      <w:tr w:rsidR="007C24F9" w:rsidRPr="004B7EF4" w:rsidTr="008D4D03">
        <w:trPr>
          <w:trHeight w:val="250"/>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Sb</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0.61  (20 °C,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2002b</w:t>
            </w:r>
          </w:p>
        </w:tc>
      </w:tr>
      <w:tr w:rsidR="007C24F9" w:rsidRPr="004B7EF4" w:rsidTr="008D4D03">
        <w:trPr>
          <w:trHeight w:val="250"/>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DEG</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-1.98 / -1.47 (both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OECD, 2004b</w:t>
            </w:r>
          </w:p>
        </w:tc>
      </w:tr>
      <w:tr w:rsidR="007C24F9" w:rsidRPr="004B7EF4" w:rsidTr="008D4D03">
        <w:trPr>
          <w:trHeight w:val="246"/>
        </w:trPr>
        <w:tc>
          <w:tcPr>
            <w:tcW w:w="1630" w:type="dxa"/>
            <w:vMerge/>
          </w:tcPr>
          <w:p w:rsidR="007C24F9" w:rsidRPr="004B7EF4" w:rsidRDefault="007C24F9" w:rsidP="00773BAB">
            <w:pPr>
              <w:pStyle w:val="Tabletext"/>
              <w:spacing w:before="60" w:after="60"/>
            </w:pPr>
          </w:p>
        </w:tc>
        <w:tc>
          <w:tcPr>
            <w:tcW w:w="2101" w:type="dxa"/>
            <w:shd w:val="clear" w:color="auto" w:fill="C0C0C0"/>
            <w:vAlign w:val="center"/>
          </w:tcPr>
          <w:p w:rsidR="007C24F9" w:rsidRPr="004B7EF4" w:rsidRDefault="007C24F9" w:rsidP="004B0EFA">
            <w:pPr>
              <w:pStyle w:val="Tabletext"/>
              <w:jc w:val="center"/>
            </w:pPr>
            <w:r>
              <w:t>Eh</w:t>
            </w:r>
          </w:p>
        </w:tc>
        <w:tc>
          <w:tcPr>
            <w:tcW w:w="3572" w:type="dxa"/>
            <w:shd w:val="clear" w:color="auto" w:fill="C0C0C0"/>
            <w:vAlign w:val="center"/>
          </w:tcPr>
          <w:p w:rsidR="007C24F9" w:rsidRPr="004B7EF4" w:rsidRDefault="007C24F9" w:rsidP="00773BAB">
            <w:pPr>
              <w:pStyle w:val="BodyText2"/>
              <w:tabs>
                <w:tab w:val="left" w:pos="12"/>
              </w:tabs>
              <w:spacing w:before="60" w:after="60"/>
              <w:ind w:left="12" w:hanging="12"/>
              <w:jc w:val="center"/>
              <w:rPr>
                <w:snapToGrid w:val="0"/>
                <w:sz w:val="20"/>
                <w:lang w:val="en-US" w:eastAsia="da-DK"/>
              </w:rPr>
            </w:pPr>
            <w:r w:rsidRPr="004B7EF4">
              <w:rPr>
                <w:snapToGrid w:val="0"/>
                <w:sz w:val="20"/>
                <w:lang w:val="en-US" w:eastAsia="da-DK"/>
              </w:rPr>
              <w:t>2.97 (25 °C, measured)</w:t>
            </w:r>
          </w:p>
        </w:tc>
        <w:tc>
          <w:tcPr>
            <w:tcW w:w="2587" w:type="dxa"/>
            <w:shd w:val="clear" w:color="auto" w:fill="C0C0C0"/>
            <w:vAlign w:val="center"/>
          </w:tcPr>
          <w:p w:rsidR="007C24F9" w:rsidRPr="004B7EF4" w:rsidRDefault="007C24F9" w:rsidP="00773BAB">
            <w:pPr>
              <w:pStyle w:val="BodyText2"/>
              <w:tabs>
                <w:tab w:val="left" w:pos="612"/>
              </w:tabs>
              <w:spacing w:before="60" w:after="60"/>
              <w:ind w:left="1338" w:hanging="1338"/>
              <w:jc w:val="center"/>
              <w:rPr>
                <w:snapToGrid w:val="0"/>
                <w:sz w:val="20"/>
                <w:lang w:val="en-US" w:eastAsia="da-DK"/>
              </w:rPr>
            </w:pPr>
            <w:r w:rsidRPr="004B7EF4">
              <w:rPr>
                <w:snapToGrid w:val="0"/>
                <w:sz w:val="20"/>
                <w:lang w:val="en-US" w:eastAsia="da-DK"/>
              </w:rPr>
              <w:t>BASF AG, 1987</w:t>
            </w:r>
          </w:p>
        </w:tc>
      </w:tr>
    </w:tbl>
    <w:p w:rsidR="001D41E2" w:rsidRPr="004B7EF4" w:rsidRDefault="001D41E2" w:rsidP="008D4D03">
      <w:pPr>
        <w:pStyle w:val="Heading2"/>
        <w:numPr>
          <w:ilvl w:val="0"/>
          <w:numId w:val="0"/>
        </w:numPr>
        <w:tabs>
          <w:tab w:val="clear" w:pos="1440"/>
        </w:tabs>
      </w:pPr>
      <w:bookmarkStart w:id="14" w:name="_Toc264983246"/>
      <w:r w:rsidRPr="00CE7B69">
        <w:t>1.4</w:t>
      </w:r>
      <w:r w:rsidRPr="00CE7B69">
        <w:tab/>
        <w:t>Category/</w:t>
      </w:r>
      <w:r>
        <w:t>a</w:t>
      </w:r>
      <w:r w:rsidRPr="00CE7B69">
        <w:t xml:space="preserve">nalogue </w:t>
      </w:r>
      <w:r>
        <w:t>rationale</w:t>
      </w:r>
      <w:bookmarkEnd w:id="14"/>
      <w:r>
        <w:t xml:space="preserve">  </w:t>
      </w:r>
    </w:p>
    <w:p w:rsidR="001D41E2" w:rsidRPr="004B7EF4" w:rsidRDefault="001D41E2" w:rsidP="00F861EA">
      <w:pPr>
        <w:pStyle w:val="Text"/>
        <w:spacing w:before="0" w:line="240" w:lineRule="auto"/>
        <w:jc w:val="both"/>
        <w:rPr>
          <w:i/>
          <w:iCs/>
          <w:snapToGrid w:val="0"/>
        </w:rPr>
      </w:pPr>
      <w:r w:rsidRPr="004B7EF4">
        <w:t>The category consists of seven chloroformates: MeCF, EtCF, PrCF, IpCF, SbCF, ObCF and EhCF</w:t>
      </w:r>
      <w:r>
        <w:t xml:space="preserve"> which</w:t>
      </w:r>
      <w:r w:rsidRPr="004B7EF4">
        <w:t xml:space="preserve"> are grouped into a category based on similar</w:t>
      </w:r>
      <w:r>
        <w:t xml:space="preserve"> </w:t>
      </w:r>
      <w:r w:rsidRPr="004B7EF4">
        <w:t>structure</w:t>
      </w:r>
      <w:r>
        <w:t xml:space="preserve"> (i.e., the chloroformate group)</w:t>
      </w:r>
      <w:r w:rsidRPr="004B7EF4">
        <w:t>,</w:t>
      </w:r>
      <w:r>
        <w:t xml:space="preserve"> high</w:t>
      </w:r>
      <w:r w:rsidRPr="004B7EF4">
        <w:t xml:space="preserve"> reactivity</w:t>
      </w:r>
      <w:r>
        <w:t xml:space="preserve"> of the chloroformate </w:t>
      </w:r>
      <w:proofErr w:type="gramStart"/>
      <w:r>
        <w:t>group</w:t>
      </w:r>
      <w:r w:rsidRPr="004B7EF4">
        <w:t>,</w:t>
      </w:r>
      <w:proofErr w:type="gramEnd"/>
      <w:r>
        <w:t xml:space="preserve"> and </w:t>
      </w:r>
      <w:r w:rsidRPr="004B7EF4">
        <w:t>toxicological and</w:t>
      </w:r>
      <w:r w:rsidRPr="004B7EF4">
        <w:rPr>
          <w:lang w:eastAsia="de-DE"/>
        </w:rPr>
        <w:t xml:space="preserve"> ecotoxicological </w:t>
      </w:r>
      <w:r>
        <w:rPr>
          <w:lang w:eastAsia="de-DE"/>
        </w:rPr>
        <w:t>effects</w:t>
      </w:r>
      <w:r w:rsidRPr="004B7EF4">
        <w:rPr>
          <w:lang w:eastAsia="de-DE"/>
        </w:rPr>
        <w:t>.</w:t>
      </w:r>
      <w:r>
        <w:rPr>
          <w:lang w:eastAsia="de-DE"/>
        </w:rPr>
        <w:t xml:space="preserve"> The justification for the category is based not only on a similar structure (specifically the </w:t>
      </w:r>
      <w:r w:rsidRPr="004B7EF4">
        <w:rPr>
          <w:lang w:eastAsia="de-DE"/>
        </w:rPr>
        <w:t>-O(C=O</w:t>
      </w:r>
      <w:proofErr w:type="gramStart"/>
      <w:r w:rsidRPr="004B7EF4">
        <w:rPr>
          <w:lang w:eastAsia="de-DE"/>
        </w:rPr>
        <w:t>)Cl</w:t>
      </w:r>
      <w:proofErr w:type="gramEnd"/>
      <w:r w:rsidRPr="004B7EF4">
        <w:rPr>
          <w:lang w:eastAsia="de-DE"/>
        </w:rPr>
        <w:t xml:space="preserve"> </w:t>
      </w:r>
      <w:r>
        <w:rPr>
          <w:lang w:eastAsia="de-DE"/>
        </w:rPr>
        <w:t>portion of the molecule) but also a similar mechanism of action which results in similar human health effects (i.e., severe irritation at the point of contact) and environmental effects.  The chloroformate group on the molecule drives the observed irritation rather than the alkyl side chain.</w:t>
      </w:r>
    </w:p>
    <w:p w:rsidR="001D41E2" w:rsidRPr="001D41E2" w:rsidRDefault="001D41E2" w:rsidP="00CE7B69">
      <w:pPr>
        <w:autoSpaceDE w:val="0"/>
        <w:autoSpaceDN w:val="0"/>
        <w:adjustRightInd w:val="0"/>
        <w:spacing w:before="120"/>
        <w:jc w:val="both"/>
        <w:rPr>
          <w:lang w:val="pt-BR" w:eastAsia="de-DE"/>
        </w:rPr>
      </w:pPr>
      <w:r w:rsidRPr="004B7EF4">
        <w:t xml:space="preserve">The chloroformate </w:t>
      </w:r>
      <w:r>
        <w:t>group</w:t>
      </w:r>
      <w:r w:rsidRPr="004B7EF4">
        <w:t xml:space="preserve"> (i.e., -O(C=O</w:t>
      </w:r>
      <w:proofErr w:type="gramStart"/>
      <w:r w:rsidRPr="004B7EF4">
        <w:t>)Cl</w:t>
      </w:r>
      <w:proofErr w:type="gramEnd"/>
      <w:r w:rsidRPr="004B7EF4">
        <w:t xml:space="preserve">) is the most active functional group and determines many aspects of the behavior of the category members.  </w:t>
      </w:r>
      <w:r w:rsidRPr="004B7EF4">
        <w:rPr>
          <w:snapToGrid w:val="0"/>
        </w:rPr>
        <w:t xml:space="preserve">Hydrolysis is the primary reaction in aqueous systems and has been shown to occur very quickly </w:t>
      </w:r>
      <w:r w:rsidRPr="004B7EF4">
        <w:t>(</w:t>
      </w:r>
      <w:r w:rsidRPr="00242670">
        <w:t>half-life</w:t>
      </w:r>
      <w:r w:rsidRPr="004B7EF4">
        <w:t xml:space="preserve"> ≤ 30 min)</w:t>
      </w:r>
      <w:r w:rsidRPr="004B7EF4">
        <w:rPr>
          <w:snapToGrid w:val="0"/>
        </w:rPr>
        <w:t xml:space="preserve">. </w:t>
      </w:r>
      <w:r w:rsidRPr="004B7EF4">
        <w:rPr>
          <w:lang w:eastAsia="de-DE"/>
        </w:rPr>
        <w:t xml:space="preserve">All category members hydrolyze in the presence of water </w:t>
      </w:r>
      <w:r>
        <w:rPr>
          <w:lang w:eastAsia="de-DE"/>
        </w:rPr>
        <w:t xml:space="preserve">or moisture </w:t>
      </w:r>
      <w:r w:rsidRPr="004B7EF4">
        <w:rPr>
          <w:lang w:eastAsia="de-DE"/>
        </w:rPr>
        <w:t>to form hydrochloric acid (HCl), carbon dioxide (CO</w:t>
      </w:r>
      <w:r w:rsidRPr="004B7EF4">
        <w:rPr>
          <w:rFonts w:ascii="(Asiatische Schriftart verwende" w:hAnsi="(Asiatische Schriftart verwende" w:cs="(Asiatische Schriftart verwende"/>
          <w:vertAlign w:val="subscript"/>
          <w:lang w:eastAsia="de-DE"/>
        </w:rPr>
        <w:t>2</w:t>
      </w:r>
      <w:r w:rsidRPr="004B7EF4">
        <w:rPr>
          <w:lang w:eastAsia="de-DE"/>
        </w:rPr>
        <w:t>) and the corresponding alcohol</w:t>
      </w:r>
      <w:r>
        <w:rPr>
          <w:lang w:eastAsia="de-DE"/>
        </w:rPr>
        <w:t xml:space="preserve"> (see above) according to the following</w:t>
      </w:r>
      <w:r w:rsidR="007D3E3E" w:rsidRPr="007D3E3E">
        <w:rPr>
          <w:lang w:val="pt-BR" w:eastAsia="de-DE"/>
        </w:rPr>
        <w:t xml:space="preserve"> reaction:</w:t>
      </w:r>
    </w:p>
    <w:p w:rsidR="001D41E2" w:rsidRPr="00F761CE" w:rsidRDefault="001D41E2" w:rsidP="008D4D03">
      <w:pPr>
        <w:autoSpaceDE w:val="0"/>
        <w:autoSpaceDN w:val="0"/>
        <w:adjustRightInd w:val="0"/>
        <w:spacing w:before="240" w:after="240"/>
        <w:jc w:val="center"/>
        <w:rPr>
          <w:vertAlign w:val="subscript"/>
          <w:lang w:val="pt-PT" w:eastAsia="de-DE"/>
        </w:rPr>
      </w:pPr>
      <w:proofErr w:type="gramStart"/>
      <w:r w:rsidRPr="00F761CE">
        <w:rPr>
          <w:lang w:val="pt-PT" w:eastAsia="de-DE"/>
        </w:rPr>
        <w:t>R-O(C=O</w:t>
      </w:r>
      <w:proofErr w:type="gramEnd"/>
      <w:r w:rsidRPr="00F761CE">
        <w:rPr>
          <w:lang w:val="pt-PT" w:eastAsia="de-DE"/>
        </w:rPr>
        <w:t>)Cl + H</w:t>
      </w:r>
      <w:r w:rsidRPr="00F761CE">
        <w:rPr>
          <w:vertAlign w:val="subscript"/>
          <w:lang w:val="pt-PT" w:eastAsia="de-DE"/>
        </w:rPr>
        <w:t>2</w:t>
      </w:r>
      <w:r w:rsidRPr="00F761CE">
        <w:rPr>
          <w:lang w:val="pt-PT" w:eastAsia="de-DE"/>
        </w:rPr>
        <w:t xml:space="preserve">O </w:t>
      </w:r>
      <w:r w:rsidRPr="004B7EF4">
        <w:rPr>
          <w:lang w:eastAsia="de-DE"/>
        </w:rPr>
        <w:sym w:font="Symbol" w:char="F0AE"/>
      </w:r>
      <w:r w:rsidRPr="00F761CE">
        <w:rPr>
          <w:lang w:val="pt-PT" w:eastAsia="de-DE"/>
        </w:rPr>
        <w:t xml:space="preserve"> R-OH + HCl + CO</w:t>
      </w:r>
      <w:r w:rsidRPr="00F761CE">
        <w:rPr>
          <w:vertAlign w:val="subscript"/>
          <w:lang w:val="pt-PT" w:eastAsia="de-DE"/>
        </w:rPr>
        <w:t>2</w:t>
      </w:r>
    </w:p>
    <w:p w:rsidR="001D41E2" w:rsidRDefault="001D41E2" w:rsidP="004E16AE">
      <w:pPr>
        <w:pStyle w:val="BodyText"/>
        <w:rPr>
          <w:b/>
          <w:bCs/>
        </w:rPr>
      </w:pPr>
      <w:r>
        <w:rPr>
          <w:lang w:eastAsia="de-DE"/>
        </w:rPr>
        <w:t xml:space="preserve">For human health, the chloroformates react and/or hydrolyze at the portal of entry resulting in localized injury.  </w:t>
      </w:r>
      <w:r>
        <w:rPr>
          <w:snapToGrid w:val="0"/>
        </w:rPr>
        <w:t>S</w:t>
      </w:r>
      <w:r w:rsidRPr="004B7EF4">
        <w:rPr>
          <w:snapToGrid w:val="0"/>
        </w:rPr>
        <w:t xml:space="preserve">ystemic absorption is expected </w:t>
      </w:r>
      <w:r>
        <w:rPr>
          <w:snapToGrid w:val="0"/>
        </w:rPr>
        <w:t>to be low</w:t>
      </w:r>
      <w:r w:rsidRPr="004B7EF4">
        <w:rPr>
          <w:snapToGrid w:val="0"/>
        </w:rPr>
        <w:t xml:space="preserve">. </w:t>
      </w:r>
      <w:r w:rsidR="007D3E3E" w:rsidRPr="007D3E3E">
        <w:t>However, data for HCl and the corresponding alcohols are available to address potential systemic toxicity.  Available toxicological data for the sponsored substances, supplemented by data for the hydrolysis products, support the grouping of these chemicals into a category.</w:t>
      </w:r>
      <w:r w:rsidRPr="004B7EF4" w:rsidDel="00C9294A">
        <w:rPr>
          <w:sz w:val="28"/>
          <w:szCs w:val="28"/>
          <w:lang w:val="en-US"/>
        </w:rPr>
        <w:t xml:space="preserve"> </w:t>
      </w:r>
      <w:r>
        <w:t xml:space="preserve">When appropriate, read-across or data for the corresponding alcohol and HCl are used to address physico-chemical, environmental fate and aquatic toxicity endpoints, and the reproductive toxicity endpoint for human health.  </w:t>
      </w:r>
      <w:r w:rsidRPr="004E16AE">
        <w:t>Except for propanol, all hydrolysis products have been previously assessed in the OECD HPV Programme (</w:t>
      </w:r>
      <w:hyperlink r:id="rId49" w:history="1">
        <w:r w:rsidRPr="004E16AE">
          <w:rPr>
            <w:rStyle w:val="Hyperlink"/>
            <w:sz w:val="24"/>
            <w:szCs w:val="24"/>
          </w:rPr>
          <w:t>http://webnet.oecd.org/hpv/ui/Search.aspx</w:t>
        </w:r>
      </w:hyperlink>
      <w:r w:rsidRPr="004E16AE">
        <w:t xml:space="preserve">). Diethylene glycol is a member of the Ethylene Glycol category. These documents are available for review at </w:t>
      </w:r>
      <w:hyperlink r:id="rId50" w:history="1">
        <w:r w:rsidRPr="004E16AE">
          <w:rPr>
            <w:rStyle w:val="Hyperlink"/>
            <w:sz w:val="24"/>
            <w:szCs w:val="24"/>
          </w:rPr>
          <w:t>http://webnet.oecd.org/hpv/UI/SIDS_Details.aspx?Key=ac0359d3-c5c1-402b-9c47-14f61efd98e0&amp;idx=0</w:t>
        </w:r>
      </w:hyperlink>
      <w:r w:rsidR="00BB0749" w:rsidRPr="00BB0749">
        <w:fldChar w:fldCharType="begin"/>
      </w:r>
      <w:r w:rsidR="00B56A20">
        <w:instrText xml:space="preserve"> http://www.chem.unep.ch/irptc/sids/OECDSIDS/7647010.pdf </w:instrText>
      </w:r>
      <w:r w:rsidR="00BB0749" w:rsidRPr="00BB0749">
        <w:fldChar w:fldCharType="separate"/>
      </w:r>
      <w:r w:rsidRPr="004E16AE">
        <w:rPr>
          <w:rStyle w:val="Hyperlink"/>
          <w:sz w:val="24"/>
          <w:szCs w:val="24"/>
          <w:lang w:val="en-US"/>
        </w:rPr>
        <w:t>http://www.chem.unep.ch/irptc/sids/OECDSIDS/64175.pdf</w:t>
      </w:r>
      <w:r w:rsidR="00BB0749">
        <w:rPr>
          <w:rStyle w:val="Hyperlink"/>
          <w:sz w:val="24"/>
          <w:szCs w:val="24"/>
          <w:lang w:val="en-US"/>
        </w:rPr>
        <w:fldChar w:fldCharType="end"/>
      </w:r>
      <w:r w:rsidRPr="004E16AE">
        <w:t>. 1-Propanol was extensively evaluated under the EU 2</w:t>
      </w:r>
      <w:r w:rsidRPr="004E16AE">
        <w:rPr>
          <w:vertAlign w:val="superscript"/>
        </w:rPr>
        <w:t>nd</w:t>
      </w:r>
      <w:r w:rsidRPr="004E16AE">
        <w:t xml:space="preserve"> priority list of existing substances. The Risk Assessment Report is available at </w:t>
      </w:r>
      <w:hyperlink r:id="rId51" w:history="1">
        <w:r w:rsidRPr="004E16AE">
          <w:rPr>
            <w:rStyle w:val="Hyperlink"/>
            <w:sz w:val="24"/>
            <w:szCs w:val="24"/>
            <w:lang w:val="en-US"/>
          </w:rPr>
          <w:t>http://ecb.jrc.ec.europa.eu/esis/</w:t>
        </w:r>
      </w:hyperlink>
      <w:r w:rsidRPr="004E16AE">
        <w:t>.</w:t>
      </w:r>
      <w:r w:rsidRPr="007F7617">
        <w:rPr>
          <w:b/>
          <w:bCs/>
        </w:rPr>
        <w:t xml:space="preserve">  </w:t>
      </w:r>
    </w:p>
    <w:p w:rsidR="00B35ACD" w:rsidRDefault="00B35ACD" w:rsidP="004E16AE">
      <w:pPr>
        <w:pStyle w:val="BodyText"/>
        <w:rPr>
          <w:b/>
          <w:bCs/>
        </w:rPr>
      </w:pPr>
    </w:p>
    <w:p w:rsidR="00B35ACD" w:rsidRPr="00B35ACD" w:rsidRDefault="008D4D03" w:rsidP="008D4D03">
      <w:pPr>
        <w:pStyle w:val="BodyText"/>
        <w:spacing w:before="360" w:after="90"/>
        <w:rPr>
          <w:b/>
          <w:szCs w:val="22"/>
        </w:rPr>
      </w:pPr>
      <w:r>
        <w:rPr>
          <w:b/>
          <w:szCs w:val="22"/>
        </w:rPr>
        <w:t xml:space="preserve">Table 4     </w:t>
      </w:r>
      <w:r w:rsidR="007D3E3E" w:rsidRPr="007D3E3E">
        <w:rPr>
          <w:b/>
          <w:szCs w:val="22"/>
        </w:rPr>
        <w:t xml:space="preserve"> Read-Across Used for Human Health Endpoints for the Chloroformates Category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131"/>
        <w:gridCol w:w="1206"/>
        <w:gridCol w:w="815"/>
        <w:gridCol w:w="1087"/>
        <w:gridCol w:w="1178"/>
        <w:gridCol w:w="1449"/>
        <w:gridCol w:w="1449"/>
        <w:gridCol w:w="1540"/>
      </w:tblGrid>
      <w:tr w:rsidR="00685752" w:rsidRPr="00B715B3" w:rsidTr="008D4D03">
        <w:trPr>
          <w:trHeight w:val="779"/>
        </w:trPr>
        <w:tc>
          <w:tcPr>
            <w:tcW w:w="1124"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ind w:left="95"/>
              <w:jc w:val="center"/>
              <w:rPr>
                <w:b/>
                <w:snapToGrid w:val="0"/>
                <w:sz w:val="20"/>
              </w:rPr>
            </w:pPr>
            <w:r w:rsidRPr="008D4D03">
              <w:rPr>
                <w:b/>
                <w:snapToGrid w:val="0"/>
                <w:sz w:val="20"/>
              </w:rPr>
              <w:t>Substance</w:t>
            </w:r>
          </w:p>
        </w:tc>
        <w:tc>
          <w:tcPr>
            <w:tcW w:w="1198"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CAS No.</w:t>
            </w:r>
          </w:p>
        </w:tc>
        <w:tc>
          <w:tcPr>
            <w:tcW w:w="81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Acute</w:t>
            </w:r>
          </w:p>
        </w:tc>
        <w:tc>
          <w:tcPr>
            <w:tcW w:w="108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Repeated-Dose Toxicity</w:t>
            </w:r>
          </w:p>
        </w:tc>
        <w:tc>
          <w:tcPr>
            <w:tcW w:w="117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Gene Mutations</w:t>
            </w:r>
          </w:p>
        </w:tc>
        <w:tc>
          <w:tcPr>
            <w:tcW w:w="144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Chromosomal Aberrations</w:t>
            </w:r>
          </w:p>
        </w:tc>
        <w:tc>
          <w:tcPr>
            <w:tcW w:w="144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Effects on Fertility</w:t>
            </w:r>
            <w:r w:rsidR="00685752" w:rsidRPr="008D4D03">
              <w:rPr>
                <w:b/>
                <w:snapToGrid w:val="0"/>
                <w:sz w:val="20"/>
              </w:rPr>
              <w:t xml:space="preserve"> or Reproduction</w:t>
            </w:r>
          </w:p>
        </w:tc>
        <w:tc>
          <w:tcPr>
            <w:tcW w:w="1530" w:type="dxa"/>
            <w:tcBorders>
              <w:top w:val="single" w:sz="12" w:space="0" w:color="auto"/>
              <w:bottom w:val="single" w:sz="12" w:space="0" w:color="auto"/>
            </w:tcBorders>
            <w:vAlign w:val="center"/>
          </w:tcPr>
          <w:p w:rsidR="00B35ACD" w:rsidRPr="008D4D03" w:rsidRDefault="00B35ACD" w:rsidP="008D4D03">
            <w:pPr>
              <w:pStyle w:val="BodyText"/>
              <w:spacing w:before="100" w:beforeAutospacing="1" w:after="100" w:afterAutospacing="1"/>
              <w:jc w:val="center"/>
              <w:rPr>
                <w:b/>
                <w:snapToGrid w:val="0"/>
                <w:sz w:val="20"/>
              </w:rPr>
            </w:pPr>
            <w:r w:rsidRPr="008D4D03">
              <w:rPr>
                <w:b/>
                <w:snapToGrid w:val="0"/>
                <w:sz w:val="20"/>
              </w:rPr>
              <w:t>Developmental Toxicity</w:t>
            </w:r>
          </w:p>
        </w:tc>
      </w:tr>
      <w:tr w:rsidR="00685752" w:rsidRPr="00B715B3" w:rsidTr="008D4D03">
        <w:trPr>
          <w:trHeight w:val="127"/>
        </w:trPr>
        <w:tc>
          <w:tcPr>
            <w:tcW w:w="1124" w:type="dxa"/>
            <w:tcBorders>
              <w:top w:val="single" w:sz="12" w:space="0" w:color="auto"/>
            </w:tcBorders>
            <w:vAlign w:val="center"/>
          </w:tcPr>
          <w:p w:rsidR="00B35ACD" w:rsidRPr="008D4D03" w:rsidRDefault="00B072E8" w:rsidP="008D4D03">
            <w:pPr>
              <w:pStyle w:val="BodyText"/>
              <w:spacing w:before="40" w:after="40"/>
              <w:ind w:left="95"/>
              <w:rPr>
                <w:b/>
                <w:snapToGrid w:val="0"/>
                <w:sz w:val="20"/>
              </w:rPr>
            </w:pPr>
            <w:r w:rsidRPr="008D4D03">
              <w:rPr>
                <w:b/>
                <w:snapToGrid w:val="0"/>
                <w:sz w:val="20"/>
              </w:rPr>
              <w:t>MeCF</w:t>
            </w:r>
          </w:p>
        </w:tc>
        <w:tc>
          <w:tcPr>
            <w:tcW w:w="1198" w:type="dxa"/>
            <w:tcBorders>
              <w:top w:val="single" w:sz="12" w:space="0" w:color="auto"/>
            </w:tcBorders>
            <w:vAlign w:val="center"/>
          </w:tcPr>
          <w:p w:rsidR="00B35ACD" w:rsidRPr="008D4D03" w:rsidRDefault="00B072E8" w:rsidP="008D4D03">
            <w:pPr>
              <w:pStyle w:val="BodyText"/>
              <w:spacing w:before="40" w:after="40"/>
              <w:jc w:val="center"/>
              <w:rPr>
                <w:b/>
                <w:snapToGrid w:val="0"/>
                <w:sz w:val="20"/>
              </w:rPr>
            </w:pPr>
            <w:r w:rsidRPr="008D4D03">
              <w:rPr>
                <w:b/>
                <w:snapToGrid w:val="0"/>
                <w:sz w:val="20"/>
              </w:rPr>
              <w:t>79-22-1</w:t>
            </w:r>
          </w:p>
        </w:tc>
        <w:tc>
          <w:tcPr>
            <w:tcW w:w="810" w:type="dxa"/>
            <w:tcBorders>
              <w:top w:val="single" w:sz="12" w:space="0" w:color="auto"/>
            </w:tcBorders>
            <w:vAlign w:val="center"/>
          </w:tcPr>
          <w:p w:rsidR="00B35ACD"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tcBorders>
              <w:top w:val="single" w:sz="12" w:space="0" w:color="auto"/>
            </w:tcBorders>
            <w:vAlign w:val="center"/>
          </w:tcPr>
          <w:p w:rsidR="00B35ACD" w:rsidRPr="008D4D03" w:rsidRDefault="007977BA" w:rsidP="008D4D03">
            <w:pPr>
              <w:pStyle w:val="BodyText"/>
              <w:spacing w:before="40" w:after="40"/>
              <w:jc w:val="center"/>
              <w:rPr>
                <w:b/>
                <w:caps/>
                <w:snapToGrid w:val="0"/>
                <w:sz w:val="20"/>
              </w:rPr>
            </w:pPr>
            <w:r w:rsidRPr="008D4D03">
              <w:rPr>
                <w:b/>
                <w:caps/>
                <w:snapToGrid w:val="0"/>
                <w:sz w:val="20"/>
              </w:rPr>
              <w:t>X</w:t>
            </w:r>
          </w:p>
        </w:tc>
        <w:tc>
          <w:tcPr>
            <w:tcW w:w="1170" w:type="dxa"/>
            <w:tcBorders>
              <w:top w:val="single" w:sz="12" w:space="0" w:color="auto"/>
            </w:tcBorders>
            <w:vAlign w:val="center"/>
          </w:tcPr>
          <w:p w:rsidR="00B35ACD"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tcBorders>
              <w:top w:val="single" w:sz="12" w:space="0" w:color="auto"/>
            </w:tcBorders>
            <w:vAlign w:val="center"/>
          </w:tcPr>
          <w:p w:rsidR="00B35ACD"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tcBorders>
              <w:top w:val="single" w:sz="12" w:space="0" w:color="auto"/>
            </w:tcBorders>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tcBorders>
              <w:top w:val="single" w:sz="12" w:space="0" w:color="auto"/>
            </w:tcBorders>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35ACD" w:rsidRPr="008D4D03" w:rsidRDefault="00B072E8" w:rsidP="008D4D03">
            <w:pPr>
              <w:pStyle w:val="BodyText"/>
              <w:spacing w:before="40" w:after="40"/>
              <w:ind w:left="95"/>
              <w:rPr>
                <w:b/>
                <w:snapToGrid w:val="0"/>
                <w:sz w:val="20"/>
              </w:rPr>
            </w:pPr>
            <w:r w:rsidRPr="008D4D03">
              <w:rPr>
                <w:b/>
                <w:snapToGrid w:val="0"/>
                <w:sz w:val="20"/>
              </w:rPr>
              <w:t>Me</w:t>
            </w:r>
          </w:p>
        </w:tc>
        <w:tc>
          <w:tcPr>
            <w:tcW w:w="1198" w:type="dxa"/>
            <w:vAlign w:val="center"/>
          </w:tcPr>
          <w:p w:rsidR="00B35ACD" w:rsidRPr="008D4D03" w:rsidRDefault="00B072E8" w:rsidP="008D4D03">
            <w:pPr>
              <w:pStyle w:val="BodyText"/>
              <w:spacing w:before="40" w:after="40"/>
              <w:jc w:val="center"/>
              <w:rPr>
                <w:b/>
                <w:snapToGrid w:val="0"/>
                <w:sz w:val="20"/>
              </w:rPr>
            </w:pPr>
            <w:r w:rsidRPr="008D4D03">
              <w:rPr>
                <w:b/>
                <w:snapToGrid w:val="0"/>
                <w:sz w:val="20"/>
              </w:rPr>
              <w:t>67-56-1</w:t>
            </w:r>
          </w:p>
        </w:tc>
        <w:tc>
          <w:tcPr>
            <w:tcW w:w="810" w:type="dxa"/>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35ACD" w:rsidRPr="008D4D03" w:rsidRDefault="007977BA" w:rsidP="008D4D03">
            <w:pPr>
              <w:pStyle w:val="BodyText"/>
              <w:spacing w:before="40" w:after="40"/>
              <w:jc w:val="center"/>
              <w:rPr>
                <w:b/>
                <w:caps/>
                <w:snapToGrid w:val="0"/>
                <w:sz w:val="20"/>
              </w:rPr>
            </w:pPr>
            <w:r w:rsidRPr="008D4D03">
              <w:rPr>
                <w:b/>
                <w:caps/>
                <w:snapToGrid w:val="0"/>
                <w:sz w:val="20"/>
              </w:rPr>
              <w:t>x</w:t>
            </w:r>
          </w:p>
        </w:tc>
        <w:tc>
          <w:tcPr>
            <w:tcW w:w="1170" w:type="dxa"/>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35ACD"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EtCF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541-41-3</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 xml:space="preserve">X </w:t>
            </w:r>
            <w:r w:rsidR="007D3E3E" w:rsidRPr="008D4D03">
              <w:rPr>
                <w:sz w:val="20"/>
              </w:rPr>
              <w:t>[Screening]</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Et</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64-17-5</w:t>
            </w:r>
          </w:p>
        </w:tc>
        <w:tc>
          <w:tcPr>
            <w:tcW w:w="81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PrCF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109-61-5</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Pr</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71-23-8</w:t>
            </w:r>
          </w:p>
        </w:tc>
        <w:tc>
          <w:tcPr>
            <w:tcW w:w="810" w:type="dxa"/>
            <w:vAlign w:val="center"/>
          </w:tcPr>
          <w:p w:rsidR="009D5214" w:rsidRPr="008D4D03" w:rsidRDefault="00685752" w:rsidP="008D4D03">
            <w:pPr>
              <w:spacing w:before="40" w:after="40"/>
              <w:jc w:val="center"/>
              <w:rPr>
                <w:sz w:val="20"/>
                <w:szCs w:val="20"/>
              </w:rPr>
            </w:pPr>
            <w:r w:rsidRPr="008D4D03">
              <w:rPr>
                <w:sz w:val="20"/>
                <w:szCs w:val="20"/>
              </w:rPr>
              <w:t>-</w:t>
            </w:r>
          </w:p>
        </w:tc>
        <w:tc>
          <w:tcPr>
            <w:tcW w:w="1080" w:type="dxa"/>
            <w:vAlign w:val="center"/>
          </w:tcPr>
          <w:p w:rsidR="009D5214" w:rsidRPr="008D4D03" w:rsidRDefault="007D3E3E" w:rsidP="008D4D03">
            <w:pPr>
              <w:spacing w:before="40" w:after="40"/>
              <w:jc w:val="center"/>
              <w:rPr>
                <w:sz w:val="20"/>
                <w:szCs w:val="20"/>
              </w:rPr>
            </w:pPr>
            <w:r w:rsidRPr="008D4D03">
              <w:rPr>
                <w:sz w:val="20"/>
                <w:szCs w:val="20"/>
              </w:rPr>
              <w:t>X</w:t>
            </w:r>
          </w:p>
          <w:p w:rsidR="009D5214" w:rsidRPr="008D4D03" w:rsidRDefault="007D3E3E" w:rsidP="008D4D03">
            <w:pPr>
              <w:spacing w:before="40" w:after="40"/>
              <w:jc w:val="center"/>
              <w:rPr>
                <w:sz w:val="20"/>
                <w:szCs w:val="20"/>
              </w:rPr>
            </w:pPr>
            <w:r w:rsidRPr="008D4D03">
              <w:rPr>
                <w:sz w:val="20"/>
                <w:szCs w:val="20"/>
              </w:rPr>
              <w:t>[9 days]</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IpCF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108-23-6</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2664EA" w:rsidP="008D4D03">
            <w:pPr>
              <w:pStyle w:val="BodyText"/>
              <w:spacing w:before="40" w:after="40"/>
              <w:jc w:val="center"/>
              <w:rPr>
                <w:b/>
                <w:caps/>
                <w:snapToGrid w:val="0"/>
                <w:sz w:val="20"/>
              </w:rPr>
            </w:pPr>
            <w:r w:rsidRPr="008D4D03">
              <w:rPr>
                <w:b/>
                <w:caps/>
                <w:snapToGrid w:val="0"/>
                <w:sz w:val="20"/>
              </w:rPr>
              <w:t>x</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Ip</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67-63-0</w:t>
            </w:r>
          </w:p>
        </w:tc>
        <w:tc>
          <w:tcPr>
            <w:tcW w:w="81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SbCF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17462-58-7</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Sb</w:t>
            </w:r>
          </w:p>
        </w:tc>
        <w:tc>
          <w:tcPr>
            <w:tcW w:w="1198" w:type="dxa"/>
            <w:vAlign w:val="center"/>
          </w:tcPr>
          <w:p w:rsidR="00B072E8" w:rsidRPr="008D4D03" w:rsidRDefault="007348F3" w:rsidP="008D4D03">
            <w:pPr>
              <w:pStyle w:val="BodyText"/>
              <w:spacing w:before="40" w:after="40"/>
              <w:jc w:val="center"/>
              <w:rPr>
                <w:b/>
                <w:snapToGrid w:val="0"/>
                <w:sz w:val="20"/>
              </w:rPr>
            </w:pPr>
            <w:r w:rsidRPr="008D4D03">
              <w:rPr>
                <w:b/>
                <w:snapToGrid w:val="0"/>
                <w:sz w:val="20"/>
              </w:rPr>
              <w:t>78-92-2</w:t>
            </w:r>
          </w:p>
        </w:tc>
        <w:tc>
          <w:tcPr>
            <w:tcW w:w="81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ObCF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106-75-2</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7348F3" w:rsidP="008D4D03">
            <w:pPr>
              <w:pStyle w:val="BodyText"/>
              <w:spacing w:before="40" w:after="40"/>
              <w:ind w:left="95"/>
              <w:rPr>
                <w:b/>
                <w:snapToGrid w:val="0"/>
                <w:sz w:val="20"/>
              </w:rPr>
            </w:pPr>
            <w:r w:rsidRPr="008D4D03">
              <w:rPr>
                <w:b/>
                <w:snapToGrid w:val="0"/>
                <w:sz w:val="20"/>
              </w:rPr>
              <w:t>DEG</w:t>
            </w:r>
          </w:p>
        </w:tc>
        <w:tc>
          <w:tcPr>
            <w:tcW w:w="1198" w:type="dxa"/>
            <w:vAlign w:val="center"/>
          </w:tcPr>
          <w:p w:rsidR="00B072E8" w:rsidRPr="008D4D03" w:rsidRDefault="007348F3" w:rsidP="008D4D03">
            <w:pPr>
              <w:pStyle w:val="BodyText"/>
              <w:spacing w:before="40" w:after="40"/>
              <w:jc w:val="center"/>
              <w:rPr>
                <w:b/>
                <w:snapToGrid w:val="0"/>
                <w:sz w:val="20"/>
              </w:rPr>
            </w:pPr>
            <w:r w:rsidRPr="008D4D03">
              <w:rPr>
                <w:b/>
                <w:snapToGrid w:val="0"/>
                <w:sz w:val="20"/>
              </w:rPr>
              <w:t>111-46-6</w:t>
            </w:r>
          </w:p>
        </w:tc>
        <w:tc>
          <w:tcPr>
            <w:tcW w:w="81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B072E8" w:rsidRPr="008D4D03" w:rsidRDefault="00B072E8" w:rsidP="008D4D03">
            <w:pPr>
              <w:pStyle w:val="BodyText"/>
              <w:spacing w:before="40" w:after="40"/>
              <w:ind w:left="95"/>
              <w:rPr>
                <w:b/>
                <w:snapToGrid w:val="0"/>
                <w:sz w:val="20"/>
              </w:rPr>
            </w:pPr>
            <w:r w:rsidRPr="008D4D03">
              <w:rPr>
                <w:b/>
                <w:snapToGrid w:val="0"/>
                <w:sz w:val="20"/>
              </w:rPr>
              <w:t>EhCF</w:t>
            </w:r>
          </w:p>
        </w:tc>
        <w:tc>
          <w:tcPr>
            <w:tcW w:w="1198" w:type="dxa"/>
            <w:vAlign w:val="center"/>
          </w:tcPr>
          <w:p w:rsidR="00B072E8" w:rsidRPr="008D4D03" w:rsidRDefault="00B072E8" w:rsidP="008D4D03">
            <w:pPr>
              <w:pStyle w:val="BodyText"/>
              <w:spacing w:before="40" w:after="40"/>
              <w:jc w:val="center"/>
              <w:rPr>
                <w:b/>
                <w:snapToGrid w:val="0"/>
                <w:sz w:val="20"/>
              </w:rPr>
            </w:pPr>
            <w:r w:rsidRPr="008D4D03">
              <w:rPr>
                <w:b/>
                <w:snapToGrid w:val="0"/>
                <w:sz w:val="20"/>
              </w:rPr>
              <w:t>24468-13-1</w:t>
            </w:r>
          </w:p>
        </w:tc>
        <w:tc>
          <w:tcPr>
            <w:tcW w:w="810" w:type="dxa"/>
            <w:vAlign w:val="center"/>
          </w:tcPr>
          <w:p w:rsidR="00B072E8" w:rsidRPr="008D4D03" w:rsidRDefault="003465DC" w:rsidP="008D4D03">
            <w:pPr>
              <w:pStyle w:val="BodyText"/>
              <w:spacing w:before="40" w:after="40"/>
              <w:jc w:val="center"/>
              <w:rPr>
                <w:b/>
                <w:caps/>
                <w:snapToGrid w:val="0"/>
                <w:sz w:val="20"/>
              </w:rPr>
            </w:pPr>
            <w:r w:rsidRPr="008D4D03">
              <w:rPr>
                <w:b/>
                <w:caps/>
                <w:snapToGrid w:val="0"/>
                <w:sz w:val="20"/>
              </w:rPr>
              <w:t>X</w:t>
            </w:r>
          </w:p>
        </w:tc>
        <w:tc>
          <w:tcPr>
            <w:tcW w:w="108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17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o</w:t>
            </w:r>
          </w:p>
        </w:tc>
        <w:tc>
          <w:tcPr>
            <w:tcW w:w="144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O</w:t>
            </w:r>
          </w:p>
        </w:tc>
      </w:tr>
      <w:tr w:rsidR="00685752" w:rsidRPr="00B715B3" w:rsidTr="008D4D03">
        <w:trPr>
          <w:trHeight w:val="127"/>
        </w:trPr>
        <w:tc>
          <w:tcPr>
            <w:tcW w:w="1124" w:type="dxa"/>
            <w:vAlign w:val="center"/>
          </w:tcPr>
          <w:p w:rsidR="00B072E8" w:rsidRPr="008D4D03" w:rsidRDefault="007348F3" w:rsidP="008D4D03">
            <w:pPr>
              <w:pStyle w:val="BodyText"/>
              <w:spacing w:before="40" w:after="40"/>
              <w:ind w:left="95"/>
              <w:rPr>
                <w:b/>
                <w:snapToGrid w:val="0"/>
                <w:sz w:val="20"/>
              </w:rPr>
            </w:pPr>
            <w:r w:rsidRPr="008D4D03">
              <w:rPr>
                <w:b/>
                <w:snapToGrid w:val="0"/>
                <w:sz w:val="20"/>
              </w:rPr>
              <w:t>Eh</w:t>
            </w:r>
          </w:p>
        </w:tc>
        <w:tc>
          <w:tcPr>
            <w:tcW w:w="1198" w:type="dxa"/>
            <w:vAlign w:val="center"/>
          </w:tcPr>
          <w:p w:rsidR="00B072E8" w:rsidRPr="008D4D03" w:rsidRDefault="007348F3" w:rsidP="008D4D03">
            <w:pPr>
              <w:pStyle w:val="BodyText"/>
              <w:spacing w:before="40" w:after="40"/>
              <w:jc w:val="center"/>
              <w:rPr>
                <w:b/>
                <w:snapToGrid w:val="0"/>
                <w:sz w:val="20"/>
              </w:rPr>
            </w:pPr>
            <w:r w:rsidRPr="008D4D03">
              <w:rPr>
                <w:b/>
                <w:snapToGrid w:val="0"/>
                <w:sz w:val="20"/>
              </w:rPr>
              <w:t>104-76-7</w:t>
            </w:r>
          </w:p>
        </w:tc>
        <w:tc>
          <w:tcPr>
            <w:tcW w:w="81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17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B072E8"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9D5214" w:rsidRPr="008D4D03" w:rsidRDefault="00685752" w:rsidP="008D4D03">
            <w:pPr>
              <w:spacing w:before="40" w:after="40"/>
              <w:jc w:val="center"/>
              <w:rPr>
                <w:snapToGrid w:val="0"/>
                <w:sz w:val="20"/>
                <w:szCs w:val="20"/>
              </w:rPr>
            </w:pPr>
            <w:r w:rsidRPr="008D4D03">
              <w:rPr>
                <w:snapToGrid w:val="0"/>
                <w:sz w:val="20"/>
                <w:szCs w:val="20"/>
              </w:rPr>
              <w:t>X</w:t>
            </w:r>
          </w:p>
          <w:p w:rsidR="009D5214" w:rsidRPr="008D4D03" w:rsidRDefault="007D3E3E" w:rsidP="008D4D03">
            <w:pPr>
              <w:spacing w:before="40" w:after="40"/>
              <w:jc w:val="center"/>
              <w:rPr>
                <w:sz w:val="20"/>
                <w:szCs w:val="20"/>
              </w:rPr>
            </w:pPr>
            <w:r w:rsidRPr="008D4D03">
              <w:rPr>
                <w:snapToGrid w:val="0"/>
                <w:sz w:val="20"/>
                <w:szCs w:val="20"/>
              </w:rPr>
              <w:t>[repro organs]</w:t>
            </w:r>
          </w:p>
        </w:tc>
        <w:tc>
          <w:tcPr>
            <w:tcW w:w="1530" w:type="dxa"/>
            <w:vAlign w:val="center"/>
          </w:tcPr>
          <w:p w:rsidR="00B072E8" w:rsidRPr="008D4D03" w:rsidRDefault="00685752" w:rsidP="008D4D03">
            <w:pPr>
              <w:pStyle w:val="BodyText"/>
              <w:spacing w:before="40" w:after="40"/>
              <w:jc w:val="center"/>
              <w:rPr>
                <w:b/>
                <w:caps/>
                <w:snapToGrid w:val="0"/>
                <w:sz w:val="20"/>
              </w:rPr>
            </w:pPr>
            <w:r w:rsidRPr="008D4D03">
              <w:rPr>
                <w:b/>
                <w:caps/>
                <w:snapToGrid w:val="0"/>
                <w:sz w:val="20"/>
              </w:rPr>
              <w:t>X</w:t>
            </w:r>
          </w:p>
        </w:tc>
      </w:tr>
      <w:tr w:rsidR="00685752" w:rsidRPr="00B715B3" w:rsidTr="008D4D03">
        <w:trPr>
          <w:trHeight w:val="127"/>
        </w:trPr>
        <w:tc>
          <w:tcPr>
            <w:tcW w:w="1124" w:type="dxa"/>
            <w:vAlign w:val="center"/>
          </w:tcPr>
          <w:p w:rsidR="007348F3" w:rsidRPr="008D4D03" w:rsidRDefault="007348F3" w:rsidP="008D4D03">
            <w:pPr>
              <w:pStyle w:val="BodyText"/>
              <w:spacing w:before="40" w:after="40"/>
              <w:ind w:left="95"/>
              <w:rPr>
                <w:b/>
                <w:snapToGrid w:val="0"/>
                <w:sz w:val="20"/>
              </w:rPr>
            </w:pPr>
            <w:r w:rsidRPr="008D4D03">
              <w:rPr>
                <w:b/>
                <w:snapToGrid w:val="0"/>
                <w:sz w:val="20"/>
              </w:rPr>
              <w:t>HCl</w:t>
            </w:r>
          </w:p>
        </w:tc>
        <w:tc>
          <w:tcPr>
            <w:tcW w:w="1198" w:type="dxa"/>
            <w:vAlign w:val="center"/>
          </w:tcPr>
          <w:p w:rsidR="007348F3" w:rsidRPr="008D4D03" w:rsidRDefault="007348F3" w:rsidP="008D4D03">
            <w:pPr>
              <w:pStyle w:val="BodyText"/>
              <w:spacing w:before="40" w:after="40"/>
              <w:jc w:val="center"/>
              <w:rPr>
                <w:b/>
                <w:snapToGrid w:val="0"/>
                <w:sz w:val="20"/>
              </w:rPr>
            </w:pPr>
            <w:r w:rsidRPr="008D4D03">
              <w:rPr>
                <w:b/>
                <w:snapToGrid w:val="0"/>
                <w:sz w:val="20"/>
              </w:rPr>
              <w:t>7647-01-0</w:t>
            </w:r>
          </w:p>
        </w:tc>
        <w:tc>
          <w:tcPr>
            <w:tcW w:w="810" w:type="dxa"/>
            <w:vAlign w:val="center"/>
          </w:tcPr>
          <w:p w:rsidR="007348F3" w:rsidRPr="008D4D03" w:rsidRDefault="00685752" w:rsidP="008D4D03">
            <w:pPr>
              <w:pStyle w:val="BodyText"/>
              <w:spacing w:before="40" w:after="40"/>
              <w:jc w:val="center"/>
              <w:rPr>
                <w:b/>
                <w:caps/>
                <w:snapToGrid w:val="0"/>
                <w:sz w:val="20"/>
              </w:rPr>
            </w:pPr>
            <w:r w:rsidRPr="008D4D03">
              <w:rPr>
                <w:b/>
                <w:caps/>
                <w:snapToGrid w:val="0"/>
                <w:sz w:val="20"/>
              </w:rPr>
              <w:t>-</w:t>
            </w:r>
          </w:p>
        </w:tc>
        <w:tc>
          <w:tcPr>
            <w:tcW w:w="1080" w:type="dxa"/>
            <w:vAlign w:val="center"/>
          </w:tcPr>
          <w:p w:rsidR="007348F3" w:rsidRPr="008D4D03" w:rsidRDefault="007977BA" w:rsidP="008D4D03">
            <w:pPr>
              <w:pStyle w:val="BodyText"/>
              <w:spacing w:before="40" w:after="40"/>
              <w:jc w:val="center"/>
              <w:rPr>
                <w:b/>
                <w:caps/>
                <w:snapToGrid w:val="0"/>
                <w:sz w:val="20"/>
              </w:rPr>
            </w:pPr>
            <w:r w:rsidRPr="008D4D03">
              <w:rPr>
                <w:b/>
                <w:caps/>
                <w:snapToGrid w:val="0"/>
                <w:sz w:val="20"/>
              </w:rPr>
              <w:t>X</w:t>
            </w:r>
          </w:p>
        </w:tc>
        <w:tc>
          <w:tcPr>
            <w:tcW w:w="1170" w:type="dxa"/>
            <w:vAlign w:val="center"/>
          </w:tcPr>
          <w:p w:rsidR="007348F3" w:rsidRPr="008D4D03" w:rsidRDefault="00685752" w:rsidP="008D4D03">
            <w:pPr>
              <w:pStyle w:val="BodyText"/>
              <w:spacing w:before="40" w:after="40"/>
              <w:jc w:val="center"/>
              <w:rPr>
                <w:b/>
                <w:caps/>
                <w:snapToGrid w:val="0"/>
                <w:sz w:val="20"/>
              </w:rPr>
            </w:pPr>
            <w:r w:rsidRPr="008D4D03">
              <w:rPr>
                <w:b/>
                <w:caps/>
                <w:snapToGrid w:val="0"/>
                <w:sz w:val="20"/>
              </w:rPr>
              <w:t>-</w:t>
            </w:r>
          </w:p>
        </w:tc>
        <w:tc>
          <w:tcPr>
            <w:tcW w:w="1440" w:type="dxa"/>
            <w:vAlign w:val="center"/>
          </w:tcPr>
          <w:p w:rsidR="007348F3" w:rsidRPr="008D4D03" w:rsidRDefault="007977BA" w:rsidP="008D4D03">
            <w:pPr>
              <w:pStyle w:val="BodyText"/>
              <w:spacing w:before="40" w:after="40"/>
              <w:jc w:val="center"/>
              <w:rPr>
                <w:b/>
                <w:caps/>
                <w:snapToGrid w:val="0"/>
                <w:sz w:val="20"/>
              </w:rPr>
            </w:pPr>
            <w:r w:rsidRPr="008D4D03">
              <w:rPr>
                <w:b/>
                <w:caps/>
                <w:snapToGrid w:val="0"/>
                <w:sz w:val="20"/>
              </w:rPr>
              <w:t>x</w:t>
            </w:r>
          </w:p>
        </w:tc>
        <w:tc>
          <w:tcPr>
            <w:tcW w:w="1440" w:type="dxa"/>
            <w:vAlign w:val="center"/>
          </w:tcPr>
          <w:p w:rsidR="007348F3" w:rsidRPr="008D4D03" w:rsidRDefault="00685752" w:rsidP="008D4D03">
            <w:pPr>
              <w:pStyle w:val="BodyText"/>
              <w:spacing w:before="40" w:after="40"/>
              <w:jc w:val="center"/>
              <w:rPr>
                <w:b/>
                <w:caps/>
                <w:snapToGrid w:val="0"/>
                <w:sz w:val="20"/>
              </w:rPr>
            </w:pPr>
            <w:r w:rsidRPr="008D4D03">
              <w:rPr>
                <w:b/>
                <w:caps/>
                <w:snapToGrid w:val="0"/>
                <w:sz w:val="20"/>
              </w:rPr>
              <w:t>-</w:t>
            </w:r>
          </w:p>
        </w:tc>
        <w:tc>
          <w:tcPr>
            <w:tcW w:w="1530" w:type="dxa"/>
            <w:vAlign w:val="center"/>
          </w:tcPr>
          <w:p w:rsidR="007348F3" w:rsidRPr="008D4D03" w:rsidRDefault="00685752" w:rsidP="008D4D03">
            <w:pPr>
              <w:pStyle w:val="BodyText"/>
              <w:spacing w:before="40" w:after="40"/>
              <w:jc w:val="center"/>
              <w:rPr>
                <w:b/>
                <w:caps/>
                <w:snapToGrid w:val="0"/>
                <w:sz w:val="20"/>
              </w:rPr>
            </w:pPr>
            <w:r w:rsidRPr="008D4D03">
              <w:rPr>
                <w:b/>
                <w:caps/>
                <w:snapToGrid w:val="0"/>
                <w:sz w:val="20"/>
              </w:rPr>
              <w:t>-</w:t>
            </w:r>
          </w:p>
        </w:tc>
      </w:tr>
    </w:tbl>
    <w:p w:rsidR="00B35ACD" w:rsidRPr="008D4D03" w:rsidRDefault="00B35ACD" w:rsidP="008D4D03">
      <w:pPr>
        <w:pStyle w:val="BodyText"/>
        <w:spacing w:before="90" w:after="0"/>
        <w:ind w:left="567"/>
        <w:rPr>
          <w:snapToGrid w:val="0"/>
          <w:sz w:val="20"/>
        </w:rPr>
      </w:pPr>
      <w:r>
        <w:rPr>
          <w:lang w:val="en-US"/>
        </w:rPr>
        <w:t xml:space="preserve"> </w:t>
      </w:r>
      <w:r w:rsidR="007348F3" w:rsidRPr="008D4D03">
        <w:rPr>
          <w:b/>
          <w:snapToGrid w:val="0"/>
          <w:sz w:val="20"/>
        </w:rPr>
        <w:t>X</w:t>
      </w:r>
      <w:r w:rsidRPr="008D4D03">
        <w:rPr>
          <w:snapToGrid w:val="0"/>
          <w:sz w:val="20"/>
        </w:rPr>
        <w:t xml:space="preserve"> = data available; </w:t>
      </w:r>
      <w:r w:rsidRPr="008D4D03">
        <w:rPr>
          <w:b/>
          <w:snapToGrid w:val="0"/>
          <w:sz w:val="20"/>
        </w:rPr>
        <w:t>O</w:t>
      </w:r>
      <w:r w:rsidRPr="008D4D03">
        <w:rPr>
          <w:snapToGrid w:val="0"/>
          <w:sz w:val="20"/>
        </w:rPr>
        <w:t xml:space="preserve"> = read across</w:t>
      </w:r>
      <w:r w:rsidR="00B072E8" w:rsidRPr="008D4D03">
        <w:rPr>
          <w:snapToGrid w:val="0"/>
          <w:sz w:val="20"/>
        </w:rPr>
        <w:t xml:space="preserve"> from hydrolysis products to parent compounds</w:t>
      </w:r>
      <w:r w:rsidR="007348F3" w:rsidRPr="008D4D03">
        <w:rPr>
          <w:snapToGrid w:val="0"/>
          <w:sz w:val="20"/>
        </w:rPr>
        <w:t xml:space="preserve"> [HCl data may be applicable to all parent compounds</w:t>
      </w:r>
      <w:r w:rsidR="00B072E8" w:rsidRPr="008D4D03">
        <w:rPr>
          <w:snapToGrid w:val="0"/>
          <w:sz w:val="20"/>
        </w:rPr>
        <w:t>]</w:t>
      </w:r>
      <w:r w:rsidR="007977BA" w:rsidRPr="008D4D03">
        <w:rPr>
          <w:snapToGrid w:val="0"/>
          <w:sz w:val="20"/>
        </w:rPr>
        <w:t xml:space="preserve"> - = data not needed for read across</w:t>
      </w:r>
    </w:p>
    <w:p w:rsidR="00B35ACD" w:rsidRDefault="00B35ACD" w:rsidP="008D4D03">
      <w:pPr>
        <w:pStyle w:val="BodyText"/>
        <w:spacing w:before="360" w:after="90"/>
        <w:rPr>
          <w:b/>
          <w:szCs w:val="22"/>
        </w:rPr>
      </w:pPr>
      <w:r w:rsidRPr="00B35ACD">
        <w:rPr>
          <w:b/>
          <w:szCs w:val="22"/>
        </w:rPr>
        <w:t>Table 5</w:t>
      </w:r>
      <w:r w:rsidR="008D4D03">
        <w:rPr>
          <w:b/>
          <w:szCs w:val="22"/>
        </w:rPr>
        <w:t xml:space="preserve">  </w:t>
      </w:r>
      <w:r w:rsidR="007D3E3E" w:rsidRPr="007D3E3E">
        <w:rPr>
          <w:b/>
          <w:szCs w:val="22"/>
        </w:rPr>
        <w:t xml:space="preserve">  Read-Across used for Ecotoxicity Endpoints for the Chloroformates Category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313"/>
        <w:gridCol w:w="1819"/>
        <w:gridCol w:w="2101"/>
        <w:gridCol w:w="2416"/>
        <w:gridCol w:w="2206"/>
      </w:tblGrid>
      <w:tr w:rsidR="00B072E8" w:rsidRPr="00B715B3" w:rsidTr="008D4D03">
        <w:trPr>
          <w:trHeight w:val="779"/>
          <w:tblHeader/>
        </w:trPr>
        <w:tc>
          <w:tcPr>
            <w:tcW w:w="1124" w:type="dxa"/>
            <w:tcBorders>
              <w:top w:val="single" w:sz="12" w:space="0" w:color="auto"/>
              <w:bottom w:val="single" w:sz="12" w:space="0" w:color="auto"/>
            </w:tcBorders>
            <w:vAlign w:val="center"/>
          </w:tcPr>
          <w:p w:rsidR="00B072E8" w:rsidRDefault="00B072E8" w:rsidP="001130ED">
            <w:pPr>
              <w:pStyle w:val="BodyText"/>
              <w:spacing w:beforeLines="40" w:afterLines="40"/>
              <w:jc w:val="center"/>
              <w:rPr>
                <w:b/>
                <w:snapToGrid w:val="0"/>
                <w:sz w:val="20"/>
              </w:rPr>
            </w:pPr>
            <w:r w:rsidRPr="009243CB">
              <w:rPr>
                <w:b/>
                <w:snapToGrid w:val="0"/>
                <w:sz w:val="20"/>
              </w:rPr>
              <w:t>Substance</w:t>
            </w:r>
          </w:p>
        </w:tc>
        <w:tc>
          <w:tcPr>
            <w:tcW w:w="1558" w:type="dxa"/>
            <w:tcBorders>
              <w:top w:val="single" w:sz="12" w:space="0" w:color="auto"/>
              <w:bottom w:val="single" w:sz="12" w:space="0" w:color="auto"/>
            </w:tcBorders>
            <w:vAlign w:val="center"/>
          </w:tcPr>
          <w:p w:rsidR="00B072E8" w:rsidRDefault="00B072E8" w:rsidP="001130ED">
            <w:pPr>
              <w:pStyle w:val="BodyText"/>
              <w:spacing w:beforeLines="40" w:afterLines="40"/>
              <w:jc w:val="center"/>
              <w:rPr>
                <w:b/>
                <w:snapToGrid w:val="0"/>
                <w:sz w:val="20"/>
              </w:rPr>
            </w:pPr>
            <w:r w:rsidRPr="009243CB">
              <w:rPr>
                <w:b/>
                <w:snapToGrid w:val="0"/>
                <w:sz w:val="20"/>
              </w:rPr>
              <w:t>CAS No.</w:t>
            </w:r>
          </w:p>
        </w:tc>
        <w:tc>
          <w:tcPr>
            <w:tcW w:w="1800" w:type="dxa"/>
            <w:tcBorders>
              <w:top w:val="single" w:sz="12" w:space="0" w:color="auto"/>
              <w:bottom w:val="single" w:sz="12" w:space="0" w:color="auto"/>
            </w:tcBorders>
            <w:vAlign w:val="center"/>
          </w:tcPr>
          <w:p w:rsidR="00B072E8" w:rsidRDefault="00B072E8" w:rsidP="001130ED">
            <w:pPr>
              <w:pStyle w:val="BodyText"/>
              <w:spacing w:beforeLines="40" w:afterLines="40"/>
              <w:jc w:val="center"/>
              <w:rPr>
                <w:b/>
                <w:snapToGrid w:val="0"/>
                <w:sz w:val="20"/>
              </w:rPr>
            </w:pPr>
            <w:r>
              <w:rPr>
                <w:b/>
                <w:snapToGrid w:val="0"/>
                <w:sz w:val="20"/>
              </w:rPr>
              <w:t>Acute Toxicity to Fish</w:t>
            </w:r>
          </w:p>
        </w:tc>
        <w:tc>
          <w:tcPr>
            <w:tcW w:w="2070" w:type="dxa"/>
            <w:tcBorders>
              <w:top w:val="single" w:sz="12" w:space="0" w:color="auto"/>
              <w:bottom w:val="single" w:sz="12" w:space="0" w:color="auto"/>
            </w:tcBorders>
            <w:vAlign w:val="center"/>
          </w:tcPr>
          <w:p w:rsidR="00741252" w:rsidRDefault="00B072E8" w:rsidP="001130ED">
            <w:pPr>
              <w:pStyle w:val="BodyText"/>
              <w:spacing w:beforeLines="40" w:afterLines="40"/>
              <w:jc w:val="center"/>
              <w:rPr>
                <w:b/>
                <w:snapToGrid w:val="0"/>
                <w:sz w:val="20"/>
              </w:rPr>
            </w:pPr>
            <w:r>
              <w:rPr>
                <w:b/>
                <w:snapToGrid w:val="0"/>
                <w:sz w:val="20"/>
              </w:rPr>
              <w:t xml:space="preserve">Acute </w:t>
            </w:r>
            <w:r w:rsidR="00741252">
              <w:rPr>
                <w:b/>
                <w:snapToGrid w:val="0"/>
                <w:sz w:val="20"/>
              </w:rPr>
              <w:t xml:space="preserve">[Chronic] </w:t>
            </w:r>
            <w:r>
              <w:rPr>
                <w:b/>
                <w:snapToGrid w:val="0"/>
                <w:sz w:val="20"/>
              </w:rPr>
              <w:t>Toxicity to Aquatic Invertebrates</w:t>
            </w:r>
            <w:r w:rsidR="00741252">
              <w:rPr>
                <w:b/>
                <w:snapToGrid w:val="0"/>
                <w:sz w:val="20"/>
              </w:rPr>
              <w:t xml:space="preserve"> </w:t>
            </w:r>
          </w:p>
        </w:tc>
        <w:tc>
          <w:tcPr>
            <w:tcW w:w="1890" w:type="dxa"/>
            <w:tcBorders>
              <w:top w:val="single" w:sz="12" w:space="0" w:color="auto"/>
              <w:bottom w:val="single" w:sz="12" w:space="0" w:color="auto"/>
            </w:tcBorders>
            <w:vAlign w:val="center"/>
          </w:tcPr>
          <w:p w:rsidR="00B072E8" w:rsidRDefault="00B072E8" w:rsidP="001130ED">
            <w:pPr>
              <w:pStyle w:val="BodyText"/>
              <w:spacing w:beforeLines="40" w:afterLines="40"/>
              <w:jc w:val="center"/>
              <w:rPr>
                <w:b/>
                <w:snapToGrid w:val="0"/>
                <w:sz w:val="20"/>
              </w:rPr>
            </w:pPr>
            <w:r>
              <w:rPr>
                <w:b/>
                <w:snapToGrid w:val="0"/>
                <w:sz w:val="20"/>
              </w:rPr>
              <w:t>Toxicity to Aquatic Plants</w:t>
            </w:r>
          </w:p>
        </w:tc>
      </w:tr>
      <w:tr w:rsidR="007348F3" w:rsidRPr="00B715B3" w:rsidTr="008D4D03">
        <w:trPr>
          <w:trHeight w:val="127"/>
        </w:trPr>
        <w:tc>
          <w:tcPr>
            <w:tcW w:w="1124" w:type="dxa"/>
            <w:tcBorders>
              <w:top w:val="single" w:sz="12" w:space="0" w:color="auto"/>
            </w:tcBorders>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MeCF</w:t>
            </w:r>
          </w:p>
        </w:tc>
        <w:tc>
          <w:tcPr>
            <w:tcW w:w="1558" w:type="dxa"/>
            <w:tcBorders>
              <w:top w:val="single" w:sz="12" w:space="0" w:color="auto"/>
            </w:tcBorders>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79-22-1</w:t>
            </w:r>
          </w:p>
        </w:tc>
        <w:tc>
          <w:tcPr>
            <w:tcW w:w="1800" w:type="dxa"/>
            <w:tcBorders>
              <w:top w:val="single" w:sz="12" w:space="0" w:color="auto"/>
            </w:tcBorders>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tcBorders>
              <w:top w:val="single" w:sz="12" w:space="0" w:color="auto"/>
            </w:tcBorders>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O</w:t>
            </w:r>
          </w:p>
        </w:tc>
        <w:tc>
          <w:tcPr>
            <w:tcW w:w="1890" w:type="dxa"/>
            <w:tcBorders>
              <w:top w:val="single" w:sz="12" w:space="0" w:color="auto"/>
            </w:tcBorders>
            <w:vAlign w:val="center"/>
          </w:tcPr>
          <w:p w:rsidR="007348F3" w:rsidRPr="00C520EB"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Me</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67-56-1</w:t>
            </w:r>
          </w:p>
        </w:tc>
        <w:tc>
          <w:tcPr>
            <w:tcW w:w="1800" w:type="dxa"/>
            <w:vAlign w:val="center"/>
          </w:tcPr>
          <w:p w:rsidR="007348F3" w:rsidRPr="002363A7"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1890" w:type="dxa"/>
            <w:vAlign w:val="center"/>
          </w:tcPr>
          <w:p w:rsidR="007348F3" w:rsidRPr="00F71015"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EtCF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541-41-3</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o</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O</w:t>
            </w:r>
          </w:p>
        </w:tc>
        <w:tc>
          <w:tcPr>
            <w:tcW w:w="1890" w:type="dxa"/>
            <w:vAlign w:val="center"/>
          </w:tcPr>
          <w:p w:rsidR="007348F3" w:rsidRPr="00F71015"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Et</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64-17-5</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9D5214" w:rsidRDefault="007D3E3E" w:rsidP="001130ED">
            <w:pPr>
              <w:spacing w:beforeLines="40" w:afterLines="40"/>
              <w:jc w:val="center"/>
              <w:rPr>
                <w:snapToGrid w:val="0"/>
                <w:sz w:val="18"/>
                <w:szCs w:val="18"/>
              </w:rPr>
            </w:pPr>
            <w:r w:rsidRPr="007D3E3E">
              <w:rPr>
                <w:snapToGrid w:val="0"/>
                <w:sz w:val="18"/>
                <w:szCs w:val="18"/>
              </w:rPr>
              <w:t xml:space="preserve">X </w:t>
            </w:r>
          </w:p>
          <w:p w:rsidR="009D5214" w:rsidRDefault="007D3E3E" w:rsidP="001130ED">
            <w:pPr>
              <w:spacing w:beforeLines="40" w:afterLines="40"/>
              <w:jc w:val="center"/>
              <w:rPr>
                <w:snapToGrid w:val="0"/>
                <w:sz w:val="18"/>
                <w:szCs w:val="18"/>
              </w:rPr>
            </w:pPr>
            <w:r w:rsidRPr="007D3E3E">
              <w:rPr>
                <w:snapToGrid w:val="0"/>
                <w:sz w:val="18"/>
                <w:szCs w:val="18"/>
              </w:rPr>
              <w:t>[X = 9 days]</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PrCF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109-61-5</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O</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Pr</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71-23-8</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X</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IpCF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108-23-6</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O</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Ip</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67-63-0</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9D5214" w:rsidRDefault="007D3E3E" w:rsidP="001130ED">
            <w:pPr>
              <w:spacing w:beforeLines="40" w:afterLines="40"/>
              <w:jc w:val="center"/>
              <w:rPr>
                <w:snapToGrid w:val="0"/>
                <w:sz w:val="18"/>
                <w:szCs w:val="18"/>
              </w:rPr>
            </w:pPr>
            <w:r w:rsidRPr="007D3E3E">
              <w:rPr>
                <w:snapToGrid w:val="0"/>
                <w:sz w:val="18"/>
                <w:szCs w:val="18"/>
              </w:rPr>
              <w:t xml:space="preserve">X </w:t>
            </w:r>
          </w:p>
          <w:p w:rsidR="009D5214" w:rsidRDefault="007D3E3E" w:rsidP="001130ED">
            <w:pPr>
              <w:spacing w:beforeLines="40" w:afterLines="40"/>
              <w:jc w:val="center"/>
              <w:rPr>
                <w:snapToGrid w:val="0"/>
                <w:sz w:val="18"/>
                <w:szCs w:val="18"/>
              </w:rPr>
            </w:pPr>
            <w:r w:rsidRPr="007D3E3E">
              <w:rPr>
                <w:snapToGrid w:val="0"/>
                <w:sz w:val="18"/>
                <w:szCs w:val="18"/>
              </w:rPr>
              <w:t>[X = 12 days]</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SbCF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17462-58-7</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O</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Sb</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78-92-2</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Pr="00741252" w:rsidRDefault="00741252" w:rsidP="001130ED">
            <w:pPr>
              <w:pStyle w:val="BodyText"/>
              <w:spacing w:beforeLines="40" w:afterLines="40"/>
              <w:jc w:val="center"/>
              <w:rPr>
                <w:b/>
                <w:caps/>
                <w:snapToGrid w:val="0"/>
                <w:sz w:val="18"/>
                <w:szCs w:val="18"/>
              </w:rPr>
            </w:pPr>
            <w:r w:rsidRPr="00741252">
              <w:rPr>
                <w:b/>
                <w:caps/>
                <w:snapToGrid w:val="0"/>
                <w:sz w:val="18"/>
                <w:szCs w:val="18"/>
              </w:rPr>
              <w:t>X</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ObCF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106-75-2</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O</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DEG</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111-46-6</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EhCF</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24468-13-1</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O</w:t>
            </w:r>
          </w:p>
        </w:tc>
        <w:tc>
          <w:tcPr>
            <w:tcW w:w="1890" w:type="dxa"/>
            <w:vAlign w:val="center"/>
          </w:tcPr>
          <w:p w:rsidR="007348F3" w:rsidRPr="00701F0F" w:rsidRDefault="00741252" w:rsidP="001130ED">
            <w:pPr>
              <w:pStyle w:val="BodyText"/>
              <w:spacing w:beforeLines="40" w:afterLines="40"/>
              <w:jc w:val="center"/>
              <w:rPr>
                <w:b/>
                <w:caps/>
                <w:snapToGrid w:val="0"/>
                <w:sz w:val="18"/>
                <w:szCs w:val="18"/>
              </w:rPr>
            </w:pPr>
            <w:r>
              <w:rPr>
                <w:b/>
                <w:caps/>
                <w:snapToGrid w:val="0"/>
                <w:sz w:val="18"/>
                <w:szCs w:val="18"/>
              </w:rPr>
              <w:t>O</w:t>
            </w:r>
          </w:p>
        </w:tc>
      </w:tr>
      <w:tr w:rsidR="007348F3" w:rsidRPr="00B715B3" w:rsidTr="008D4D03">
        <w:trPr>
          <w:trHeight w:val="127"/>
        </w:trPr>
        <w:tc>
          <w:tcPr>
            <w:tcW w:w="1124" w:type="dxa"/>
            <w:vAlign w:val="center"/>
          </w:tcPr>
          <w:p w:rsidR="007348F3" w:rsidRPr="009F5F02" w:rsidRDefault="007348F3" w:rsidP="001130ED">
            <w:pPr>
              <w:pStyle w:val="BodyText"/>
              <w:spacing w:beforeLines="40" w:afterLines="40"/>
              <w:ind w:left="142"/>
              <w:rPr>
                <w:b/>
                <w:snapToGrid w:val="0"/>
                <w:sz w:val="18"/>
                <w:szCs w:val="18"/>
              </w:rPr>
            </w:pPr>
            <w:r>
              <w:rPr>
                <w:b/>
                <w:snapToGrid w:val="0"/>
                <w:sz w:val="18"/>
                <w:szCs w:val="18"/>
              </w:rPr>
              <w:t>Eh</w:t>
            </w:r>
          </w:p>
        </w:tc>
        <w:tc>
          <w:tcPr>
            <w:tcW w:w="1558" w:type="dxa"/>
            <w:vAlign w:val="center"/>
          </w:tcPr>
          <w:p w:rsidR="007348F3" w:rsidRPr="009F5F02" w:rsidRDefault="007348F3" w:rsidP="001130ED">
            <w:pPr>
              <w:pStyle w:val="BodyText"/>
              <w:spacing w:beforeLines="40" w:afterLines="40"/>
              <w:rPr>
                <w:b/>
                <w:snapToGrid w:val="0"/>
                <w:sz w:val="18"/>
                <w:szCs w:val="18"/>
              </w:rPr>
            </w:pPr>
            <w:r>
              <w:rPr>
                <w:b/>
                <w:snapToGrid w:val="0"/>
                <w:sz w:val="18"/>
                <w:szCs w:val="18"/>
              </w:rPr>
              <w:t>104-76-7</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1890" w:type="dxa"/>
            <w:vAlign w:val="center"/>
          </w:tcPr>
          <w:p w:rsidR="007348F3" w:rsidRPr="00F71015" w:rsidRDefault="00741252" w:rsidP="001130ED">
            <w:pPr>
              <w:pStyle w:val="BodyText"/>
              <w:spacing w:beforeLines="40" w:afterLines="40"/>
              <w:jc w:val="center"/>
              <w:rPr>
                <w:b/>
                <w:caps/>
                <w:snapToGrid w:val="0"/>
                <w:sz w:val="18"/>
                <w:szCs w:val="18"/>
              </w:rPr>
            </w:pPr>
            <w:r>
              <w:rPr>
                <w:b/>
                <w:caps/>
                <w:snapToGrid w:val="0"/>
                <w:sz w:val="18"/>
                <w:szCs w:val="18"/>
              </w:rPr>
              <w:t>X</w:t>
            </w:r>
          </w:p>
        </w:tc>
      </w:tr>
      <w:tr w:rsidR="007348F3" w:rsidRPr="00B715B3" w:rsidTr="008D4D03">
        <w:trPr>
          <w:trHeight w:val="127"/>
        </w:trPr>
        <w:tc>
          <w:tcPr>
            <w:tcW w:w="1124" w:type="dxa"/>
            <w:vAlign w:val="center"/>
          </w:tcPr>
          <w:p w:rsidR="007348F3" w:rsidRDefault="007348F3" w:rsidP="001130ED">
            <w:pPr>
              <w:pStyle w:val="BodyText"/>
              <w:spacing w:beforeLines="40" w:afterLines="40"/>
              <w:ind w:left="142"/>
              <w:rPr>
                <w:b/>
                <w:snapToGrid w:val="0"/>
                <w:sz w:val="18"/>
                <w:szCs w:val="18"/>
              </w:rPr>
            </w:pPr>
            <w:r>
              <w:rPr>
                <w:b/>
                <w:snapToGrid w:val="0"/>
                <w:sz w:val="18"/>
                <w:szCs w:val="18"/>
              </w:rPr>
              <w:t>HCl</w:t>
            </w:r>
          </w:p>
        </w:tc>
        <w:tc>
          <w:tcPr>
            <w:tcW w:w="1558" w:type="dxa"/>
            <w:vAlign w:val="center"/>
          </w:tcPr>
          <w:p w:rsidR="007348F3" w:rsidRDefault="007348F3" w:rsidP="001130ED">
            <w:pPr>
              <w:pStyle w:val="BodyText"/>
              <w:spacing w:beforeLines="40" w:afterLines="40"/>
              <w:rPr>
                <w:b/>
                <w:snapToGrid w:val="0"/>
                <w:sz w:val="18"/>
                <w:szCs w:val="18"/>
              </w:rPr>
            </w:pPr>
            <w:r>
              <w:rPr>
                <w:b/>
                <w:snapToGrid w:val="0"/>
                <w:sz w:val="18"/>
                <w:szCs w:val="18"/>
              </w:rPr>
              <w:t>7647-01-0</w:t>
            </w:r>
          </w:p>
        </w:tc>
        <w:tc>
          <w:tcPr>
            <w:tcW w:w="180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2070" w:type="dxa"/>
            <w:vAlign w:val="center"/>
          </w:tcPr>
          <w:p w:rsidR="007348F3" w:rsidRDefault="00741252" w:rsidP="001130ED">
            <w:pPr>
              <w:pStyle w:val="BodyText"/>
              <w:spacing w:beforeLines="40" w:afterLines="40"/>
              <w:jc w:val="center"/>
              <w:rPr>
                <w:b/>
                <w:caps/>
                <w:snapToGrid w:val="0"/>
                <w:sz w:val="18"/>
                <w:szCs w:val="18"/>
              </w:rPr>
            </w:pPr>
            <w:r>
              <w:rPr>
                <w:b/>
                <w:caps/>
                <w:snapToGrid w:val="0"/>
                <w:sz w:val="18"/>
                <w:szCs w:val="18"/>
              </w:rPr>
              <w:t>X</w:t>
            </w:r>
          </w:p>
        </w:tc>
        <w:tc>
          <w:tcPr>
            <w:tcW w:w="1890" w:type="dxa"/>
            <w:vAlign w:val="center"/>
          </w:tcPr>
          <w:p w:rsidR="007348F3" w:rsidRPr="00F71015" w:rsidRDefault="00741252" w:rsidP="001130ED">
            <w:pPr>
              <w:pStyle w:val="BodyText"/>
              <w:spacing w:beforeLines="40" w:afterLines="40"/>
              <w:jc w:val="center"/>
              <w:rPr>
                <w:b/>
                <w:caps/>
                <w:snapToGrid w:val="0"/>
                <w:sz w:val="18"/>
                <w:szCs w:val="18"/>
              </w:rPr>
            </w:pPr>
            <w:r>
              <w:rPr>
                <w:b/>
                <w:caps/>
                <w:snapToGrid w:val="0"/>
                <w:sz w:val="18"/>
                <w:szCs w:val="18"/>
              </w:rPr>
              <w:t>X</w:t>
            </w:r>
          </w:p>
        </w:tc>
      </w:tr>
    </w:tbl>
    <w:p w:rsidR="00B072E8" w:rsidRPr="008D4D03" w:rsidRDefault="00164672" w:rsidP="008D4D03">
      <w:pPr>
        <w:pStyle w:val="BodyText"/>
        <w:spacing w:before="90"/>
        <w:ind w:left="567"/>
        <w:rPr>
          <w:snapToGrid w:val="0"/>
          <w:sz w:val="20"/>
        </w:rPr>
      </w:pPr>
      <w:r>
        <w:rPr>
          <w:lang w:val="en-US"/>
        </w:rPr>
        <w:t xml:space="preserve"> </w:t>
      </w:r>
      <w:r w:rsidR="00B072E8">
        <w:rPr>
          <w:b/>
          <w:snapToGrid w:val="0"/>
          <w:sz w:val="20"/>
        </w:rPr>
        <w:t>X</w:t>
      </w:r>
      <w:r w:rsidR="00B072E8" w:rsidRPr="00223561">
        <w:rPr>
          <w:b/>
          <w:snapToGrid w:val="0"/>
          <w:sz w:val="20"/>
        </w:rPr>
        <w:t xml:space="preserve"> </w:t>
      </w:r>
      <w:r w:rsidR="00B072E8" w:rsidRPr="008D4D03">
        <w:rPr>
          <w:snapToGrid w:val="0"/>
          <w:sz w:val="20"/>
        </w:rPr>
        <w:t>= data available;</w:t>
      </w:r>
      <w:r w:rsidR="00B072E8" w:rsidRPr="00223561">
        <w:rPr>
          <w:b/>
          <w:snapToGrid w:val="0"/>
          <w:sz w:val="20"/>
        </w:rPr>
        <w:t xml:space="preserve"> </w:t>
      </w:r>
      <w:r w:rsidR="00B072E8">
        <w:rPr>
          <w:b/>
          <w:snapToGrid w:val="0"/>
          <w:sz w:val="20"/>
        </w:rPr>
        <w:t>O</w:t>
      </w:r>
      <w:r w:rsidR="00B072E8" w:rsidRPr="00223561">
        <w:rPr>
          <w:b/>
          <w:snapToGrid w:val="0"/>
          <w:sz w:val="20"/>
        </w:rPr>
        <w:t xml:space="preserve"> = </w:t>
      </w:r>
      <w:r w:rsidR="00B072E8" w:rsidRPr="008D4D03">
        <w:rPr>
          <w:snapToGrid w:val="0"/>
          <w:sz w:val="20"/>
        </w:rPr>
        <w:t xml:space="preserve">read across from hydrolysis products to </w:t>
      </w:r>
      <w:r w:rsidR="00741252" w:rsidRPr="008D4D03">
        <w:rPr>
          <w:snapToGrid w:val="0"/>
          <w:sz w:val="20"/>
        </w:rPr>
        <w:t xml:space="preserve">associated </w:t>
      </w:r>
      <w:r w:rsidR="00B072E8" w:rsidRPr="008D4D03">
        <w:rPr>
          <w:snapToGrid w:val="0"/>
          <w:sz w:val="20"/>
        </w:rPr>
        <w:t>parent compounds</w:t>
      </w:r>
      <w:r w:rsidR="00741252" w:rsidRPr="008D4D03">
        <w:rPr>
          <w:snapToGrid w:val="0"/>
          <w:sz w:val="20"/>
        </w:rPr>
        <w:t xml:space="preserve">; read across is also done among parent compounds </w:t>
      </w:r>
      <w:r w:rsidR="007348F3" w:rsidRPr="008D4D03">
        <w:rPr>
          <w:snapToGrid w:val="0"/>
          <w:sz w:val="20"/>
        </w:rPr>
        <w:t>[HCl data may be applicable to all parent compounds</w:t>
      </w:r>
      <w:r w:rsidR="00B072E8" w:rsidRPr="008D4D03">
        <w:rPr>
          <w:snapToGrid w:val="0"/>
          <w:sz w:val="20"/>
        </w:rPr>
        <w:t>]</w:t>
      </w:r>
    </w:p>
    <w:p w:rsidR="009D5214" w:rsidRDefault="001D41E2" w:rsidP="008D4D03">
      <w:pPr>
        <w:pStyle w:val="Heading1"/>
        <w:numPr>
          <w:ilvl w:val="0"/>
          <w:numId w:val="28"/>
        </w:numPr>
        <w:tabs>
          <w:tab w:val="clear" w:pos="1077"/>
        </w:tabs>
        <w:ind w:left="839" w:hanging="839"/>
        <w:rPr>
          <w:lang w:val="en-US"/>
        </w:rPr>
      </w:pPr>
      <w:bookmarkStart w:id="15" w:name="_Toc264983249"/>
      <w:r w:rsidRPr="004B7EF4">
        <w:rPr>
          <w:lang w:val="en-US"/>
        </w:rPr>
        <w:t>general information on exposure</w:t>
      </w:r>
      <w:bookmarkEnd w:id="15"/>
    </w:p>
    <w:p w:rsidR="001D41E2" w:rsidRPr="004B7EF4" w:rsidRDefault="001D41E2" w:rsidP="008D4D03">
      <w:pPr>
        <w:pStyle w:val="Heading2"/>
        <w:numPr>
          <w:ilvl w:val="1"/>
          <w:numId w:val="28"/>
        </w:numPr>
        <w:tabs>
          <w:tab w:val="clear" w:pos="1440"/>
        </w:tabs>
        <w:rPr>
          <w:lang w:val="en-US"/>
        </w:rPr>
      </w:pPr>
      <w:bookmarkStart w:id="16" w:name="_Toc264983250"/>
      <w:r w:rsidRPr="004B7EF4">
        <w:rPr>
          <w:lang w:val="en-US"/>
        </w:rPr>
        <w:t>Production Volumes and Use Pattern</w:t>
      </w:r>
      <w:bookmarkEnd w:id="16"/>
    </w:p>
    <w:p w:rsidR="001D41E2" w:rsidRDefault="001D41E2" w:rsidP="001D379D">
      <w:pPr>
        <w:pStyle w:val="BodyText"/>
        <w:rPr>
          <w:lang w:val="en-US"/>
        </w:rPr>
      </w:pPr>
      <w:r w:rsidRPr="004B7EF4">
        <w:rPr>
          <w:u w:val="single"/>
          <w:lang w:val="en-US"/>
        </w:rPr>
        <w:t>Production volumes</w:t>
      </w:r>
      <w:r>
        <w:rPr>
          <w:u w:val="single"/>
          <w:lang w:val="en-US"/>
        </w:rPr>
        <w:t xml:space="preserve"> </w:t>
      </w:r>
      <w:r w:rsidRPr="004C2CEE">
        <w:rPr>
          <w:lang w:val="en-US"/>
        </w:rPr>
        <w:t xml:space="preserve">The worldwide quantity of chloroformate production in 2008 is estimated at 10,000 </w:t>
      </w:r>
      <w:r w:rsidRPr="004C2CEE">
        <w:rPr>
          <w:lang w:val="en-US"/>
        </w:rPr>
        <w:softHyphen/>
        <w:t>– 12,000 metric tons for Europe and 3,000 – 5,000 metric tons for Asia (SOCMA, 2009).  In the Sponsor country (U.S.A.), individual chloroformate production ranged from 500,000 to 50 million pounds (225 – 22,500 metric tons) in 2006.</w:t>
      </w:r>
    </w:p>
    <w:p w:rsidR="001D41E2" w:rsidRDefault="001D41E2" w:rsidP="00A61764">
      <w:pPr>
        <w:pStyle w:val="BodyText"/>
        <w:numPr>
          <w:ilvl w:val="0"/>
          <w:numId w:val="32"/>
        </w:numPr>
        <w:rPr>
          <w:lang w:val="en-US"/>
        </w:rPr>
      </w:pPr>
      <w:r>
        <w:rPr>
          <w:lang w:val="en-US"/>
        </w:rPr>
        <w:t>MeCF</w:t>
      </w:r>
      <w:r>
        <w:rPr>
          <w:lang w:val="en-US"/>
        </w:rPr>
        <w:tab/>
        <w:t xml:space="preserve">&gt;500 - 1million pounds    </w:t>
      </w:r>
      <w:r>
        <w:rPr>
          <w:lang w:val="en-US"/>
        </w:rPr>
        <w:tab/>
      </w:r>
      <w:r>
        <w:rPr>
          <w:lang w:val="en-US"/>
        </w:rPr>
        <w:tab/>
        <w:t>(&gt;225 - 450 metric tons)</w:t>
      </w:r>
    </w:p>
    <w:p w:rsidR="001D41E2" w:rsidRDefault="001D41E2" w:rsidP="00A61764">
      <w:pPr>
        <w:pStyle w:val="BodyText"/>
        <w:numPr>
          <w:ilvl w:val="0"/>
          <w:numId w:val="32"/>
        </w:numPr>
        <w:rPr>
          <w:lang w:val="en-US"/>
        </w:rPr>
      </w:pPr>
      <w:r>
        <w:rPr>
          <w:lang w:val="en-US"/>
        </w:rPr>
        <w:t xml:space="preserve">EtCF   &gt;1 million – 10 million pounds </w:t>
      </w:r>
      <w:r>
        <w:rPr>
          <w:lang w:val="en-US"/>
        </w:rPr>
        <w:tab/>
        <w:t>(&gt;450 – 4500 metric tons)</w:t>
      </w:r>
    </w:p>
    <w:p w:rsidR="001D41E2" w:rsidRDefault="001D41E2" w:rsidP="00133E6E">
      <w:pPr>
        <w:pStyle w:val="BodyText"/>
        <w:numPr>
          <w:ilvl w:val="0"/>
          <w:numId w:val="32"/>
        </w:numPr>
        <w:rPr>
          <w:lang w:val="en-US"/>
        </w:rPr>
      </w:pPr>
      <w:r>
        <w:rPr>
          <w:lang w:val="en-US"/>
        </w:rPr>
        <w:t xml:space="preserve">PrCF  &gt;500 - 1million pounds    </w:t>
      </w:r>
      <w:r>
        <w:rPr>
          <w:lang w:val="en-US"/>
        </w:rPr>
        <w:tab/>
      </w:r>
      <w:r>
        <w:rPr>
          <w:lang w:val="en-US"/>
        </w:rPr>
        <w:tab/>
        <w:t>(&gt;225 - 450 metric tons)</w:t>
      </w:r>
    </w:p>
    <w:p w:rsidR="001D41E2" w:rsidRDefault="001D41E2" w:rsidP="00A61764">
      <w:pPr>
        <w:pStyle w:val="BodyText"/>
        <w:numPr>
          <w:ilvl w:val="0"/>
          <w:numId w:val="32"/>
        </w:numPr>
        <w:rPr>
          <w:lang w:val="en-US"/>
        </w:rPr>
      </w:pPr>
      <w:r>
        <w:rPr>
          <w:lang w:val="en-US"/>
        </w:rPr>
        <w:t xml:space="preserve">IpCF  &gt;1 million – 10 million pounds </w:t>
      </w:r>
      <w:r>
        <w:rPr>
          <w:lang w:val="en-US"/>
        </w:rPr>
        <w:tab/>
        <w:t>(&gt;450 – 4500 metric tons)</w:t>
      </w:r>
    </w:p>
    <w:p w:rsidR="001D41E2" w:rsidRDefault="001D41E2" w:rsidP="00A61764">
      <w:pPr>
        <w:pStyle w:val="BodyText"/>
        <w:numPr>
          <w:ilvl w:val="0"/>
          <w:numId w:val="32"/>
        </w:numPr>
        <w:rPr>
          <w:lang w:val="en-US"/>
        </w:rPr>
      </w:pPr>
      <w:r>
        <w:rPr>
          <w:lang w:val="en-US"/>
        </w:rPr>
        <w:t xml:space="preserve">SbCF &gt;1 million – 10 million pounds </w:t>
      </w:r>
      <w:r>
        <w:rPr>
          <w:lang w:val="en-US"/>
        </w:rPr>
        <w:tab/>
        <w:t>(&gt;450 – 4500 metric tons)</w:t>
      </w:r>
    </w:p>
    <w:p w:rsidR="001D41E2" w:rsidRDefault="001D41E2" w:rsidP="00A61764">
      <w:pPr>
        <w:pStyle w:val="BodyText"/>
        <w:numPr>
          <w:ilvl w:val="0"/>
          <w:numId w:val="32"/>
        </w:numPr>
        <w:rPr>
          <w:lang w:val="en-US"/>
        </w:rPr>
      </w:pPr>
      <w:r>
        <w:rPr>
          <w:lang w:val="en-US"/>
        </w:rPr>
        <w:t xml:space="preserve">ObCF &gt;10 million – 50 million pounds </w:t>
      </w:r>
      <w:r>
        <w:rPr>
          <w:lang w:val="en-US"/>
        </w:rPr>
        <w:tab/>
        <w:t>(&gt;4500 – 22,500 metric tons)</w:t>
      </w:r>
    </w:p>
    <w:p w:rsidR="001D41E2" w:rsidRDefault="001D41E2" w:rsidP="009D27F9">
      <w:pPr>
        <w:pStyle w:val="BodyText"/>
        <w:numPr>
          <w:ilvl w:val="0"/>
          <w:numId w:val="32"/>
        </w:numPr>
        <w:rPr>
          <w:lang w:val="en-US"/>
        </w:rPr>
      </w:pPr>
      <w:r>
        <w:rPr>
          <w:lang w:val="en-US"/>
        </w:rPr>
        <w:t xml:space="preserve">EhCF &gt;10 million – 50 million pounds </w:t>
      </w:r>
      <w:r>
        <w:rPr>
          <w:lang w:val="en-US"/>
        </w:rPr>
        <w:tab/>
        <w:t>(&gt;4500 – 22,500 metric tons)</w:t>
      </w:r>
    </w:p>
    <w:p w:rsidR="001D41E2" w:rsidRPr="004C2CEE" w:rsidRDefault="001D41E2" w:rsidP="001D379D">
      <w:pPr>
        <w:pStyle w:val="BodyText"/>
        <w:rPr>
          <w:u w:val="single"/>
          <w:lang w:val="en-US"/>
        </w:rPr>
      </w:pPr>
      <w:r w:rsidRPr="004C2CEE">
        <w:rPr>
          <w:u w:val="single"/>
          <w:lang w:val="en-US"/>
        </w:rPr>
        <w:t>Manufacturing process</w:t>
      </w:r>
    </w:p>
    <w:p w:rsidR="001D41E2" w:rsidRPr="004C2CEE" w:rsidRDefault="001D41E2" w:rsidP="001D379D">
      <w:pPr>
        <w:pStyle w:val="BodyText"/>
        <w:rPr>
          <w:lang w:val="en-US"/>
        </w:rPr>
      </w:pPr>
      <w:r w:rsidRPr="004C2CEE">
        <w:rPr>
          <w:lang w:val="en-US"/>
        </w:rPr>
        <w:t>Most alkyl chloroformates are discontinuously or continuously prepared by the reaction of the corresponding liquid anhydrous alcohol with molar excess of dry, chloride-free phosgene. Chloroformates of the lower alcohols are produced at lower temperatures (0 – 50 °C), whereas for the higher aliphatic alcohols temperatures of up to 100 °C are needed. For the reaction with aliphatic alcohol, no hydrogen chloride (HCl) acceptors or catalysts are necessary.</w:t>
      </w:r>
    </w:p>
    <w:p w:rsidR="001D41E2" w:rsidRPr="004C2CEE" w:rsidRDefault="001D41E2" w:rsidP="001D379D">
      <w:pPr>
        <w:pStyle w:val="BodyText"/>
        <w:rPr>
          <w:lang w:val="en-US"/>
        </w:rPr>
      </w:pPr>
      <w:r w:rsidRPr="004C2CEE">
        <w:rPr>
          <w:lang w:val="en-US"/>
        </w:rPr>
        <w:t xml:space="preserve">Discontinuous production of chloroformates usually takes place in batch reactors, whereas high volume chloroformates are often produced in cascade-type continuous reactors. These reactors ensure excess of phosgene during the whole process since both reactants are added simultaneously. This also minimizes the formation of dialkylcarbonate side products. </w:t>
      </w:r>
    </w:p>
    <w:p w:rsidR="001D41E2" w:rsidRPr="004B7EF4" w:rsidRDefault="001D41E2" w:rsidP="001D379D">
      <w:pPr>
        <w:autoSpaceDE w:val="0"/>
        <w:autoSpaceDN w:val="0"/>
        <w:adjustRightInd w:val="0"/>
        <w:jc w:val="both"/>
        <w:rPr>
          <w:rFonts w:ascii="AdvP0DE0" w:hAnsi="AdvP0DE0" w:cs="AdvP0DE0"/>
          <w:sz w:val="20"/>
          <w:szCs w:val="20"/>
          <w:lang w:eastAsia="de-DE"/>
        </w:rPr>
      </w:pPr>
      <w:r w:rsidRPr="004C2CEE">
        <w:t>Evolving HCl is absorbed in a tower after recovering excess phosgene. Unreacted phosgene is removed from the crude chloroformates by vacuum stripping or gas purging. The</w:t>
      </w:r>
      <w:r>
        <w:t xml:space="preserve"> sponsored chloroformates are distillable for purification (purity &gt; 90 %)</w:t>
      </w:r>
      <w:r w:rsidRPr="004B7EF4" w:rsidDel="00EB4D58">
        <w:t xml:space="preserve"> </w:t>
      </w:r>
      <w:proofErr w:type="gramStart"/>
      <w:r w:rsidRPr="00EB4D58">
        <w:t>(</w:t>
      </w:r>
      <w:r w:rsidRPr="004B7EF4">
        <w:t>Kirk-Othmer, 200</w:t>
      </w:r>
      <w:r>
        <w:t>8</w:t>
      </w:r>
      <w:r w:rsidRPr="004B7EF4">
        <w:t>; Ullmann’s, 1986; BASF SE, 2009c).</w:t>
      </w:r>
      <w:proofErr w:type="gramEnd"/>
    </w:p>
    <w:p w:rsidR="001D41E2" w:rsidRPr="004B7EF4" w:rsidRDefault="001D41E2" w:rsidP="00F71952">
      <w:pPr>
        <w:pStyle w:val="BodyText"/>
        <w:spacing w:before="240"/>
        <w:rPr>
          <w:u w:val="single"/>
          <w:lang w:val="en-US"/>
        </w:rPr>
      </w:pPr>
      <w:r w:rsidRPr="004B7EF4">
        <w:rPr>
          <w:u w:val="single"/>
          <w:lang w:val="en-US"/>
        </w:rPr>
        <w:t>Safety measures</w:t>
      </w:r>
    </w:p>
    <w:p w:rsidR="001D41E2" w:rsidRDefault="001D41E2" w:rsidP="001D379D">
      <w:pPr>
        <w:pStyle w:val="BodyText"/>
        <w:rPr>
          <w:lang w:val="en-US"/>
        </w:rPr>
      </w:pPr>
      <w:r w:rsidRPr="004B7EF4">
        <w:rPr>
          <w:lang w:val="en-US"/>
        </w:rPr>
        <w:t xml:space="preserve">Liquids from rinsing are collected and either incinerated (alcoholic residues) or discharged to </w:t>
      </w:r>
      <w:r>
        <w:rPr>
          <w:lang w:val="en-US"/>
        </w:rPr>
        <w:t xml:space="preserve">a </w:t>
      </w:r>
      <w:r w:rsidRPr="004B7EF4">
        <w:rPr>
          <w:lang w:val="en-US"/>
        </w:rPr>
        <w:t>sewage treatment plant (aqueous residues)</w:t>
      </w:r>
      <w:r>
        <w:rPr>
          <w:lang w:val="en-US"/>
        </w:rPr>
        <w:t xml:space="preserve">.  Any </w:t>
      </w:r>
      <w:r w:rsidRPr="004B7EF4">
        <w:rPr>
          <w:lang w:val="en-US"/>
        </w:rPr>
        <w:t>offgas</w:t>
      </w:r>
      <w:r>
        <w:rPr>
          <w:lang w:val="en-US"/>
        </w:rPr>
        <w:t>ing</w:t>
      </w:r>
      <w:r w:rsidRPr="004B7EF4">
        <w:rPr>
          <w:lang w:val="en-US"/>
        </w:rPr>
        <w:t xml:space="preserve"> is incinerated.</w:t>
      </w:r>
      <w:r>
        <w:rPr>
          <w:lang w:val="en-US"/>
        </w:rPr>
        <w:t xml:space="preserve">  Information reported to the U.S. Environmental Protection Agency’s Toxics Release Inventry (TRI) indicate that in 2008 in the Sponsor country, more than 9,500 kg of MeCF and approximately 120,000 kg of EtCF were incinerated (US EPA, 2009).</w:t>
      </w:r>
    </w:p>
    <w:p w:rsidR="001D41E2" w:rsidRPr="004B7EF4" w:rsidRDefault="001D41E2" w:rsidP="001D379D">
      <w:pPr>
        <w:pStyle w:val="BodyText"/>
        <w:rPr>
          <w:lang w:val="en-US"/>
        </w:rPr>
      </w:pPr>
      <w:r w:rsidRPr="004B7EF4">
        <w:rPr>
          <w:lang w:val="en-US"/>
        </w:rPr>
        <w:t xml:space="preserve">The manufacturing process is </w:t>
      </w:r>
      <w:r>
        <w:rPr>
          <w:lang w:val="en-US"/>
        </w:rPr>
        <w:t xml:space="preserve">closed and </w:t>
      </w:r>
      <w:r w:rsidRPr="004B7EF4">
        <w:rPr>
          <w:lang w:val="en-US"/>
        </w:rPr>
        <w:t>automatically controlled. The units are distributed controlled systems (DCS), including Cat II safety interlocks. The process pressure is less than the ambient pressure and the atmosphere inside the compartments is monitored for toxic substances. Air from a compartment can be vented to a suitable destruct</w:t>
      </w:r>
      <w:r>
        <w:rPr>
          <w:lang w:val="en-US"/>
        </w:rPr>
        <w:t>ion</w:t>
      </w:r>
      <w:r w:rsidRPr="004B7EF4">
        <w:rPr>
          <w:lang w:val="en-US"/>
        </w:rPr>
        <w:t xml:space="preserve"> system (incineration or caustic scrubber) in case of contamination. </w:t>
      </w:r>
    </w:p>
    <w:p w:rsidR="001D41E2" w:rsidRDefault="001D41E2" w:rsidP="001D379D">
      <w:pPr>
        <w:pStyle w:val="BodyText"/>
        <w:rPr>
          <w:lang w:val="en-US"/>
        </w:rPr>
      </w:pPr>
      <w:r w:rsidRPr="004B7EF4">
        <w:rPr>
          <w:lang w:val="en-US"/>
        </w:rPr>
        <w:t xml:space="preserve">Workers </w:t>
      </w:r>
      <w:r>
        <w:rPr>
          <w:lang w:val="en-US"/>
        </w:rPr>
        <w:t xml:space="preserve">are recommended to </w:t>
      </w:r>
      <w:r w:rsidRPr="004B7EF4">
        <w:rPr>
          <w:lang w:val="en-US"/>
        </w:rPr>
        <w:t>use appropriate personal protection equipment</w:t>
      </w:r>
      <w:r>
        <w:rPr>
          <w:lang w:val="en-US"/>
        </w:rPr>
        <w:t xml:space="preserve"> (PPE)</w:t>
      </w:r>
      <w:r w:rsidRPr="004B7EF4">
        <w:rPr>
          <w:lang w:val="en-US"/>
        </w:rPr>
        <w:t xml:space="preserve"> inside compartments or when working at the equipment (</w:t>
      </w:r>
      <w:r>
        <w:rPr>
          <w:lang w:val="en-US"/>
        </w:rPr>
        <w:t xml:space="preserve">e.g., </w:t>
      </w:r>
      <w:r w:rsidRPr="004B7EF4">
        <w:rPr>
          <w:lang w:val="en-US"/>
        </w:rPr>
        <w:t xml:space="preserve">sampling, loading, maintenance). </w:t>
      </w:r>
      <w:r>
        <w:rPr>
          <w:lang w:val="en-US"/>
        </w:rPr>
        <w:t xml:space="preserve">Appropriate PPE includes </w:t>
      </w:r>
      <w:r w:rsidRPr="004B7EF4">
        <w:rPr>
          <w:lang w:val="en-US"/>
        </w:rPr>
        <w:t xml:space="preserve">respirators, protective suits, boots and gloves. </w:t>
      </w:r>
      <w:r>
        <w:rPr>
          <w:lang w:val="en-US"/>
        </w:rPr>
        <w:t>P</w:t>
      </w:r>
      <w:r w:rsidRPr="004B7EF4">
        <w:rPr>
          <w:lang w:val="en-US"/>
        </w:rPr>
        <w:t xml:space="preserve">ersonal air sampling </w:t>
      </w:r>
      <w:r>
        <w:rPr>
          <w:lang w:val="en-US"/>
        </w:rPr>
        <w:t xml:space="preserve">measurements of airborne concentrations for </w:t>
      </w:r>
      <w:r w:rsidRPr="004B7EF4">
        <w:rPr>
          <w:lang w:val="en-US"/>
        </w:rPr>
        <w:t xml:space="preserve">production, maintenance, laboratory and loading personal </w:t>
      </w:r>
      <w:r>
        <w:rPr>
          <w:lang w:val="en-US"/>
        </w:rPr>
        <w:t>are conducted</w:t>
      </w:r>
      <w:r w:rsidRPr="004B7EF4">
        <w:rPr>
          <w:lang w:val="en-US"/>
        </w:rPr>
        <w:t xml:space="preserve"> (BASF SE, 2008f).</w:t>
      </w:r>
    </w:p>
    <w:p w:rsidR="001D41E2" w:rsidRPr="004B7EF4" w:rsidRDefault="001D41E2" w:rsidP="001D379D">
      <w:pPr>
        <w:pStyle w:val="BodyText"/>
        <w:rPr>
          <w:u w:val="single"/>
          <w:lang w:val="en-US"/>
        </w:rPr>
      </w:pPr>
      <w:r w:rsidRPr="004B7EF4">
        <w:rPr>
          <w:u w:val="single"/>
          <w:lang w:val="en-US"/>
        </w:rPr>
        <w:t>Storage and transport</w:t>
      </w:r>
    </w:p>
    <w:p w:rsidR="001D41E2" w:rsidRPr="004B7EF4" w:rsidRDefault="001D41E2" w:rsidP="001D379D">
      <w:pPr>
        <w:pStyle w:val="BodyText"/>
        <w:rPr>
          <w:lang w:val="en-US"/>
        </w:rPr>
      </w:pPr>
      <w:r w:rsidRPr="004B7EF4">
        <w:rPr>
          <w:lang w:val="en-US"/>
        </w:rPr>
        <w:t xml:space="preserve">Chloroformic esters of primary alcohols </w:t>
      </w:r>
      <w:r>
        <w:rPr>
          <w:lang w:val="en-US"/>
        </w:rPr>
        <w:t>remain</w:t>
      </w:r>
      <w:r w:rsidRPr="004B7EF4">
        <w:rPr>
          <w:lang w:val="en-US"/>
        </w:rPr>
        <w:t xml:space="preserve"> stable if free of moisture and metal salts. Chloroformates </w:t>
      </w:r>
      <w:r>
        <w:rPr>
          <w:lang w:val="en-US"/>
        </w:rPr>
        <w:t xml:space="preserve">are </w:t>
      </w:r>
      <w:r w:rsidRPr="004B7EF4">
        <w:rPr>
          <w:lang w:val="en-US"/>
        </w:rPr>
        <w:t xml:space="preserve">stored </w:t>
      </w:r>
      <w:r>
        <w:rPr>
          <w:lang w:val="en-US"/>
        </w:rPr>
        <w:t xml:space="preserve">out of direct sunlight </w:t>
      </w:r>
      <w:r w:rsidRPr="004B7EF4">
        <w:rPr>
          <w:lang w:val="en-US"/>
        </w:rPr>
        <w:t xml:space="preserve">in a cool, dry atmosphere </w:t>
      </w:r>
      <w:r>
        <w:rPr>
          <w:lang w:val="en-US"/>
        </w:rPr>
        <w:t xml:space="preserve">and </w:t>
      </w:r>
      <w:r w:rsidRPr="004B7EF4">
        <w:rPr>
          <w:lang w:val="en-US"/>
        </w:rPr>
        <w:t xml:space="preserve">preferably refrigerated (below 10 °C) especially for prolonged storage. The esters of secondary and tertiary alcohols are unstable and allow only a brief storage period. Chloroformate transfers to storage tanks or reactors </w:t>
      </w:r>
      <w:r>
        <w:rPr>
          <w:lang w:val="en-US"/>
        </w:rPr>
        <w:t xml:space="preserve">are performed in </w:t>
      </w:r>
      <w:r w:rsidRPr="004B7EF4">
        <w:rPr>
          <w:lang w:val="en-US"/>
        </w:rPr>
        <w:t xml:space="preserve">closed systems using glass or Hastelloy pumps, lines, and valves. </w:t>
      </w:r>
    </w:p>
    <w:p w:rsidR="001D41E2" w:rsidRPr="004B7EF4" w:rsidRDefault="001D41E2" w:rsidP="001D379D">
      <w:pPr>
        <w:pStyle w:val="BodyText"/>
        <w:rPr>
          <w:lang w:val="en-US"/>
        </w:rPr>
      </w:pPr>
      <w:r w:rsidRPr="004B7EF4">
        <w:rPr>
          <w:lang w:val="en-US"/>
        </w:rPr>
        <w:t>Chloroformates are shipped in polyethylene drums with carbon steel overpacks or high density polyethylene drums. For bulk shipments, insulated stainless steel tank containers and trucks provide secure protection. Bulk equipment is specially lined for protection from corrosion. Tank truck and rail car quantities are shipped using equipment dedicated for these types of products. Materials such as IpCF that require refrigeration are pre-cooled when shipped in bulk containers. Bulk shipments that are pre-cooled must proceed to the destination without layover. Drum shipments of these materials must be shipped in refrigerated containers (Kirk-Othmer, 200</w:t>
      </w:r>
      <w:r>
        <w:rPr>
          <w:lang w:val="en-US"/>
        </w:rPr>
        <w:t>8</w:t>
      </w:r>
      <w:r w:rsidRPr="004B7EF4">
        <w:rPr>
          <w:lang w:val="en-US"/>
        </w:rPr>
        <w:t>; Ullmann’s, 1986; BASF SE, 2009c).</w:t>
      </w:r>
    </w:p>
    <w:p w:rsidR="001D41E2" w:rsidRPr="004C2CEE" w:rsidRDefault="001D41E2" w:rsidP="001D379D">
      <w:pPr>
        <w:pStyle w:val="BodyText"/>
        <w:rPr>
          <w:u w:val="single"/>
          <w:lang w:val="en-US"/>
        </w:rPr>
      </w:pPr>
      <w:r w:rsidRPr="004C2CEE">
        <w:rPr>
          <w:u w:val="single"/>
          <w:lang w:val="en-US"/>
        </w:rPr>
        <w:t>Uses</w:t>
      </w:r>
    </w:p>
    <w:p w:rsidR="001D41E2" w:rsidRPr="004C2CEE" w:rsidRDefault="001D41E2" w:rsidP="001D379D">
      <w:pPr>
        <w:pStyle w:val="BodyText"/>
        <w:rPr>
          <w:lang w:val="en-US"/>
        </w:rPr>
      </w:pPr>
      <w:r w:rsidRPr="004C2CEE">
        <w:rPr>
          <w:lang w:val="en-US"/>
        </w:rPr>
        <w:t xml:space="preserve">Chloroformates are highly reactive and are used as intermediates in the synthesis of numerous compounds. Derivatization of chloroformates with alcohols and amines leads to carbamates and carbonates which are further processed to solvents, polycarbonates (high temperature resistant), polyurethanes [especially from </w:t>
      </w:r>
      <w:proofErr w:type="gramStart"/>
      <w:r w:rsidRPr="004C2CEE">
        <w:rPr>
          <w:lang w:val="en-US"/>
        </w:rPr>
        <w:t>bis(</w:t>
      </w:r>
      <w:proofErr w:type="gramEnd"/>
      <w:r w:rsidRPr="004C2CEE">
        <w:rPr>
          <w:lang w:val="en-US"/>
        </w:rPr>
        <w:t xml:space="preserve">chloroformic) esters], and plastics of high optical quality. Carbamates are used to synthesize dyes, veterinary medicines, pharmaceuticals, and pesticides. </w:t>
      </w:r>
    </w:p>
    <w:p w:rsidR="001D41E2" w:rsidRPr="004C2CEE" w:rsidRDefault="001D41E2" w:rsidP="001D379D">
      <w:pPr>
        <w:pStyle w:val="BodyText"/>
        <w:rPr>
          <w:lang w:val="en-US"/>
        </w:rPr>
      </w:pPr>
      <w:r w:rsidRPr="004C2CEE">
        <w:rPr>
          <w:lang w:val="en-US"/>
        </w:rPr>
        <w:t>An important application is the preparation of the dialkyl peroxycarbonates used as catalysts in the sodium peroxide production of polyvinyl chloride (PVC). Chloroformates are also valued as general purpose derivatizing agents for gas and liquid chromatographic analysis of molecules containing active functionality such as amines and carboxylic acids.</w:t>
      </w:r>
    </w:p>
    <w:p w:rsidR="001D41E2" w:rsidRPr="004B7EF4" w:rsidRDefault="001D41E2" w:rsidP="001D379D">
      <w:pPr>
        <w:pStyle w:val="BodyText"/>
        <w:rPr>
          <w:lang w:val="en-US"/>
        </w:rPr>
      </w:pPr>
      <w:r>
        <w:rPr>
          <w:lang w:val="en-US"/>
        </w:rPr>
        <w:t>Chloroformates are also used as amino acid blocking agents during the synthesis of complex organic compounds. The industrial significance of chloroformate blocking agents is noted in the synthesis of artificial sweeteners such as aspartame, as well as the synthesis of the antiviral valacyclovir.</w:t>
      </w:r>
    </w:p>
    <w:p w:rsidR="001D41E2" w:rsidRPr="004B7EF4" w:rsidRDefault="001D41E2" w:rsidP="001D379D">
      <w:pPr>
        <w:autoSpaceDE w:val="0"/>
        <w:autoSpaceDN w:val="0"/>
        <w:adjustRightInd w:val="0"/>
        <w:jc w:val="both"/>
      </w:pPr>
      <w:r w:rsidRPr="004B7EF4">
        <w:rPr>
          <w:i/>
          <w:iCs/>
        </w:rPr>
        <w:t>Methyl chloroformate</w:t>
      </w:r>
      <w:r w:rsidRPr="004B7EF4">
        <w:t xml:space="preserve">: MeCF is used in the agricultural industry, primarily in the formation of carbamate functional groups. An important example is the synthesis of the fungicide Carbendazim.  MeCF is also the starting material for the synthesis of the preservative velcorin (dimethyl pyrocarbonic ester). </w:t>
      </w:r>
    </w:p>
    <w:p w:rsidR="001D41E2" w:rsidRPr="004B7EF4" w:rsidRDefault="001D41E2" w:rsidP="00F71952">
      <w:pPr>
        <w:autoSpaceDE w:val="0"/>
        <w:autoSpaceDN w:val="0"/>
        <w:adjustRightInd w:val="0"/>
        <w:spacing w:before="240"/>
        <w:jc w:val="both"/>
      </w:pPr>
      <w:r w:rsidRPr="004B7EF4">
        <w:rPr>
          <w:i/>
          <w:iCs/>
        </w:rPr>
        <w:t>Ethyl chloroformate</w:t>
      </w:r>
      <w:r w:rsidRPr="004B7EF4">
        <w:t>: EtCF is used in the manufacture of ore flotation agents by reaction with various xanthates. It is also used as a stabilizer for PVC, in the production of modified penicillins, to produce carboxylic acid anhydrides from carboxylic acids, secondary amines from tertiary amines, and nitriles from amides as well as to make heterocyclic compounds.</w:t>
      </w:r>
    </w:p>
    <w:p w:rsidR="001D41E2" w:rsidRPr="004B7EF4" w:rsidRDefault="001D41E2" w:rsidP="00F71952">
      <w:pPr>
        <w:autoSpaceDE w:val="0"/>
        <w:autoSpaceDN w:val="0"/>
        <w:adjustRightInd w:val="0"/>
        <w:spacing w:before="240"/>
        <w:jc w:val="both"/>
      </w:pPr>
      <w:r w:rsidRPr="004B7EF4">
        <w:rPr>
          <w:i/>
          <w:iCs/>
        </w:rPr>
        <w:t>Isopropyl chloroformate</w:t>
      </w:r>
      <w:r w:rsidRPr="004B7EF4">
        <w:t xml:space="preserve">: Blowing agents for producing foam rubber, polyethylene, and vinyl chloride are made from chloroformates, hydrazine, and a base. For example, diisopropyl azidoformate is made from IpCF. Also the herbicide isopropyl N-phenylcarbamate (IPC) is synthesized from IpCF. </w:t>
      </w:r>
    </w:p>
    <w:p w:rsidR="001D41E2" w:rsidRDefault="001D41E2" w:rsidP="00F71952">
      <w:pPr>
        <w:autoSpaceDE w:val="0"/>
        <w:autoSpaceDN w:val="0"/>
        <w:adjustRightInd w:val="0"/>
        <w:spacing w:before="240"/>
        <w:jc w:val="both"/>
      </w:pPr>
      <w:r w:rsidRPr="004B7EF4">
        <w:rPr>
          <w:i/>
          <w:iCs/>
        </w:rPr>
        <w:t xml:space="preserve">Oxydiethylene </w:t>
      </w:r>
      <w:proofErr w:type="gramStart"/>
      <w:r w:rsidRPr="004B7EF4">
        <w:rPr>
          <w:i/>
          <w:iCs/>
        </w:rPr>
        <w:t>bis(</w:t>
      </w:r>
      <w:proofErr w:type="gramEnd"/>
      <w:r w:rsidRPr="004B7EF4">
        <w:rPr>
          <w:i/>
          <w:iCs/>
        </w:rPr>
        <w:t>chloroformate)</w:t>
      </w:r>
      <w:r w:rsidRPr="004B7EF4">
        <w:t xml:space="preserve">: ObCF  is used as starting material for diethylene glycol bis(allyl carbonate), used in the manufacture of break-resistant optical lenses, which is obtained by the reaction with allyl alcohols. The decarboxylation of </w:t>
      </w:r>
      <w:proofErr w:type="gramStart"/>
      <w:r w:rsidRPr="004B7EF4">
        <w:t>bis(</w:t>
      </w:r>
      <w:proofErr w:type="gramEnd"/>
      <w:r w:rsidRPr="004B7EF4">
        <w:t>chloroformates) to alkyl halides is used in the manufacture of the rubber component 1,6-dichlorohexane (Kirk-Othmer, 200</w:t>
      </w:r>
      <w:r>
        <w:t>8</w:t>
      </w:r>
      <w:r w:rsidRPr="004B7EF4">
        <w:t xml:space="preserve">; Ullmann’s, 1986). </w:t>
      </w:r>
    </w:p>
    <w:p w:rsidR="001D41E2" w:rsidRPr="00F9565D" w:rsidRDefault="001D41E2" w:rsidP="00F71952">
      <w:pPr>
        <w:pStyle w:val="BodyText"/>
        <w:spacing w:before="240"/>
        <w:rPr>
          <w:lang w:val="en-US"/>
        </w:rPr>
      </w:pPr>
      <w:r>
        <w:t xml:space="preserve">Several chloroformates have been used chromatographic analyses in laboratory settings for several years (Husek, 1998).  </w:t>
      </w:r>
    </w:p>
    <w:p w:rsidR="001D41E2" w:rsidRPr="004B7EF4" w:rsidRDefault="001D41E2" w:rsidP="00F71952">
      <w:pPr>
        <w:pStyle w:val="Heading2"/>
        <w:numPr>
          <w:ilvl w:val="1"/>
          <w:numId w:val="28"/>
        </w:numPr>
        <w:tabs>
          <w:tab w:val="clear" w:pos="1440"/>
        </w:tabs>
        <w:rPr>
          <w:lang w:val="en-US"/>
        </w:rPr>
      </w:pPr>
      <w:bookmarkStart w:id="17" w:name="_Toc264983251"/>
      <w:r w:rsidRPr="004B7EF4">
        <w:rPr>
          <w:lang w:val="en-US"/>
        </w:rPr>
        <w:t>Environmental Exposure and Fate</w:t>
      </w:r>
      <w:bookmarkEnd w:id="17"/>
    </w:p>
    <w:p w:rsidR="001D41E2" w:rsidRPr="004B7EF4" w:rsidRDefault="001D41E2" w:rsidP="001D379D">
      <w:pPr>
        <w:pStyle w:val="Heading3"/>
        <w:numPr>
          <w:ilvl w:val="2"/>
          <w:numId w:val="28"/>
        </w:numPr>
        <w:tabs>
          <w:tab w:val="clear" w:pos="1440"/>
          <w:tab w:val="clear" w:pos="2160"/>
        </w:tabs>
        <w:rPr>
          <w:lang w:val="en-US"/>
        </w:rPr>
      </w:pPr>
      <w:bookmarkStart w:id="18" w:name="_Toc264983252"/>
      <w:r w:rsidRPr="004B7EF4">
        <w:rPr>
          <w:lang w:val="en-US"/>
        </w:rPr>
        <w:t>Sources of Environmental Exposure</w:t>
      </w:r>
      <w:bookmarkEnd w:id="18"/>
    </w:p>
    <w:p w:rsidR="001D41E2" w:rsidRPr="004C2CEE" w:rsidRDefault="001D41E2" w:rsidP="00D505D7">
      <w:pPr>
        <w:tabs>
          <w:tab w:val="left" w:pos="0"/>
          <w:tab w:val="left" w:pos="10893"/>
          <w:tab w:val="left" w:pos="11505"/>
        </w:tabs>
        <w:ind w:right="39"/>
        <w:jc w:val="both"/>
      </w:pPr>
      <w:r>
        <w:t xml:space="preserve">Given their high reactivity and </w:t>
      </w:r>
      <w:r w:rsidRPr="004C2CEE">
        <w:t>toxicity, the chloroformates are manufactured within enclosed reactors and are filled into tanks, drums or other suitable containers through closed systems</w:t>
      </w:r>
      <w:r w:rsidR="007D3E3E" w:rsidRPr="007D3E3E">
        <w:t>, which limits environmental exposure</w:t>
      </w:r>
      <w:r w:rsidRPr="004C2CEE">
        <w:t xml:space="preserve">. Emission of parent compounds as well as emission of hydrolysis products at production, processing, and maintenance expected to be low due to the applied safety measures in order to prevent any release of chloroformates.  Reported releases to the environment other than for incinceration were &lt; 100 kg for the year 2008 (US EPA, 2009). </w:t>
      </w:r>
    </w:p>
    <w:p w:rsidR="001D41E2" w:rsidRPr="004C2CEE" w:rsidRDefault="001D41E2" w:rsidP="002C43F0">
      <w:pPr>
        <w:tabs>
          <w:tab w:val="left" w:pos="0"/>
          <w:tab w:val="left" w:pos="10893"/>
          <w:tab w:val="left" w:pos="11505"/>
        </w:tabs>
        <w:ind w:right="39"/>
        <w:jc w:val="both"/>
      </w:pPr>
    </w:p>
    <w:p w:rsidR="001D41E2" w:rsidRDefault="001D41E2" w:rsidP="002C43F0">
      <w:pPr>
        <w:tabs>
          <w:tab w:val="left" w:pos="0"/>
          <w:tab w:val="left" w:pos="10893"/>
          <w:tab w:val="left" w:pos="11505"/>
        </w:tabs>
        <w:ind w:right="39"/>
        <w:jc w:val="both"/>
      </w:pPr>
      <w:r w:rsidRPr="004C2CEE">
        <w:t>Liquids from rinsing are often collected and either incinerated (alcoholic residues) or discharged into sewage treatment plants (aqueous residues).  Available data indicate that in 2008 in the Sponsor country, more than 9,500 kg of MeCF and approximately 120,000 kg of EtCF were incincerated (as a waste disposal method) US</w:t>
      </w:r>
      <w:r w:rsidRPr="00FA31D1">
        <w:t xml:space="preserve"> EPA, 2009).</w:t>
      </w:r>
      <w:r>
        <w:t xml:space="preserve">  </w:t>
      </w:r>
    </w:p>
    <w:p w:rsidR="001D41E2" w:rsidRDefault="001D41E2" w:rsidP="001D379D">
      <w:pPr>
        <w:pStyle w:val="BodyText"/>
        <w:rPr>
          <w:lang w:val="en-US"/>
        </w:rPr>
      </w:pPr>
    </w:p>
    <w:p w:rsidR="001D41E2" w:rsidRPr="004B7EF4" w:rsidRDefault="001D41E2" w:rsidP="001D379D">
      <w:pPr>
        <w:pStyle w:val="BodyText"/>
        <w:rPr>
          <w:lang w:val="en-US"/>
        </w:rPr>
      </w:pPr>
      <w:r w:rsidRPr="004B7EF4">
        <w:rPr>
          <w:lang w:val="en-US"/>
        </w:rPr>
        <w:t>In contact with water, aqueous solutions</w:t>
      </w:r>
      <w:r>
        <w:rPr>
          <w:lang w:val="en-US"/>
        </w:rPr>
        <w:t>,</w:t>
      </w:r>
      <w:r w:rsidRPr="004B7EF4">
        <w:rPr>
          <w:lang w:val="en-US"/>
        </w:rPr>
        <w:t xml:space="preserve"> and under other wet conditions in soil or air, the chloroformates hydrolyze rapidly, resulting in the production of a corresponding alcohol, HCl and CO</w:t>
      </w:r>
      <w:r w:rsidRPr="004B7EF4">
        <w:rPr>
          <w:vertAlign w:val="subscript"/>
          <w:lang w:val="en-US"/>
        </w:rPr>
        <w:t>2</w:t>
      </w:r>
      <w:r w:rsidRPr="004B7EF4">
        <w:rPr>
          <w:lang w:val="en-US"/>
        </w:rPr>
        <w:t>. Thus, exposures to the parent compounds are very limited in the environment</w:t>
      </w:r>
      <w:r>
        <w:rPr>
          <w:lang w:val="en-US"/>
        </w:rPr>
        <w:t xml:space="preserve"> under conditions of normal use</w:t>
      </w:r>
      <w:r w:rsidRPr="004B7EF4">
        <w:rPr>
          <w:lang w:val="en-US"/>
        </w:rPr>
        <w:t>.</w:t>
      </w:r>
    </w:p>
    <w:p w:rsidR="001D41E2" w:rsidRPr="00F56FCD" w:rsidRDefault="001D41E2" w:rsidP="001D379D">
      <w:pPr>
        <w:pStyle w:val="Heading3"/>
        <w:numPr>
          <w:ilvl w:val="2"/>
          <w:numId w:val="28"/>
        </w:numPr>
        <w:tabs>
          <w:tab w:val="clear" w:pos="1440"/>
          <w:tab w:val="clear" w:pos="2160"/>
        </w:tabs>
        <w:rPr>
          <w:b w:val="0"/>
          <w:bCs w:val="0"/>
          <w:lang w:val="en-US"/>
        </w:rPr>
      </w:pPr>
      <w:bookmarkStart w:id="19" w:name="_Toc264983253"/>
      <w:r w:rsidRPr="00841A91">
        <w:rPr>
          <w:b w:val="0"/>
          <w:bCs w:val="0"/>
          <w:lang w:val="en-US"/>
        </w:rPr>
        <w:t>Photodegradation</w:t>
      </w:r>
      <w:bookmarkEnd w:id="19"/>
    </w:p>
    <w:p w:rsidR="001D41E2" w:rsidRPr="005D33DF" w:rsidRDefault="001D41E2" w:rsidP="005D33DF">
      <w:pPr>
        <w:jc w:val="both"/>
      </w:pPr>
      <w:r w:rsidRPr="005D33DF">
        <w:t xml:space="preserve">The category members are not expected to undergo direct photolysis, but indirect photolysis by reaction with OH radicals is possible. Estimations of the OH radical rate constant and corresponding half-lives in air have been modeled with AOPWIN v1.92. The estimations assumed a </w:t>
      </w:r>
      <w:r>
        <w:t>12</w:t>
      </w:r>
      <w:r w:rsidRPr="005D33DF">
        <w:t xml:space="preserve">-h day with an OH radical concentration of </w:t>
      </w:r>
      <w:r>
        <w:t>1.5 x 10</w:t>
      </w:r>
      <w:r w:rsidR="007D3E3E" w:rsidRPr="007D3E3E">
        <w:rPr>
          <w:vertAlign w:val="superscript"/>
        </w:rPr>
        <w:t>6</w:t>
      </w:r>
      <w:r w:rsidRPr="005D33DF">
        <w:t xml:space="preserve"> OH/cm³. The results are shown in Table </w:t>
      </w:r>
      <w:r w:rsidR="00685752">
        <w:t>6</w:t>
      </w:r>
      <w:r w:rsidRPr="005D33DF">
        <w:t xml:space="preserve">. </w:t>
      </w:r>
    </w:p>
    <w:p w:rsidR="001D41E2" w:rsidRPr="004B7EF4" w:rsidRDefault="001D41E2" w:rsidP="00F71952">
      <w:pPr>
        <w:pStyle w:val="Caption"/>
        <w:ind w:left="0"/>
        <w:rPr>
          <w:rFonts w:ascii="Times New Roman" w:hAnsi="Times New Roman" w:cs="Times New Roman"/>
          <w:b w:val="0"/>
          <w:bCs w:val="0"/>
        </w:rPr>
      </w:pPr>
      <w:bookmarkStart w:id="20" w:name="_Toc262044520"/>
      <w:bookmarkStart w:id="21" w:name="_Toc264983282"/>
      <w:r w:rsidRPr="004B7EF4">
        <w:t xml:space="preserve">Table </w:t>
      </w:r>
      <w:r w:rsidR="00685752">
        <w:t>6</w:t>
      </w:r>
      <w:r w:rsidR="00685752" w:rsidRPr="004B7EF4">
        <w:rPr>
          <w:b w:val="0"/>
          <w:bCs w:val="0"/>
        </w:rPr>
        <w:t xml:space="preserve">     </w:t>
      </w:r>
      <w:r w:rsidR="007D3E3E" w:rsidRPr="007D3E3E">
        <w:rPr>
          <w:rFonts w:ascii="Times New Roman" w:hAnsi="Times New Roman" w:cs="Times New Roman"/>
          <w:bCs w:val="0"/>
        </w:rPr>
        <w:t>Summary of Photodegradation Data</w:t>
      </w:r>
      <w:bookmarkEnd w:id="20"/>
      <w:bookmarkEnd w:id="21"/>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7"/>
        <w:gridCol w:w="2924"/>
        <w:gridCol w:w="3159"/>
        <w:gridCol w:w="1835"/>
      </w:tblGrid>
      <w:tr w:rsidR="001D41E2" w:rsidRPr="004B7EF4" w:rsidTr="00F71952">
        <w:trPr>
          <w:tblHeader/>
        </w:trPr>
        <w:tc>
          <w:tcPr>
            <w:tcW w:w="1908" w:type="dxa"/>
            <w:tcBorders>
              <w:top w:val="single" w:sz="12" w:space="0" w:color="auto"/>
              <w:bottom w:val="single" w:sz="12" w:space="0" w:color="auto"/>
            </w:tcBorders>
            <w:vAlign w:val="center"/>
          </w:tcPr>
          <w:p w:rsidR="001D41E2" w:rsidRPr="004B7EF4" w:rsidRDefault="001D41E2" w:rsidP="00773BAB">
            <w:pPr>
              <w:pStyle w:val="Tabletext"/>
              <w:rPr>
                <w:b/>
                <w:bCs/>
              </w:rPr>
            </w:pPr>
            <w:r w:rsidRPr="004B7EF4">
              <w:rPr>
                <w:b/>
                <w:bCs/>
              </w:rPr>
              <w:t>Category member / hydrolysis product</w:t>
            </w:r>
          </w:p>
        </w:tc>
        <w:tc>
          <w:tcPr>
            <w:tcW w:w="2880" w:type="dxa"/>
            <w:tcBorders>
              <w:top w:val="single" w:sz="12" w:space="0" w:color="auto"/>
              <w:bottom w:val="single" w:sz="12" w:space="0" w:color="auto"/>
            </w:tcBorders>
            <w:vAlign w:val="center"/>
          </w:tcPr>
          <w:p w:rsidR="001D41E2" w:rsidRPr="004B7EF4" w:rsidRDefault="001D41E2" w:rsidP="00773BAB">
            <w:pPr>
              <w:pStyle w:val="Tabletext"/>
              <w:jc w:val="center"/>
              <w:rPr>
                <w:b/>
                <w:bCs/>
              </w:rPr>
            </w:pPr>
            <w:r w:rsidRPr="004B7EF4">
              <w:rPr>
                <w:b/>
                <w:bCs/>
              </w:rPr>
              <w:t>Overall OH rate constant</w:t>
            </w:r>
          </w:p>
          <w:p w:rsidR="001D41E2" w:rsidRPr="004B7EF4" w:rsidRDefault="001D41E2" w:rsidP="00773BAB">
            <w:pPr>
              <w:pStyle w:val="Tabletext"/>
              <w:jc w:val="center"/>
              <w:rPr>
                <w:b/>
                <w:bCs/>
              </w:rPr>
            </w:pPr>
            <w:r w:rsidRPr="004B7EF4">
              <w:rPr>
                <w:b/>
                <w:bCs/>
              </w:rPr>
              <w:t>(E</w:t>
            </w:r>
            <w:r w:rsidRPr="004B7EF4">
              <w:rPr>
                <w:b/>
                <w:bCs/>
                <w:vertAlign w:val="superscript"/>
              </w:rPr>
              <w:t>-12</w:t>
            </w:r>
            <w:r w:rsidRPr="004B7EF4">
              <w:rPr>
                <w:b/>
                <w:bCs/>
              </w:rPr>
              <w:t xml:space="preserve"> cm</w:t>
            </w:r>
            <w:r w:rsidRPr="004B7EF4">
              <w:rPr>
                <w:b/>
                <w:bCs/>
                <w:vertAlign w:val="superscript"/>
              </w:rPr>
              <w:t>3</w:t>
            </w:r>
            <w:r w:rsidRPr="004B7EF4">
              <w:rPr>
                <w:b/>
                <w:bCs/>
              </w:rPr>
              <w:t>/molecule-sec)</w:t>
            </w:r>
          </w:p>
        </w:tc>
        <w:tc>
          <w:tcPr>
            <w:tcW w:w="3112" w:type="dxa"/>
            <w:tcBorders>
              <w:top w:val="single" w:sz="12" w:space="0" w:color="auto"/>
              <w:bottom w:val="single" w:sz="12" w:space="0" w:color="auto"/>
            </w:tcBorders>
            <w:vAlign w:val="center"/>
          </w:tcPr>
          <w:p w:rsidR="001D41E2" w:rsidRPr="004B7EF4" w:rsidRDefault="001D41E2" w:rsidP="00773BAB">
            <w:pPr>
              <w:pStyle w:val="Tabletext"/>
              <w:jc w:val="center"/>
              <w:rPr>
                <w:b/>
                <w:bCs/>
              </w:rPr>
            </w:pPr>
            <w:r w:rsidRPr="004B7EF4">
              <w:rPr>
                <w:b/>
                <w:bCs/>
              </w:rPr>
              <w:t xml:space="preserve">Estimated half-life (days) for a </w:t>
            </w:r>
            <w:r>
              <w:rPr>
                <w:b/>
                <w:bCs/>
              </w:rPr>
              <w:t>12</w:t>
            </w:r>
            <w:r w:rsidRPr="004B7EF4">
              <w:rPr>
                <w:b/>
                <w:bCs/>
              </w:rPr>
              <w:t xml:space="preserve">-h day </w:t>
            </w:r>
          </w:p>
        </w:tc>
        <w:tc>
          <w:tcPr>
            <w:tcW w:w="1808" w:type="dxa"/>
            <w:tcBorders>
              <w:top w:val="single" w:sz="12" w:space="0" w:color="auto"/>
              <w:bottom w:val="single" w:sz="12" w:space="0" w:color="auto"/>
            </w:tcBorders>
            <w:vAlign w:val="center"/>
          </w:tcPr>
          <w:p w:rsidR="001D41E2" w:rsidRPr="004B7EF4" w:rsidRDefault="001D41E2" w:rsidP="00773BAB">
            <w:pPr>
              <w:pStyle w:val="Tabletext"/>
              <w:jc w:val="center"/>
              <w:rPr>
                <w:b/>
                <w:bCs/>
              </w:rPr>
            </w:pPr>
            <w:r w:rsidRPr="004B7EF4">
              <w:rPr>
                <w:b/>
                <w:bCs/>
              </w:rPr>
              <w:t>References</w:t>
            </w:r>
          </w:p>
        </w:tc>
      </w:tr>
      <w:tr w:rsidR="001D41E2" w:rsidRPr="004B7EF4" w:rsidTr="00F71952">
        <w:trPr>
          <w:trHeight w:val="397"/>
        </w:trPr>
        <w:tc>
          <w:tcPr>
            <w:tcW w:w="9708" w:type="dxa"/>
            <w:gridSpan w:val="4"/>
            <w:tcBorders>
              <w:top w:val="single" w:sz="12" w:space="0" w:color="auto"/>
            </w:tcBorders>
            <w:vAlign w:val="center"/>
          </w:tcPr>
          <w:p w:rsidR="001D41E2" w:rsidRPr="004B7EF4" w:rsidRDefault="001D41E2" w:rsidP="00773BAB">
            <w:pPr>
              <w:pStyle w:val="Tabletext"/>
            </w:pPr>
            <w:r w:rsidRPr="004B7EF4">
              <w:rPr>
                <w:b/>
                <w:bCs/>
              </w:rPr>
              <w:t>Photodegradation in air</w:t>
            </w:r>
          </w:p>
        </w:tc>
      </w:tr>
      <w:tr w:rsidR="001D41E2" w:rsidRPr="004B7EF4" w:rsidTr="00F71952">
        <w:trPr>
          <w:trHeight w:val="467"/>
        </w:trPr>
        <w:tc>
          <w:tcPr>
            <w:tcW w:w="1908" w:type="dxa"/>
            <w:vAlign w:val="center"/>
          </w:tcPr>
          <w:p w:rsidR="001D41E2" w:rsidRPr="004B7EF4" w:rsidRDefault="001D41E2" w:rsidP="00094EE5">
            <w:pPr>
              <w:pStyle w:val="Tabletext"/>
              <w:keepNext w:val="0"/>
              <w:keepLines w:val="0"/>
              <w:spacing w:before="60" w:after="60"/>
              <w:jc w:val="center"/>
            </w:pPr>
            <w:r w:rsidRPr="004B7EF4">
              <w:t xml:space="preserve">MeCF </w:t>
            </w:r>
          </w:p>
        </w:tc>
        <w:tc>
          <w:tcPr>
            <w:tcW w:w="2880" w:type="dxa"/>
            <w:vAlign w:val="center"/>
          </w:tcPr>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0.218</w:t>
            </w:r>
          </w:p>
        </w:tc>
        <w:tc>
          <w:tcPr>
            <w:tcW w:w="3112" w:type="dxa"/>
            <w:vAlign w:val="center"/>
          </w:tcPr>
          <w:p w:rsidR="001D41E2" w:rsidRPr="004C2CEE" w:rsidRDefault="007D3E3E" w:rsidP="00773BAB">
            <w:pPr>
              <w:pStyle w:val="NormalWeb"/>
              <w:spacing w:before="60" w:beforeAutospacing="0" w:after="60" w:afterAutospacing="0"/>
              <w:jc w:val="center"/>
              <w:rPr>
                <w:sz w:val="20"/>
                <w:szCs w:val="20"/>
                <w:lang w:val="en-US"/>
              </w:rPr>
            </w:pPr>
            <w:r w:rsidRPr="007D3E3E">
              <w:rPr>
                <w:sz w:val="20"/>
                <w:szCs w:val="20"/>
                <w:lang w:val="en-US"/>
              </w:rPr>
              <w:t>49.2</w:t>
            </w:r>
          </w:p>
        </w:tc>
        <w:tc>
          <w:tcPr>
            <w:tcW w:w="1808" w:type="dxa"/>
            <w:vAlign w:val="center"/>
          </w:tcPr>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US EPA, 20</w:t>
            </w:r>
            <w:r>
              <w:rPr>
                <w:sz w:val="20"/>
                <w:szCs w:val="20"/>
                <w:lang w:val="en-US"/>
              </w:rPr>
              <w:t>10</w:t>
            </w:r>
            <w:r w:rsidRPr="004B7EF4">
              <w:rPr>
                <w:sz w:val="20"/>
                <w:szCs w:val="20"/>
                <w:lang w:val="en-US"/>
              </w:rPr>
              <w:t>a (EPISuite v</w:t>
            </w:r>
            <w:r>
              <w:rPr>
                <w:sz w:val="20"/>
                <w:szCs w:val="20"/>
                <w:lang w:val="en-US"/>
              </w:rPr>
              <w:t>4.0</w:t>
            </w:r>
            <w:r w:rsidRPr="004B7EF4">
              <w:rPr>
                <w:sz w:val="20"/>
                <w:szCs w:val="20"/>
                <w:lang w:val="en-US"/>
              </w:rPr>
              <w:t>0)</w:t>
            </w:r>
          </w:p>
        </w:tc>
      </w:tr>
      <w:tr w:rsidR="001D41E2" w:rsidRPr="004B7EF4" w:rsidTr="00F71952">
        <w:trPr>
          <w:trHeight w:val="567"/>
        </w:trPr>
        <w:tc>
          <w:tcPr>
            <w:tcW w:w="1908" w:type="dxa"/>
            <w:vAlign w:val="center"/>
          </w:tcPr>
          <w:p w:rsidR="001D41E2" w:rsidRPr="004B7EF4" w:rsidRDefault="001D41E2" w:rsidP="00094EE5">
            <w:pPr>
              <w:pStyle w:val="Tabletext"/>
              <w:keepNext w:val="0"/>
              <w:keepLines w:val="0"/>
              <w:spacing w:before="60" w:after="60"/>
              <w:jc w:val="center"/>
            </w:pPr>
            <w:r w:rsidRPr="004B7EF4">
              <w:t xml:space="preserve">EtCF </w:t>
            </w:r>
          </w:p>
        </w:tc>
        <w:tc>
          <w:tcPr>
            <w:tcW w:w="2880" w:type="dxa"/>
            <w:vAlign w:val="center"/>
          </w:tcPr>
          <w:p w:rsidR="001D41E2" w:rsidRPr="004B7EF4" w:rsidRDefault="001D41E2" w:rsidP="00AC396A">
            <w:pPr>
              <w:spacing w:before="60" w:after="60"/>
              <w:jc w:val="center"/>
              <w:rPr>
                <w:sz w:val="20"/>
                <w:szCs w:val="20"/>
              </w:rPr>
            </w:pPr>
            <w:r w:rsidRPr="004B7EF4">
              <w:rPr>
                <w:sz w:val="20"/>
                <w:szCs w:val="20"/>
              </w:rPr>
              <w:t>1.66</w:t>
            </w:r>
          </w:p>
        </w:tc>
        <w:tc>
          <w:tcPr>
            <w:tcW w:w="3112" w:type="dxa"/>
            <w:vAlign w:val="center"/>
          </w:tcPr>
          <w:p w:rsidR="001D41E2" w:rsidRPr="004C2CEE" w:rsidRDefault="007D3E3E" w:rsidP="00773BAB">
            <w:pPr>
              <w:pStyle w:val="NormalWeb"/>
              <w:spacing w:before="60" w:beforeAutospacing="0" w:after="60" w:afterAutospacing="0"/>
              <w:jc w:val="center"/>
              <w:rPr>
                <w:sz w:val="20"/>
                <w:szCs w:val="20"/>
                <w:lang w:val="en-US"/>
              </w:rPr>
            </w:pPr>
            <w:r w:rsidRPr="007D3E3E">
              <w:rPr>
                <w:sz w:val="20"/>
                <w:szCs w:val="20"/>
                <w:lang w:val="en-US"/>
              </w:rPr>
              <w:t>6.4</w:t>
            </w:r>
          </w:p>
        </w:tc>
        <w:tc>
          <w:tcPr>
            <w:tcW w:w="1808" w:type="dxa"/>
            <w:vAlign w:val="center"/>
          </w:tcPr>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US EPA, 20</w:t>
            </w:r>
            <w:r>
              <w:rPr>
                <w:sz w:val="20"/>
                <w:szCs w:val="20"/>
                <w:lang w:val="en-US"/>
              </w:rPr>
              <w:t>10</w:t>
            </w:r>
            <w:r w:rsidRPr="004B7EF4">
              <w:rPr>
                <w:sz w:val="20"/>
                <w:szCs w:val="20"/>
                <w:lang w:val="en-US"/>
              </w:rPr>
              <w:t>b (EPISuite v</w:t>
            </w:r>
            <w:r>
              <w:rPr>
                <w:sz w:val="20"/>
                <w:szCs w:val="20"/>
                <w:lang w:val="en-US"/>
              </w:rPr>
              <w:t>4.0</w:t>
            </w:r>
            <w:r w:rsidRPr="004B7EF4">
              <w:rPr>
                <w:sz w:val="20"/>
                <w:szCs w:val="20"/>
                <w:lang w:val="en-US"/>
              </w:rPr>
              <w:t>0)</w:t>
            </w:r>
          </w:p>
        </w:tc>
      </w:tr>
      <w:tr w:rsidR="001D41E2" w:rsidRPr="004B7EF4" w:rsidTr="00F71952">
        <w:trPr>
          <w:trHeight w:val="567"/>
        </w:trPr>
        <w:tc>
          <w:tcPr>
            <w:tcW w:w="1908" w:type="dxa"/>
            <w:vAlign w:val="center"/>
          </w:tcPr>
          <w:p w:rsidR="001D41E2" w:rsidRPr="004B7EF4" w:rsidRDefault="001D41E2" w:rsidP="00094EE5">
            <w:pPr>
              <w:pStyle w:val="Tabletext"/>
              <w:keepNext w:val="0"/>
              <w:keepLines w:val="0"/>
              <w:spacing w:before="60" w:after="60"/>
              <w:jc w:val="center"/>
            </w:pPr>
            <w:r w:rsidRPr="004B7EF4">
              <w:t>PrCF</w:t>
            </w:r>
          </w:p>
        </w:tc>
        <w:tc>
          <w:tcPr>
            <w:tcW w:w="2880" w:type="dxa"/>
            <w:vAlign w:val="center"/>
          </w:tcPr>
          <w:p w:rsidR="001D41E2" w:rsidRPr="004B7EF4" w:rsidRDefault="001D41E2" w:rsidP="00773BAB">
            <w:pPr>
              <w:spacing w:before="60" w:after="60"/>
              <w:jc w:val="center"/>
              <w:rPr>
                <w:sz w:val="20"/>
                <w:szCs w:val="20"/>
              </w:rPr>
            </w:pPr>
            <w:r w:rsidRPr="004B7EF4">
              <w:rPr>
                <w:sz w:val="20"/>
                <w:szCs w:val="20"/>
              </w:rPr>
              <w:t>3.15</w:t>
            </w:r>
          </w:p>
        </w:tc>
        <w:tc>
          <w:tcPr>
            <w:tcW w:w="3112" w:type="dxa"/>
            <w:vAlign w:val="center"/>
          </w:tcPr>
          <w:p w:rsidR="001D41E2" w:rsidRPr="004C2CEE" w:rsidRDefault="007D3E3E" w:rsidP="00773BAB">
            <w:pPr>
              <w:spacing w:before="60" w:after="60"/>
              <w:jc w:val="center"/>
              <w:rPr>
                <w:sz w:val="20"/>
                <w:szCs w:val="20"/>
              </w:rPr>
            </w:pPr>
            <w:r w:rsidRPr="007D3E3E">
              <w:rPr>
                <w:sz w:val="20"/>
                <w:szCs w:val="20"/>
              </w:rPr>
              <w:t>3.4</w:t>
            </w:r>
          </w:p>
        </w:tc>
        <w:tc>
          <w:tcPr>
            <w:tcW w:w="1808" w:type="dxa"/>
            <w:vAlign w:val="center"/>
          </w:tcPr>
          <w:p w:rsidR="001D41E2" w:rsidRPr="004B7EF4" w:rsidRDefault="001D41E2" w:rsidP="00773BAB">
            <w:pPr>
              <w:spacing w:before="60" w:after="60"/>
              <w:jc w:val="center"/>
              <w:rPr>
                <w:sz w:val="20"/>
                <w:szCs w:val="20"/>
              </w:rPr>
            </w:pPr>
            <w:r w:rsidRPr="004B7EF4">
              <w:rPr>
                <w:sz w:val="20"/>
                <w:szCs w:val="20"/>
              </w:rPr>
              <w:t>US EPA, 20</w:t>
            </w:r>
            <w:r>
              <w:rPr>
                <w:sz w:val="20"/>
                <w:szCs w:val="20"/>
              </w:rPr>
              <w:t>10</w:t>
            </w:r>
            <w:r w:rsidRPr="004B7EF4">
              <w:rPr>
                <w:sz w:val="20"/>
                <w:szCs w:val="20"/>
              </w:rPr>
              <w:t>c (EPISuite v</w:t>
            </w:r>
            <w:r>
              <w:rPr>
                <w:sz w:val="20"/>
                <w:szCs w:val="20"/>
              </w:rPr>
              <w:t>4.0</w:t>
            </w:r>
            <w:r w:rsidRPr="004B7EF4">
              <w:rPr>
                <w:sz w:val="20"/>
                <w:szCs w:val="20"/>
              </w:rPr>
              <w:t>0)</w:t>
            </w:r>
          </w:p>
        </w:tc>
      </w:tr>
      <w:tr w:rsidR="001D41E2" w:rsidRPr="004B7EF4" w:rsidTr="00F71952">
        <w:trPr>
          <w:trHeight w:val="567"/>
        </w:trPr>
        <w:tc>
          <w:tcPr>
            <w:tcW w:w="1908" w:type="dxa"/>
            <w:vAlign w:val="center"/>
          </w:tcPr>
          <w:p w:rsidR="001D41E2" w:rsidRPr="004B7EF4" w:rsidRDefault="001D41E2" w:rsidP="00094EE5">
            <w:pPr>
              <w:pStyle w:val="Tabletext"/>
              <w:keepNext w:val="0"/>
              <w:keepLines w:val="0"/>
              <w:spacing w:before="60" w:after="60"/>
              <w:jc w:val="center"/>
            </w:pPr>
            <w:r w:rsidRPr="004B7EF4">
              <w:t>IpCF</w:t>
            </w:r>
          </w:p>
        </w:tc>
        <w:tc>
          <w:tcPr>
            <w:tcW w:w="2880" w:type="dxa"/>
            <w:vAlign w:val="center"/>
          </w:tcPr>
          <w:p w:rsidR="001D41E2" w:rsidRPr="004B7EF4" w:rsidRDefault="001D41E2" w:rsidP="00773BAB">
            <w:pPr>
              <w:spacing w:before="60" w:after="60"/>
              <w:jc w:val="center"/>
              <w:rPr>
                <w:sz w:val="20"/>
                <w:szCs w:val="20"/>
              </w:rPr>
            </w:pPr>
            <w:r w:rsidRPr="004B7EF4">
              <w:rPr>
                <w:sz w:val="20"/>
                <w:szCs w:val="20"/>
              </w:rPr>
              <w:t>3.44</w:t>
            </w:r>
          </w:p>
        </w:tc>
        <w:tc>
          <w:tcPr>
            <w:tcW w:w="3112" w:type="dxa"/>
            <w:vAlign w:val="center"/>
          </w:tcPr>
          <w:p w:rsidR="001D41E2" w:rsidRPr="004C2CEE" w:rsidRDefault="007D3E3E" w:rsidP="00773BAB">
            <w:pPr>
              <w:spacing w:before="60" w:after="60"/>
              <w:jc w:val="center"/>
              <w:rPr>
                <w:sz w:val="20"/>
                <w:szCs w:val="20"/>
              </w:rPr>
            </w:pPr>
            <w:r w:rsidRPr="007D3E3E">
              <w:rPr>
                <w:sz w:val="20"/>
                <w:szCs w:val="20"/>
              </w:rPr>
              <w:t>3.1</w:t>
            </w:r>
          </w:p>
        </w:tc>
        <w:tc>
          <w:tcPr>
            <w:tcW w:w="1808" w:type="dxa"/>
            <w:vAlign w:val="center"/>
          </w:tcPr>
          <w:p w:rsidR="001D41E2" w:rsidRPr="004B7EF4" w:rsidRDefault="001D41E2" w:rsidP="00773BAB">
            <w:pPr>
              <w:spacing w:before="60" w:after="60"/>
              <w:jc w:val="center"/>
              <w:rPr>
                <w:sz w:val="20"/>
                <w:szCs w:val="20"/>
              </w:rPr>
            </w:pPr>
            <w:r w:rsidRPr="004B7EF4">
              <w:rPr>
                <w:sz w:val="20"/>
                <w:szCs w:val="20"/>
              </w:rPr>
              <w:t>US EPA, 20</w:t>
            </w:r>
            <w:r>
              <w:rPr>
                <w:sz w:val="20"/>
                <w:szCs w:val="20"/>
              </w:rPr>
              <w:t>10</w:t>
            </w:r>
            <w:r w:rsidRPr="004B7EF4">
              <w:rPr>
                <w:sz w:val="20"/>
                <w:szCs w:val="20"/>
              </w:rPr>
              <w:t>d (EPISuite v</w:t>
            </w:r>
            <w:r>
              <w:rPr>
                <w:sz w:val="20"/>
                <w:szCs w:val="20"/>
              </w:rPr>
              <w:t>4.0</w:t>
            </w:r>
            <w:r w:rsidRPr="004B7EF4">
              <w:rPr>
                <w:sz w:val="20"/>
                <w:szCs w:val="20"/>
              </w:rPr>
              <w:t>0)</w:t>
            </w:r>
          </w:p>
        </w:tc>
      </w:tr>
      <w:tr w:rsidR="001D41E2" w:rsidRPr="004B7EF4" w:rsidTr="00F71952">
        <w:trPr>
          <w:trHeight w:val="567"/>
        </w:trPr>
        <w:tc>
          <w:tcPr>
            <w:tcW w:w="1908" w:type="dxa"/>
            <w:vAlign w:val="center"/>
          </w:tcPr>
          <w:p w:rsidR="001D41E2" w:rsidRPr="004B7EF4" w:rsidRDefault="001D41E2" w:rsidP="00094EE5">
            <w:pPr>
              <w:pStyle w:val="Tabletext"/>
              <w:jc w:val="center"/>
            </w:pPr>
            <w:r w:rsidRPr="004B7EF4">
              <w:t>SbCF</w:t>
            </w:r>
          </w:p>
        </w:tc>
        <w:tc>
          <w:tcPr>
            <w:tcW w:w="2880" w:type="dxa"/>
            <w:vAlign w:val="center"/>
          </w:tcPr>
          <w:p w:rsidR="001D41E2" w:rsidRPr="004B7EF4" w:rsidRDefault="001D41E2" w:rsidP="00773BAB">
            <w:pPr>
              <w:spacing w:before="60" w:after="60"/>
              <w:jc w:val="center"/>
              <w:rPr>
                <w:sz w:val="20"/>
                <w:szCs w:val="20"/>
              </w:rPr>
            </w:pPr>
            <w:r w:rsidRPr="004B7EF4">
              <w:rPr>
                <w:sz w:val="20"/>
                <w:szCs w:val="20"/>
              </w:rPr>
              <w:t>5.30</w:t>
            </w:r>
          </w:p>
        </w:tc>
        <w:tc>
          <w:tcPr>
            <w:tcW w:w="3112" w:type="dxa"/>
            <w:vAlign w:val="center"/>
          </w:tcPr>
          <w:p w:rsidR="001D41E2" w:rsidRPr="004C2CEE" w:rsidRDefault="007D3E3E" w:rsidP="00773BAB">
            <w:pPr>
              <w:pStyle w:val="NormalWeb"/>
              <w:spacing w:before="60" w:beforeAutospacing="0" w:after="60" w:afterAutospacing="0"/>
              <w:jc w:val="center"/>
              <w:rPr>
                <w:sz w:val="20"/>
                <w:szCs w:val="20"/>
                <w:lang w:val="en-US"/>
              </w:rPr>
            </w:pPr>
            <w:r w:rsidRPr="007D3E3E">
              <w:rPr>
                <w:sz w:val="20"/>
                <w:szCs w:val="20"/>
                <w:lang w:val="en-US"/>
              </w:rPr>
              <w:t>2.0</w:t>
            </w:r>
          </w:p>
        </w:tc>
        <w:tc>
          <w:tcPr>
            <w:tcW w:w="1808" w:type="dxa"/>
            <w:vAlign w:val="center"/>
          </w:tcPr>
          <w:p w:rsidR="001D41E2" w:rsidRPr="004B7EF4" w:rsidRDefault="001D41E2" w:rsidP="00773BAB">
            <w:pPr>
              <w:pStyle w:val="Tabletext"/>
              <w:keepNext w:val="0"/>
              <w:keepLines w:val="0"/>
              <w:spacing w:before="60" w:after="60"/>
              <w:jc w:val="center"/>
            </w:pPr>
            <w:r w:rsidRPr="004B7EF4">
              <w:t>US EPA, 20</w:t>
            </w:r>
            <w:r>
              <w:t>10e</w:t>
            </w:r>
            <w:r w:rsidRPr="004B7EF4">
              <w:t xml:space="preserve"> (EPISuite v</w:t>
            </w:r>
            <w:r>
              <w:t>4.0</w:t>
            </w:r>
            <w:r w:rsidRPr="004B7EF4">
              <w:t>0)</w:t>
            </w:r>
          </w:p>
        </w:tc>
      </w:tr>
      <w:tr w:rsidR="001D41E2" w:rsidRPr="004B7EF4" w:rsidTr="00F71952">
        <w:trPr>
          <w:trHeight w:val="567"/>
        </w:trPr>
        <w:tc>
          <w:tcPr>
            <w:tcW w:w="1908" w:type="dxa"/>
            <w:vAlign w:val="center"/>
          </w:tcPr>
          <w:p w:rsidR="001D41E2" w:rsidRPr="004B7EF4" w:rsidRDefault="001D41E2" w:rsidP="00094EE5">
            <w:pPr>
              <w:pStyle w:val="Tabletext"/>
              <w:keepNext w:val="0"/>
              <w:keepLines w:val="0"/>
              <w:spacing w:before="60" w:after="60"/>
              <w:jc w:val="center"/>
            </w:pPr>
            <w:r w:rsidRPr="004B7EF4">
              <w:t>ObCF</w:t>
            </w:r>
          </w:p>
        </w:tc>
        <w:tc>
          <w:tcPr>
            <w:tcW w:w="2880" w:type="dxa"/>
            <w:vAlign w:val="center"/>
          </w:tcPr>
          <w:p w:rsidR="001D41E2" w:rsidRPr="004B7EF4" w:rsidRDefault="001D41E2" w:rsidP="00773BAB">
            <w:pPr>
              <w:spacing w:before="60" w:after="60"/>
              <w:jc w:val="center"/>
              <w:rPr>
                <w:sz w:val="20"/>
                <w:szCs w:val="20"/>
              </w:rPr>
            </w:pPr>
            <w:r w:rsidRPr="004B7EF4">
              <w:rPr>
                <w:sz w:val="20"/>
                <w:szCs w:val="20"/>
              </w:rPr>
              <w:t>17.7</w:t>
            </w:r>
          </w:p>
        </w:tc>
        <w:tc>
          <w:tcPr>
            <w:tcW w:w="3112" w:type="dxa"/>
            <w:vAlign w:val="center"/>
          </w:tcPr>
          <w:p w:rsidR="001D41E2" w:rsidRPr="004C2CEE" w:rsidRDefault="007D3E3E" w:rsidP="00773BAB">
            <w:pPr>
              <w:pStyle w:val="NormalWeb"/>
              <w:spacing w:before="60" w:beforeAutospacing="0" w:after="60" w:afterAutospacing="0"/>
              <w:jc w:val="center"/>
              <w:rPr>
                <w:sz w:val="20"/>
                <w:szCs w:val="20"/>
                <w:lang w:val="en-US"/>
              </w:rPr>
            </w:pPr>
            <w:r w:rsidRPr="007D3E3E">
              <w:rPr>
                <w:sz w:val="20"/>
                <w:szCs w:val="20"/>
                <w:lang w:val="en-US"/>
              </w:rPr>
              <w:t>0.61</w:t>
            </w:r>
          </w:p>
        </w:tc>
        <w:tc>
          <w:tcPr>
            <w:tcW w:w="1808" w:type="dxa"/>
            <w:vAlign w:val="center"/>
          </w:tcPr>
          <w:p w:rsidR="001D41E2" w:rsidRPr="004B7EF4" w:rsidRDefault="001D41E2" w:rsidP="00773BAB">
            <w:pPr>
              <w:pStyle w:val="Tabletext"/>
              <w:keepNext w:val="0"/>
              <w:keepLines w:val="0"/>
              <w:spacing w:before="60" w:after="60"/>
              <w:jc w:val="center"/>
            </w:pPr>
            <w:r w:rsidRPr="004B7EF4">
              <w:t>US EPA, 20</w:t>
            </w:r>
            <w:r>
              <w:t xml:space="preserve">10f </w:t>
            </w:r>
            <w:r w:rsidRPr="004B7EF4">
              <w:t>(EPISuite v</w:t>
            </w:r>
            <w:r>
              <w:t>4.0</w:t>
            </w:r>
            <w:r w:rsidRPr="004B7EF4">
              <w:t>0)</w:t>
            </w:r>
          </w:p>
        </w:tc>
      </w:tr>
      <w:tr w:rsidR="001D41E2" w:rsidRPr="004B7EF4" w:rsidTr="00F71952">
        <w:trPr>
          <w:trHeight w:val="567"/>
        </w:trPr>
        <w:tc>
          <w:tcPr>
            <w:tcW w:w="1908" w:type="dxa"/>
            <w:vAlign w:val="center"/>
          </w:tcPr>
          <w:p w:rsidR="001D41E2" w:rsidRPr="004B7EF4" w:rsidRDefault="001D41E2" w:rsidP="00094EE5">
            <w:pPr>
              <w:pStyle w:val="Tabletext"/>
              <w:keepNext w:val="0"/>
              <w:keepLines w:val="0"/>
              <w:spacing w:before="60" w:after="60"/>
              <w:jc w:val="center"/>
            </w:pPr>
            <w:r w:rsidRPr="004B7EF4">
              <w:t>EhCF</w:t>
            </w:r>
          </w:p>
        </w:tc>
        <w:tc>
          <w:tcPr>
            <w:tcW w:w="2880" w:type="dxa"/>
            <w:vAlign w:val="center"/>
          </w:tcPr>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10.9</w:t>
            </w:r>
          </w:p>
        </w:tc>
        <w:tc>
          <w:tcPr>
            <w:tcW w:w="3112" w:type="dxa"/>
            <w:vAlign w:val="center"/>
          </w:tcPr>
          <w:p w:rsidR="001D41E2" w:rsidRPr="004C2CEE" w:rsidRDefault="007D3E3E" w:rsidP="00773BAB">
            <w:pPr>
              <w:pStyle w:val="NormalWeb"/>
              <w:spacing w:before="60" w:beforeAutospacing="0" w:after="60" w:afterAutospacing="0"/>
              <w:jc w:val="center"/>
              <w:rPr>
                <w:sz w:val="20"/>
                <w:szCs w:val="20"/>
                <w:lang w:val="en-US"/>
              </w:rPr>
            </w:pPr>
            <w:r w:rsidRPr="007D3E3E">
              <w:rPr>
                <w:sz w:val="20"/>
                <w:szCs w:val="20"/>
                <w:lang w:val="en-US"/>
              </w:rPr>
              <w:t>0.98</w:t>
            </w:r>
          </w:p>
        </w:tc>
        <w:tc>
          <w:tcPr>
            <w:tcW w:w="1808" w:type="dxa"/>
            <w:vAlign w:val="center"/>
          </w:tcPr>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US EPA, 20</w:t>
            </w:r>
            <w:r>
              <w:rPr>
                <w:sz w:val="20"/>
                <w:szCs w:val="20"/>
                <w:lang w:val="en-US"/>
              </w:rPr>
              <w:t xml:space="preserve">10g </w:t>
            </w:r>
            <w:r w:rsidRPr="004B7EF4">
              <w:rPr>
                <w:sz w:val="20"/>
                <w:szCs w:val="20"/>
                <w:lang w:val="en-US"/>
              </w:rPr>
              <w:t>(EPISuite v</w:t>
            </w:r>
            <w:r>
              <w:rPr>
                <w:sz w:val="20"/>
                <w:szCs w:val="20"/>
                <w:lang w:val="en-US"/>
              </w:rPr>
              <w:t>4.0</w:t>
            </w:r>
            <w:r w:rsidRPr="004B7EF4">
              <w:rPr>
                <w:sz w:val="20"/>
                <w:szCs w:val="20"/>
                <w:lang w:val="en-US"/>
              </w:rPr>
              <w:t>0)</w:t>
            </w:r>
          </w:p>
        </w:tc>
      </w:tr>
    </w:tbl>
    <w:p w:rsidR="001D41E2" w:rsidRPr="004B7EF4" w:rsidRDefault="001D41E2" w:rsidP="00F71952">
      <w:pPr>
        <w:pStyle w:val="BodyText"/>
        <w:spacing w:before="240"/>
        <w:rPr>
          <w:lang w:val="en-US"/>
        </w:rPr>
      </w:pPr>
      <w:r w:rsidRPr="00396720">
        <w:rPr>
          <w:lang w:val="en-US"/>
        </w:rPr>
        <w:t>In the atmosphere, indirect photo-oxidation of the category members by reaction with hydroxyl radicals is predicted to occur with half-lives ranging from less than 1 day (EhCF and ObCF) to ca. 49 days (MeCF). The estimations refer to a 12-h day with an assumed OH radical concentration of 1.5 x 10</w:t>
      </w:r>
      <w:r w:rsidRPr="00396720">
        <w:rPr>
          <w:vertAlign w:val="superscript"/>
          <w:lang w:val="en-US"/>
        </w:rPr>
        <w:t>6</w:t>
      </w:r>
      <w:r w:rsidRPr="00396720">
        <w:rPr>
          <w:lang w:val="en-US"/>
        </w:rPr>
        <w:t xml:space="preserve"> OH/cm³.</w:t>
      </w:r>
    </w:p>
    <w:p w:rsidR="001D41E2" w:rsidRPr="004B7EF4" w:rsidRDefault="001D41E2" w:rsidP="001D379D">
      <w:pPr>
        <w:pStyle w:val="Heading3"/>
        <w:numPr>
          <w:ilvl w:val="2"/>
          <w:numId w:val="28"/>
        </w:numPr>
        <w:tabs>
          <w:tab w:val="clear" w:pos="1440"/>
          <w:tab w:val="clear" w:pos="2160"/>
        </w:tabs>
        <w:rPr>
          <w:lang w:val="en-US"/>
        </w:rPr>
      </w:pPr>
      <w:bookmarkStart w:id="22" w:name="_Toc264983254"/>
      <w:r w:rsidRPr="004B7EF4">
        <w:rPr>
          <w:lang w:val="en-US"/>
        </w:rPr>
        <w:t>Stability in Water</w:t>
      </w:r>
      <w:bookmarkEnd w:id="22"/>
    </w:p>
    <w:p w:rsidR="001D41E2" w:rsidRDefault="001D41E2" w:rsidP="001D379D">
      <w:pPr>
        <w:pStyle w:val="NormalWeb"/>
        <w:spacing w:before="0" w:beforeAutospacing="0"/>
        <w:jc w:val="both"/>
        <w:rPr>
          <w:lang w:val="en-US"/>
        </w:rPr>
      </w:pPr>
      <w:r>
        <w:rPr>
          <w:lang w:val="en-US"/>
        </w:rPr>
        <w:t>Hydrolysis rate is the primary and major fate process of the chloroformates category members. Guideline hydrolysis studies were conducted on all category members except for PrCF and SbCF.  The results from the hydrolysis studies on IpCF and other category members will be used to fill the endpoint for PrCF and SBCF.</w:t>
      </w:r>
    </w:p>
    <w:p w:rsidR="001D41E2" w:rsidRPr="004B7EF4" w:rsidRDefault="001D41E2" w:rsidP="001D379D">
      <w:pPr>
        <w:pStyle w:val="NormalWeb"/>
        <w:spacing w:before="0" w:beforeAutospacing="0"/>
        <w:jc w:val="both"/>
        <w:rPr>
          <w:lang w:val="en-US"/>
        </w:rPr>
      </w:pPr>
      <w:r w:rsidRPr="004B7EF4">
        <w:rPr>
          <w:lang w:val="en-US"/>
        </w:rPr>
        <w:t>The hydroly</w:t>
      </w:r>
      <w:r>
        <w:rPr>
          <w:lang w:val="en-US"/>
        </w:rPr>
        <w:t>sis studies conducted on category members were conducted according to OECD TG 111</w:t>
      </w:r>
      <w:r w:rsidRPr="004B7EF4">
        <w:rPr>
          <w:lang w:val="en-US"/>
        </w:rPr>
        <w:t xml:space="preserve">. The tests were carried out at varying pH conditions (pH 4, 7, 9) and temperatures (0 – </w:t>
      </w:r>
      <w:r>
        <w:rPr>
          <w:lang w:val="en-US"/>
        </w:rPr>
        <w:t>25</w:t>
      </w:r>
      <w:r w:rsidRPr="004B7EF4">
        <w:rPr>
          <w:lang w:val="en-US"/>
        </w:rPr>
        <w:t xml:space="preserve"> °C)</w:t>
      </w:r>
      <w:r>
        <w:rPr>
          <w:lang w:val="en-US"/>
        </w:rPr>
        <w:t>, and were conducted in stoppered flasks to reduce evaporation</w:t>
      </w:r>
      <w:r w:rsidRPr="004B7EF4">
        <w:rPr>
          <w:lang w:val="en-US"/>
        </w:rPr>
        <w:t xml:space="preserve">. </w:t>
      </w:r>
      <w:r>
        <w:rPr>
          <w:lang w:val="en-US"/>
        </w:rPr>
        <w:t>Except as noted, t</w:t>
      </w:r>
      <w:r w:rsidRPr="004B7EF4">
        <w:rPr>
          <w:lang w:val="en-US"/>
        </w:rPr>
        <w:t xml:space="preserve">he results were interpolated for 25 °C and are shown in Table </w:t>
      </w:r>
      <w:r w:rsidR="00685752">
        <w:rPr>
          <w:lang w:val="en-US"/>
        </w:rPr>
        <w:t>7</w:t>
      </w:r>
      <w:r w:rsidRPr="004B7EF4">
        <w:rPr>
          <w:lang w:val="en-US"/>
        </w:rPr>
        <w:t xml:space="preserve">. </w:t>
      </w:r>
    </w:p>
    <w:p w:rsidR="001D41E2" w:rsidRPr="00685752" w:rsidRDefault="001D41E2" w:rsidP="00F71952">
      <w:pPr>
        <w:pStyle w:val="Caption"/>
        <w:ind w:left="0"/>
        <w:rPr>
          <w:rFonts w:ascii="Times New Roman" w:hAnsi="Times New Roman" w:cs="Times New Roman"/>
          <w:bCs w:val="0"/>
        </w:rPr>
      </w:pPr>
      <w:bookmarkStart w:id="23" w:name="_Toc262044521"/>
      <w:bookmarkStart w:id="24" w:name="_Toc264983283"/>
      <w:r w:rsidRPr="00685752">
        <w:t xml:space="preserve">Table </w:t>
      </w:r>
      <w:r w:rsidR="00685752" w:rsidRPr="00685752">
        <w:t>7</w:t>
      </w:r>
      <w:r w:rsidR="007D3E3E" w:rsidRPr="007D3E3E">
        <w:rPr>
          <w:bCs w:val="0"/>
        </w:rPr>
        <w:t xml:space="preserve">    </w:t>
      </w:r>
      <w:r w:rsidR="007D3E3E" w:rsidRPr="007D3E3E">
        <w:rPr>
          <w:rFonts w:ascii="Times New Roman" w:hAnsi="Times New Roman" w:cs="Times New Roman"/>
          <w:bCs w:val="0"/>
        </w:rPr>
        <w:t xml:space="preserve"> Summary of Hydrolysis Studies</w:t>
      </w:r>
      <w:bookmarkEnd w:id="23"/>
      <w:bookmarkEnd w:id="24"/>
      <w:r w:rsidR="007D3E3E" w:rsidRPr="007D3E3E">
        <w:rPr>
          <w:bCs w:val="0"/>
        </w:rPr>
        <w:t xml:space="preserve"> </w:t>
      </w:r>
    </w:p>
    <w:tbl>
      <w:tblPr>
        <w:tblW w:w="97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3120"/>
        <w:gridCol w:w="2872"/>
        <w:gridCol w:w="1808"/>
      </w:tblGrid>
      <w:tr w:rsidR="001D41E2" w:rsidRPr="004B7EF4">
        <w:trPr>
          <w:tblHeader/>
        </w:trPr>
        <w:tc>
          <w:tcPr>
            <w:tcW w:w="1908" w:type="dxa"/>
            <w:tcBorders>
              <w:top w:val="single" w:sz="12" w:space="0" w:color="auto"/>
              <w:left w:val="single" w:sz="12" w:space="0" w:color="auto"/>
              <w:bottom w:val="single" w:sz="12" w:space="0" w:color="auto"/>
            </w:tcBorders>
            <w:vAlign w:val="center"/>
          </w:tcPr>
          <w:p w:rsidR="001D41E2" w:rsidRPr="004B7EF4" w:rsidRDefault="001D41E2" w:rsidP="00F71952">
            <w:pPr>
              <w:pStyle w:val="Tabletext"/>
              <w:spacing w:before="60" w:after="60"/>
              <w:ind w:left="282"/>
              <w:rPr>
                <w:b/>
                <w:bCs/>
              </w:rPr>
            </w:pPr>
            <w:r w:rsidRPr="004B7EF4">
              <w:rPr>
                <w:b/>
                <w:bCs/>
              </w:rPr>
              <w:t>Category member / hydrolysis product</w:t>
            </w:r>
          </w:p>
        </w:tc>
        <w:tc>
          <w:tcPr>
            <w:tcW w:w="3120" w:type="dxa"/>
            <w:tcBorders>
              <w:top w:val="single" w:sz="12" w:space="0" w:color="auto"/>
              <w:bottom w:val="single" w:sz="12" w:space="0" w:color="auto"/>
            </w:tcBorders>
            <w:vAlign w:val="center"/>
          </w:tcPr>
          <w:p w:rsidR="001D41E2" w:rsidRPr="004B7EF4" w:rsidRDefault="001D41E2" w:rsidP="00773BAB">
            <w:pPr>
              <w:pStyle w:val="Tabletext"/>
              <w:spacing w:before="60" w:after="60"/>
              <w:jc w:val="center"/>
              <w:rPr>
                <w:b/>
                <w:bCs/>
              </w:rPr>
            </w:pPr>
            <w:r w:rsidRPr="004B7EF4">
              <w:rPr>
                <w:b/>
                <w:bCs/>
              </w:rPr>
              <w:t>Half-lives at 25 °C</w:t>
            </w:r>
            <w:r>
              <w:rPr>
                <w:b/>
                <w:bCs/>
              </w:rPr>
              <w:t>, interpolated*</w:t>
            </w:r>
          </w:p>
        </w:tc>
        <w:tc>
          <w:tcPr>
            <w:tcW w:w="2872" w:type="dxa"/>
            <w:tcBorders>
              <w:top w:val="single" w:sz="12" w:space="0" w:color="auto"/>
              <w:bottom w:val="single" w:sz="12" w:space="0" w:color="auto"/>
            </w:tcBorders>
            <w:vAlign w:val="center"/>
          </w:tcPr>
          <w:p w:rsidR="001D41E2" w:rsidRPr="004B7EF4" w:rsidRDefault="001D41E2" w:rsidP="00773BAB">
            <w:pPr>
              <w:pStyle w:val="Tabletext"/>
              <w:spacing w:before="60" w:after="60"/>
              <w:jc w:val="center"/>
              <w:rPr>
                <w:b/>
                <w:bCs/>
              </w:rPr>
            </w:pPr>
            <w:r w:rsidRPr="004B7EF4">
              <w:rPr>
                <w:b/>
                <w:bCs/>
              </w:rPr>
              <w:t>Expected and confirmed  hydrolysis products</w:t>
            </w:r>
          </w:p>
        </w:tc>
        <w:tc>
          <w:tcPr>
            <w:tcW w:w="1808" w:type="dxa"/>
            <w:tcBorders>
              <w:top w:val="single" w:sz="12" w:space="0" w:color="auto"/>
              <w:bottom w:val="single" w:sz="12" w:space="0" w:color="auto"/>
              <w:right w:val="single" w:sz="12" w:space="0" w:color="auto"/>
            </w:tcBorders>
            <w:vAlign w:val="center"/>
          </w:tcPr>
          <w:p w:rsidR="001D41E2" w:rsidRPr="004B7EF4" w:rsidRDefault="001D41E2" w:rsidP="00773BAB">
            <w:pPr>
              <w:pStyle w:val="Tabletext"/>
              <w:spacing w:before="60" w:after="60"/>
              <w:jc w:val="center"/>
              <w:rPr>
                <w:b/>
                <w:bCs/>
              </w:rPr>
            </w:pPr>
            <w:r w:rsidRPr="004B7EF4">
              <w:rPr>
                <w:b/>
                <w:bCs/>
              </w:rPr>
              <w:t>References</w:t>
            </w:r>
          </w:p>
        </w:tc>
      </w:tr>
      <w:tr w:rsidR="001D41E2" w:rsidRPr="004B7EF4">
        <w:trPr>
          <w:trHeight w:val="397"/>
        </w:trPr>
        <w:tc>
          <w:tcPr>
            <w:tcW w:w="9708" w:type="dxa"/>
            <w:gridSpan w:val="4"/>
            <w:tcBorders>
              <w:top w:val="single" w:sz="12" w:space="0" w:color="auto"/>
              <w:left w:val="single" w:sz="12" w:space="0" w:color="auto"/>
              <w:right w:val="single" w:sz="12" w:space="0" w:color="auto"/>
            </w:tcBorders>
            <w:vAlign w:val="center"/>
          </w:tcPr>
          <w:p w:rsidR="001D41E2" w:rsidRPr="004B7EF4" w:rsidRDefault="001D41E2" w:rsidP="00F71952">
            <w:pPr>
              <w:pStyle w:val="Tabletext"/>
              <w:spacing w:before="60" w:after="60"/>
              <w:ind w:left="282"/>
              <w:jc w:val="center"/>
              <w:rPr>
                <w:b/>
                <w:bCs/>
              </w:rPr>
            </w:pPr>
            <w:r w:rsidRPr="004B7EF4">
              <w:rPr>
                <w:b/>
                <w:bCs/>
              </w:rPr>
              <w:t>Hydrolysis</w:t>
            </w:r>
          </w:p>
        </w:tc>
      </w:tr>
      <w:tr w:rsidR="001D41E2" w:rsidRPr="004B7EF4">
        <w:trPr>
          <w:trHeight w:val="567"/>
        </w:trPr>
        <w:tc>
          <w:tcPr>
            <w:tcW w:w="1908" w:type="dxa"/>
            <w:tcBorders>
              <w:left w:val="single" w:sz="12" w:space="0" w:color="auto"/>
              <w:bottom w:val="nil"/>
            </w:tcBorders>
            <w:vAlign w:val="center"/>
          </w:tcPr>
          <w:p w:rsidR="001D41E2" w:rsidRPr="004B7EF4" w:rsidRDefault="001D41E2" w:rsidP="00F71952">
            <w:pPr>
              <w:pStyle w:val="Tabletext"/>
              <w:spacing w:before="60" w:after="60"/>
              <w:ind w:left="282"/>
            </w:pPr>
            <w:r w:rsidRPr="004B7EF4">
              <w:t xml:space="preserve">MeCF </w:t>
            </w:r>
          </w:p>
        </w:tc>
        <w:tc>
          <w:tcPr>
            <w:tcW w:w="3120" w:type="dxa"/>
            <w:tcBorders>
              <w:bottom w:val="nil"/>
            </w:tcBorders>
            <w:vAlign w:val="center"/>
          </w:tcPr>
          <w:p w:rsidR="001D41E2" w:rsidRPr="00457488" w:rsidRDefault="001D41E2" w:rsidP="00773BAB">
            <w:pPr>
              <w:pStyle w:val="Tabletext"/>
              <w:spacing w:before="60" w:after="60"/>
              <w:jc w:val="center"/>
              <w:rPr>
                <w:lang w:val="en-GB"/>
              </w:rPr>
            </w:pPr>
            <w:r w:rsidRPr="00457488">
              <w:rPr>
                <w:lang w:val="en-GB"/>
              </w:rPr>
              <w:t>p</w:t>
            </w:r>
            <w:r>
              <w:rPr>
                <w:lang w:val="en-GB"/>
              </w:rPr>
              <w:t>H</w:t>
            </w:r>
            <w:r w:rsidRPr="00457488">
              <w:rPr>
                <w:lang w:val="en-GB"/>
              </w:rPr>
              <w:t xml:space="preserve"> 4: 14.2 min</w:t>
            </w:r>
          </w:p>
          <w:p w:rsidR="001D41E2" w:rsidRPr="00457488" w:rsidRDefault="001D41E2" w:rsidP="00773BAB">
            <w:pPr>
              <w:pStyle w:val="Tabletext"/>
              <w:spacing w:before="60" w:after="60"/>
              <w:jc w:val="center"/>
              <w:rPr>
                <w:lang w:val="en-GB"/>
              </w:rPr>
            </w:pPr>
            <w:r w:rsidRPr="00457488">
              <w:rPr>
                <w:lang w:val="en-GB"/>
              </w:rPr>
              <w:t>p</w:t>
            </w:r>
            <w:r>
              <w:rPr>
                <w:lang w:val="en-GB"/>
              </w:rPr>
              <w:t>H</w:t>
            </w:r>
            <w:r w:rsidRPr="00457488">
              <w:rPr>
                <w:lang w:val="en-GB"/>
              </w:rPr>
              <w:t xml:space="preserve"> 7: 8.6 min</w:t>
            </w:r>
          </w:p>
          <w:p w:rsidR="001D41E2" w:rsidRPr="00457488" w:rsidRDefault="001D41E2" w:rsidP="00773BAB">
            <w:pPr>
              <w:pStyle w:val="Tabletext"/>
              <w:spacing w:before="60" w:after="60"/>
              <w:jc w:val="center"/>
              <w:rPr>
                <w:lang w:val="en-GB"/>
              </w:rPr>
            </w:pPr>
            <w:r w:rsidRPr="00457488">
              <w:rPr>
                <w:lang w:val="en-GB"/>
              </w:rPr>
              <w:t>p</w:t>
            </w:r>
            <w:r>
              <w:rPr>
                <w:lang w:val="en-GB"/>
              </w:rPr>
              <w:t>H</w:t>
            </w:r>
            <w:r w:rsidRPr="00457488">
              <w:rPr>
                <w:lang w:val="en-GB"/>
              </w:rPr>
              <w:t xml:space="preserve"> 9: &lt;&lt; 5 min, measured</w:t>
            </w:r>
          </w:p>
        </w:tc>
        <w:tc>
          <w:tcPr>
            <w:tcW w:w="2872" w:type="dxa"/>
            <w:tcBorders>
              <w:bottom w:val="nil"/>
            </w:tcBorders>
            <w:vAlign w:val="center"/>
          </w:tcPr>
          <w:p w:rsidR="001D41E2" w:rsidRPr="004B7EF4" w:rsidRDefault="001D41E2" w:rsidP="00773BAB">
            <w:pPr>
              <w:pStyle w:val="Tabletext"/>
              <w:spacing w:before="60" w:after="60"/>
              <w:jc w:val="center"/>
            </w:pPr>
            <w:r w:rsidRPr="004B7EF4">
              <w:t>Methanol (Me)</w:t>
            </w:r>
          </w:p>
          <w:p w:rsidR="001D41E2" w:rsidRPr="004B7EF4" w:rsidRDefault="001D41E2" w:rsidP="00773BAB">
            <w:pPr>
              <w:pStyle w:val="Tabletext"/>
              <w:spacing w:before="60" w:after="60"/>
              <w:jc w:val="center"/>
            </w:pPr>
            <w:r w:rsidRPr="004B7EF4">
              <w:t>HCl</w:t>
            </w:r>
            <w:r>
              <w:rPr>
                <w:lang w:val="de-DE"/>
              </w:rPr>
              <w:t xml:space="preserve"> </w:t>
            </w:r>
            <w:r w:rsidRPr="004B7EF4">
              <w:rPr>
                <w:vertAlign w:val="superscript"/>
              </w:rPr>
              <w:t>2</w:t>
            </w:r>
          </w:p>
          <w:p w:rsidR="001D41E2" w:rsidRPr="004B7EF4" w:rsidRDefault="001D41E2" w:rsidP="00773BAB">
            <w:pPr>
              <w:pStyle w:val="Tabletext"/>
              <w:spacing w:before="60" w:after="60"/>
              <w:jc w:val="center"/>
            </w:pPr>
            <w:r w:rsidRPr="004B7EF4">
              <w:t>CO</w:t>
            </w:r>
            <w:r w:rsidRPr="004B7EF4">
              <w:rPr>
                <w:vertAlign w:val="subscript"/>
              </w:rPr>
              <w:t>2</w:t>
            </w:r>
            <w:r>
              <w:rPr>
                <w:lang w:val="de-DE"/>
              </w:rPr>
              <w:t xml:space="preserve"> </w:t>
            </w:r>
            <w:r w:rsidRPr="004B7EF4">
              <w:rPr>
                <w:vertAlign w:val="superscript"/>
              </w:rPr>
              <w:t>2</w:t>
            </w:r>
          </w:p>
        </w:tc>
        <w:tc>
          <w:tcPr>
            <w:tcW w:w="1808" w:type="dxa"/>
            <w:tcBorders>
              <w:bottom w:val="nil"/>
              <w:right w:val="single" w:sz="12" w:space="0" w:color="auto"/>
            </w:tcBorders>
            <w:vAlign w:val="center"/>
          </w:tcPr>
          <w:p w:rsidR="001D41E2" w:rsidRPr="004B7EF4" w:rsidRDefault="001D41E2" w:rsidP="00F71952">
            <w:pPr>
              <w:pStyle w:val="Tabletext"/>
              <w:spacing w:before="60" w:after="60"/>
              <w:ind w:left="178"/>
            </w:pPr>
            <w:r w:rsidRPr="004B7EF4">
              <w:t>Safepharm, 2003a</w:t>
            </w:r>
          </w:p>
        </w:tc>
      </w:tr>
      <w:tr w:rsidR="001D41E2" w:rsidRPr="004B7EF4">
        <w:trPr>
          <w:trHeight w:val="567"/>
        </w:trPr>
        <w:tc>
          <w:tcPr>
            <w:tcW w:w="1908" w:type="dxa"/>
            <w:tcBorders>
              <w:left w:val="single" w:sz="12" w:space="0" w:color="auto"/>
              <w:bottom w:val="nil"/>
            </w:tcBorders>
            <w:vAlign w:val="center"/>
          </w:tcPr>
          <w:p w:rsidR="001D41E2" w:rsidRPr="004B7EF4" w:rsidRDefault="001D41E2" w:rsidP="00F71952">
            <w:pPr>
              <w:pStyle w:val="Tabletext"/>
              <w:spacing w:before="60" w:after="60"/>
              <w:ind w:left="282"/>
            </w:pPr>
            <w:r w:rsidRPr="004B7EF4">
              <w:t xml:space="preserve">EtCF </w:t>
            </w:r>
          </w:p>
        </w:tc>
        <w:tc>
          <w:tcPr>
            <w:tcW w:w="3120" w:type="dxa"/>
            <w:tcBorders>
              <w:bottom w:val="nil"/>
            </w:tcBorders>
            <w:vAlign w:val="center"/>
          </w:tcPr>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4: 23.2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7: 20.0 min</w:t>
            </w:r>
          </w:p>
          <w:p w:rsidR="001D41E2" w:rsidRDefault="001D41E2" w:rsidP="00773BAB">
            <w:pPr>
              <w:spacing w:before="60" w:after="60"/>
              <w:jc w:val="center"/>
              <w:rPr>
                <w:snapToGrid w:val="0"/>
                <w:sz w:val="20"/>
                <w:szCs w:val="20"/>
                <w:lang w:val="da-DK" w:eastAsia="da-DK"/>
              </w:rPr>
            </w:pPr>
            <w:r w:rsidRPr="001C339C">
              <w:rPr>
                <w:snapToGrid w:val="0"/>
                <w:sz w:val="20"/>
                <w:szCs w:val="20"/>
                <w:lang w:val="da-DK" w:eastAsia="da-DK"/>
              </w:rPr>
              <w:t>p</w:t>
            </w:r>
            <w:r>
              <w:rPr>
                <w:snapToGrid w:val="0"/>
                <w:sz w:val="20"/>
                <w:szCs w:val="20"/>
                <w:lang w:val="da-DK" w:eastAsia="da-DK"/>
              </w:rPr>
              <w:t>H</w:t>
            </w:r>
            <w:r w:rsidRPr="001C339C">
              <w:rPr>
                <w:snapToGrid w:val="0"/>
                <w:sz w:val="20"/>
                <w:szCs w:val="20"/>
                <w:lang w:val="da-DK" w:eastAsia="da-DK"/>
              </w:rPr>
              <w:t xml:space="preserve"> 9: 14.9 min</w:t>
            </w:r>
          </w:p>
          <w:p w:rsidR="001D41E2" w:rsidRPr="001C339C" w:rsidRDefault="001D41E2" w:rsidP="00773BAB">
            <w:pPr>
              <w:spacing w:before="60" w:after="60"/>
              <w:jc w:val="center"/>
              <w:rPr>
                <w:snapToGrid w:val="0"/>
                <w:sz w:val="20"/>
                <w:szCs w:val="20"/>
                <w:lang w:val="da-DK" w:eastAsia="da-DK"/>
              </w:rPr>
            </w:pPr>
            <w:r>
              <w:rPr>
                <w:snapToGrid w:val="0"/>
                <w:sz w:val="20"/>
                <w:szCs w:val="20"/>
                <w:lang w:val="da-DK" w:eastAsia="da-DK"/>
              </w:rPr>
              <w:t>33 min</w:t>
            </w:r>
          </w:p>
        </w:tc>
        <w:tc>
          <w:tcPr>
            <w:tcW w:w="2872" w:type="dxa"/>
            <w:tcBorders>
              <w:bottom w:val="nil"/>
            </w:tcBorders>
            <w:vAlign w:val="center"/>
          </w:tcPr>
          <w:p w:rsidR="001D41E2" w:rsidRPr="004B7EF4" w:rsidRDefault="001D41E2" w:rsidP="00773BAB">
            <w:pPr>
              <w:pStyle w:val="Tabletext"/>
              <w:spacing w:before="60" w:after="60"/>
              <w:jc w:val="center"/>
            </w:pPr>
            <w:r w:rsidRPr="004B7EF4">
              <w:t>Ethanol (Et)</w:t>
            </w:r>
          </w:p>
          <w:p w:rsidR="001D41E2" w:rsidRPr="004B7EF4" w:rsidRDefault="001D41E2" w:rsidP="00773BAB">
            <w:pPr>
              <w:pStyle w:val="Tabletext"/>
              <w:spacing w:before="60" w:after="60"/>
              <w:jc w:val="center"/>
            </w:pPr>
            <w:r w:rsidRPr="004B7EF4">
              <w:t>HCl</w:t>
            </w:r>
            <w:r>
              <w:rPr>
                <w:lang w:val="de-DE"/>
              </w:rPr>
              <w:t xml:space="preserve"> </w:t>
            </w:r>
            <w:r w:rsidRPr="004B7EF4">
              <w:rPr>
                <w:vertAlign w:val="superscript"/>
              </w:rPr>
              <w:t>2</w:t>
            </w:r>
          </w:p>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CO</w:t>
            </w:r>
            <w:r w:rsidRPr="004B7EF4">
              <w:rPr>
                <w:sz w:val="20"/>
                <w:szCs w:val="20"/>
                <w:vertAlign w:val="subscript"/>
                <w:lang w:val="en-US"/>
              </w:rPr>
              <w:t>2</w:t>
            </w:r>
            <w:r>
              <w:t xml:space="preserve"> </w:t>
            </w:r>
            <w:r w:rsidRPr="0046440E">
              <w:rPr>
                <w:sz w:val="20"/>
                <w:szCs w:val="20"/>
                <w:vertAlign w:val="superscript"/>
              </w:rPr>
              <w:t>2</w:t>
            </w:r>
          </w:p>
        </w:tc>
        <w:tc>
          <w:tcPr>
            <w:tcW w:w="1808" w:type="dxa"/>
            <w:tcBorders>
              <w:bottom w:val="nil"/>
              <w:right w:val="single" w:sz="12" w:space="0" w:color="auto"/>
            </w:tcBorders>
            <w:vAlign w:val="center"/>
          </w:tcPr>
          <w:p w:rsidR="001D41E2" w:rsidRDefault="001D41E2" w:rsidP="00F71952">
            <w:pPr>
              <w:pStyle w:val="Tabletext"/>
              <w:spacing w:before="60" w:after="60"/>
              <w:ind w:left="178"/>
            </w:pPr>
            <w:r w:rsidRPr="004B7EF4">
              <w:t>Safepharm, 2003b</w:t>
            </w:r>
          </w:p>
          <w:p w:rsidR="001D41E2" w:rsidRDefault="001D41E2" w:rsidP="00F71952">
            <w:pPr>
              <w:pStyle w:val="Tabletext"/>
              <w:spacing w:before="60" w:after="60"/>
              <w:ind w:left="178"/>
            </w:pPr>
          </w:p>
          <w:p w:rsidR="001D41E2" w:rsidRPr="004B7EF4" w:rsidRDefault="001D41E2" w:rsidP="00F71952">
            <w:pPr>
              <w:pStyle w:val="Tabletext"/>
              <w:spacing w:before="60" w:after="60"/>
              <w:ind w:left="178"/>
            </w:pPr>
            <w:r>
              <w:t>Queen, 1967</w:t>
            </w:r>
          </w:p>
        </w:tc>
      </w:tr>
      <w:tr w:rsidR="001D41E2" w:rsidRPr="004B7EF4">
        <w:trPr>
          <w:trHeight w:val="567"/>
        </w:trPr>
        <w:tc>
          <w:tcPr>
            <w:tcW w:w="1908" w:type="dxa"/>
            <w:tcBorders>
              <w:left w:val="single" w:sz="12" w:space="0" w:color="auto"/>
              <w:bottom w:val="nil"/>
            </w:tcBorders>
            <w:vAlign w:val="center"/>
          </w:tcPr>
          <w:p w:rsidR="001D41E2" w:rsidRPr="004B7EF4" w:rsidRDefault="001D41E2" w:rsidP="00F71952">
            <w:pPr>
              <w:pStyle w:val="Tabletext"/>
              <w:spacing w:before="60" w:after="60"/>
              <w:ind w:left="282"/>
            </w:pPr>
            <w:r w:rsidRPr="004B7EF4">
              <w:t>PrCF</w:t>
            </w:r>
          </w:p>
        </w:tc>
        <w:tc>
          <w:tcPr>
            <w:tcW w:w="3120" w:type="dxa"/>
            <w:tcBorders>
              <w:bottom w:val="nil"/>
            </w:tcBorders>
            <w:vAlign w:val="center"/>
          </w:tcPr>
          <w:p w:rsidR="001D41E2" w:rsidRPr="004B7EF4" w:rsidRDefault="001D41E2" w:rsidP="00773BAB">
            <w:pPr>
              <w:pStyle w:val="Tabletext"/>
              <w:spacing w:before="60" w:after="60"/>
              <w:jc w:val="center"/>
            </w:pPr>
            <w:r w:rsidRPr="004B7EF4">
              <w:t xml:space="preserve">29.5 min </w:t>
            </w:r>
            <w:r w:rsidRPr="004B7EF4">
              <w:rPr>
                <w:vertAlign w:val="superscript"/>
              </w:rPr>
              <w:t>1</w:t>
            </w:r>
          </w:p>
        </w:tc>
        <w:tc>
          <w:tcPr>
            <w:tcW w:w="2872" w:type="dxa"/>
            <w:tcBorders>
              <w:bottom w:val="nil"/>
            </w:tcBorders>
            <w:vAlign w:val="center"/>
          </w:tcPr>
          <w:p w:rsidR="001D41E2" w:rsidRDefault="001D41E2" w:rsidP="00773BAB">
            <w:pPr>
              <w:pStyle w:val="NormalWeb"/>
              <w:spacing w:before="60" w:beforeAutospacing="0" w:after="60" w:afterAutospacing="0"/>
              <w:jc w:val="center"/>
              <w:rPr>
                <w:sz w:val="20"/>
                <w:szCs w:val="20"/>
                <w:lang w:val="en-US"/>
              </w:rPr>
            </w:pPr>
            <w:r w:rsidRPr="004B7EF4">
              <w:rPr>
                <w:sz w:val="20"/>
                <w:szCs w:val="20"/>
                <w:lang w:val="en-US"/>
              </w:rPr>
              <w:t>Propanol</w:t>
            </w:r>
            <w:r w:rsidRPr="004B7EF4">
              <w:rPr>
                <w:sz w:val="20"/>
                <w:szCs w:val="20"/>
                <w:vertAlign w:val="subscript"/>
                <w:lang w:val="en-US"/>
              </w:rPr>
              <w:t xml:space="preserve"> </w:t>
            </w:r>
            <w:r w:rsidRPr="004B7EF4">
              <w:rPr>
                <w:sz w:val="20"/>
                <w:szCs w:val="20"/>
                <w:vertAlign w:val="superscript"/>
                <w:lang w:val="en-US"/>
              </w:rPr>
              <w:t>2</w:t>
            </w:r>
          </w:p>
          <w:p w:rsidR="001D41E2" w:rsidRDefault="001D41E2" w:rsidP="00EC7870">
            <w:pPr>
              <w:pStyle w:val="NormalWeb"/>
              <w:spacing w:before="60" w:beforeAutospacing="0" w:after="60" w:afterAutospacing="0"/>
              <w:jc w:val="center"/>
              <w:rPr>
                <w:sz w:val="20"/>
                <w:szCs w:val="20"/>
                <w:lang w:val="en-US"/>
              </w:rPr>
            </w:pPr>
            <w:r w:rsidRPr="004B7EF4">
              <w:rPr>
                <w:sz w:val="20"/>
                <w:szCs w:val="20"/>
                <w:lang w:val="en-US"/>
              </w:rPr>
              <w:t>HCl</w:t>
            </w:r>
            <w:r w:rsidRPr="004B7EF4">
              <w:rPr>
                <w:sz w:val="20"/>
                <w:szCs w:val="20"/>
                <w:vertAlign w:val="subscript"/>
                <w:lang w:val="en-US"/>
              </w:rPr>
              <w:t xml:space="preserve"> </w:t>
            </w:r>
            <w:r w:rsidRPr="004B7EF4">
              <w:rPr>
                <w:sz w:val="20"/>
                <w:szCs w:val="20"/>
                <w:vertAlign w:val="superscript"/>
                <w:lang w:val="en-US"/>
              </w:rPr>
              <w:t>2</w:t>
            </w:r>
          </w:p>
          <w:p w:rsidR="001D41E2" w:rsidRPr="004B7EF4" w:rsidRDefault="001D41E2" w:rsidP="00EC7870">
            <w:pPr>
              <w:pStyle w:val="NormalWeb"/>
              <w:spacing w:before="60" w:beforeAutospacing="0" w:after="60" w:afterAutospacing="0"/>
              <w:jc w:val="center"/>
              <w:rPr>
                <w:sz w:val="20"/>
                <w:szCs w:val="20"/>
                <w:lang w:val="en-US"/>
              </w:rPr>
            </w:pPr>
            <w:r w:rsidRPr="004B7EF4">
              <w:rPr>
                <w:sz w:val="20"/>
                <w:szCs w:val="20"/>
                <w:lang w:val="en-US"/>
              </w:rPr>
              <w:t>CO</w:t>
            </w:r>
            <w:r w:rsidRPr="004B7EF4">
              <w:rPr>
                <w:sz w:val="20"/>
                <w:szCs w:val="20"/>
                <w:vertAlign w:val="subscript"/>
                <w:lang w:val="en-US"/>
              </w:rPr>
              <w:t xml:space="preserve">2 </w:t>
            </w:r>
            <w:r w:rsidRPr="004B7EF4">
              <w:rPr>
                <w:sz w:val="20"/>
                <w:szCs w:val="20"/>
                <w:vertAlign w:val="superscript"/>
                <w:lang w:val="en-US"/>
              </w:rPr>
              <w:t>2</w:t>
            </w:r>
          </w:p>
        </w:tc>
        <w:tc>
          <w:tcPr>
            <w:tcW w:w="1808" w:type="dxa"/>
            <w:tcBorders>
              <w:bottom w:val="nil"/>
              <w:right w:val="single" w:sz="12" w:space="0" w:color="auto"/>
            </w:tcBorders>
            <w:vAlign w:val="center"/>
          </w:tcPr>
          <w:p w:rsidR="001D41E2" w:rsidRPr="004B7EF4" w:rsidRDefault="001D41E2" w:rsidP="00F71952">
            <w:pPr>
              <w:pStyle w:val="Tabletext"/>
              <w:spacing w:before="60" w:after="60"/>
              <w:ind w:left="178"/>
            </w:pPr>
            <w:r w:rsidRPr="004B7EF4">
              <w:t>Queen, 1967</w:t>
            </w:r>
          </w:p>
        </w:tc>
      </w:tr>
      <w:tr w:rsidR="001D41E2" w:rsidRPr="004B7EF4">
        <w:trPr>
          <w:trHeight w:val="567"/>
        </w:trPr>
        <w:tc>
          <w:tcPr>
            <w:tcW w:w="1908" w:type="dxa"/>
            <w:vMerge w:val="restart"/>
            <w:tcBorders>
              <w:left w:val="single" w:sz="12" w:space="0" w:color="auto"/>
            </w:tcBorders>
            <w:vAlign w:val="center"/>
          </w:tcPr>
          <w:p w:rsidR="001D41E2" w:rsidRPr="004B7EF4" w:rsidRDefault="001D41E2" w:rsidP="00F71952">
            <w:pPr>
              <w:pStyle w:val="Tabletext"/>
              <w:spacing w:before="60" w:after="60"/>
              <w:ind w:left="282"/>
            </w:pPr>
            <w:r w:rsidRPr="004B7EF4">
              <w:t xml:space="preserve">IpCF </w:t>
            </w:r>
          </w:p>
          <w:p w:rsidR="001D41E2" w:rsidRPr="004B7EF4" w:rsidRDefault="001D41E2" w:rsidP="00F71952">
            <w:pPr>
              <w:pStyle w:val="Tabletext"/>
              <w:spacing w:before="60" w:after="60"/>
              <w:ind w:left="282"/>
            </w:pPr>
            <w:r w:rsidRPr="004B7EF4">
              <w:t xml:space="preserve">(also used for read across to </w:t>
            </w:r>
            <w:r w:rsidRPr="004B7EF4">
              <w:br/>
            </w:r>
            <w:r>
              <w:t>SbCF</w:t>
            </w:r>
            <w:r w:rsidRPr="004B7EF4">
              <w:t>)</w:t>
            </w:r>
          </w:p>
        </w:tc>
        <w:tc>
          <w:tcPr>
            <w:tcW w:w="3120" w:type="dxa"/>
            <w:tcBorders>
              <w:bottom w:val="dashSmallGap" w:sz="4" w:space="0" w:color="auto"/>
            </w:tcBorders>
            <w:vAlign w:val="center"/>
          </w:tcPr>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4: 4.6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7: 5.5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9: 2.5 min</w:t>
            </w:r>
          </w:p>
        </w:tc>
        <w:tc>
          <w:tcPr>
            <w:tcW w:w="2872" w:type="dxa"/>
            <w:vMerge w:val="restart"/>
            <w:vAlign w:val="center"/>
          </w:tcPr>
          <w:p w:rsidR="001D41E2" w:rsidRPr="004B7EF4" w:rsidRDefault="001D41E2" w:rsidP="00773BAB">
            <w:pPr>
              <w:pStyle w:val="Tabletext"/>
              <w:spacing w:before="60" w:after="60"/>
              <w:jc w:val="center"/>
            </w:pPr>
            <w:r w:rsidRPr="004B7EF4">
              <w:t>Isopropanol (Ip)</w:t>
            </w:r>
          </w:p>
          <w:p w:rsidR="001D41E2" w:rsidRPr="004B7EF4" w:rsidRDefault="001D41E2" w:rsidP="00773BAB">
            <w:pPr>
              <w:pStyle w:val="Tabletext"/>
              <w:spacing w:before="60" w:after="60"/>
              <w:jc w:val="center"/>
            </w:pPr>
            <w:r w:rsidRPr="004B7EF4">
              <w:t>HCl</w:t>
            </w:r>
            <w:r w:rsidRPr="004B7EF4">
              <w:rPr>
                <w:vertAlign w:val="subscript"/>
              </w:rPr>
              <w:t xml:space="preserve"> </w:t>
            </w:r>
            <w:r w:rsidRPr="004B7EF4">
              <w:rPr>
                <w:vertAlign w:val="superscript"/>
              </w:rPr>
              <w:t>2</w:t>
            </w:r>
          </w:p>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CO</w:t>
            </w:r>
            <w:r w:rsidRPr="004B7EF4">
              <w:rPr>
                <w:sz w:val="20"/>
                <w:szCs w:val="20"/>
                <w:vertAlign w:val="subscript"/>
                <w:lang w:val="en-US"/>
              </w:rPr>
              <w:t xml:space="preserve">2 </w:t>
            </w:r>
            <w:r w:rsidRPr="004B7EF4">
              <w:rPr>
                <w:sz w:val="20"/>
                <w:szCs w:val="20"/>
                <w:vertAlign w:val="superscript"/>
                <w:lang w:val="en-US"/>
              </w:rPr>
              <w:t>2</w:t>
            </w:r>
          </w:p>
        </w:tc>
        <w:tc>
          <w:tcPr>
            <w:tcW w:w="1808" w:type="dxa"/>
            <w:tcBorders>
              <w:bottom w:val="dashSmallGap" w:sz="4" w:space="0" w:color="auto"/>
              <w:right w:val="single" w:sz="12" w:space="0" w:color="auto"/>
            </w:tcBorders>
            <w:vAlign w:val="center"/>
          </w:tcPr>
          <w:p w:rsidR="001D41E2" w:rsidRPr="004B7EF4" w:rsidRDefault="001D41E2" w:rsidP="00F71952">
            <w:pPr>
              <w:pStyle w:val="Tabletext"/>
              <w:spacing w:before="60" w:after="60"/>
              <w:ind w:left="178"/>
            </w:pPr>
            <w:r w:rsidRPr="004B7EF4">
              <w:t>Safepharm, 2003c</w:t>
            </w:r>
          </w:p>
        </w:tc>
      </w:tr>
      <w:tr w:rsidR="001D41E2" w:rsidRPr="004B7EF4">
        <w:trPr>
          <w:trHeight w:val="567"/>
        </w:trPr>
        <w:tc>
          <w:tcPr>
            <w:tcW w:w="1908" w:type="dxa"/>
            <w:vMerge/>
            <w:tcBorders>
              <w:left w:val="single" w:sz="12" w:space="0" w:color="auto"/>
              <w:bottom w:val="nil"/>
            </w:tcBorders>
            <w:vAlign w:val="center"/>
          </w:tcPr>
          <w:p w:rsidR="001D41E2" w:rsidRPr="004B7EF4" w:rsidRDefault="001D41E2" w:rsidP="00F71952">
            <w:pPr>
              <w:pStyle w:val="Tabletext"/>
              <w:spacing w:before="60" w:after="60"/>
              <w:ind w:left="282"/>
            </w:pPr>
          </w:p>
        </w:tc>
        <w:tc>
          <w:tcPr>
            <w:tcW w:w="3120" w:type="dxa"/>
            <w:tcBorders>
              <w:top w:val="dashSmallGap" w:sz="4" w:space="0" w:color="auto"/>
            </w:tcBorders>
            <w:vAlign w:val="center"/>
          </w:tcPr>
          <w:p w:rsidR="001D41E2" w:rsidRPr="004B7EF4" w:rsidRDefault="001D41E2" w:rsidP="00773BAB">
            <w:pPr>
              <w:pStyle w:val="Tabletext"/>
              <w:spacing w:before="60" w:after="60"/>
              <w:jc w:val="center"/>
            </w:pPr>
            <w:r w:rsidRPr="004B7EF4">
              <w:t xml:space="preserve">5.6 min </w:t>
            </w:r>
            <w:r w:rsidRPr="004B7EF4">
              <w:rPr>
                <w:vertAlign w:val="superscript"/>
              </w:rPr>
              <w:t>1</w:t>
            </w:r>
          </w:p>
        </w:tc>
        <w:tc>
          <w:tcPr>
            <w:tcW w:w="2872" w:type="dxa"/>
            <w:vMerge/>
            <w:vAlign w:val="center"/>
          </w:tcPr>
          <w:p w:rsidR="001D41E2" w:rsidRPr="004B7EF4" w:rsidRDefault="001D41E2" w:rsidP="00773BAB">
            <w:pPr>
              <w:pStyle w:val="NormalWeb"/>
              <w:spacing w:before="60" w:beforeAutospacing="0" w:after="60" w:afterAutospacing="0"/>
              <w:jc w:val="center"/>
              <w:rPr>
                <w:sz w:val="20"/>
                <w:szCs w:val="20"/>
                <w:lang w:val="en-US"/>
              </w:rPr>
            </w:pPr>
          </w:p>
        </w:tc>
        <w:tc>
          <w:tcPr>
            <w:tcW w:w="1808" w:type="dxa"/>
            <w:tcBorders>
              <w:top w:val="dashSmallGap" w:sz="4" w:space="0" w:color="auto"/>
              <w:right w:val="single" w:sz="12" w:space="0" w:color="auto"/>
            </w:tcBorders>
            <w:vAlign w:val="center"/>
          </w:tcPr>
          <w:p w:rsidR="001D41E2" w:rsidRPr="004B7EF4" w:rsidRDefault="001D41E2" w:rsidP="00F71952">
            <w:pPr>
              <w:pStyle w:val="Tabletext"/>
              <w:spacing w:before="60" w:after="60"/>
              <w:ind w:left="178"/>
            </w:pPr>
            <w:r w:rsidRPr="004B7EF4">
              <w:t>Queen, 1967</w:t>
            </w:r>
          </w:p>
        </w:tc>
      </w:tr>
      <w:tr w:rsidR="001D41E2" w:rsidRPr="004B7EF4">
        <w:trPr>
          <w:trHeight w:val="567"/>
        </w:trPr>
        <w:tc>
          <w:tcPr>
            <w:tcW w:w="1908" w:type="dxa"/>
            <w:tcBorders>
              <w:left w:val="single" w:sz="12" w:space="0" w:color="auto"/>
            </w:tcBorders>
            <w:vAlign w:val="center"/>
          </w:tcPr>
          <w:p w:rsidR="001D41E2" w:rsidRPr="004B7EF4" w:rsidRDefault="001D41E2" w:rsidP="00F71952">
            <w:pPr>
              <w:pStyle w:val="Tabletext"/>
              <w:spacing w:before="60" w:after="60"/>
              <w:ind w:left="282"/>
            </w:pPr>
            <w:r>
              <w:t>SbCF</w:t>
            </w:r>
          </w:p>
        </w:tc>
        <w:tc>
          <w:tcPr>
            <w:tcW w:w="3120" w:type="dxa"/>
            <w:vAlign w:val="center"/>
          </w:tcPr>
          <w:p w:rsidR="001D41E2" w:rsidRDefault="001D41E2" w:rsidP="00773BAB">
            <w:pPr>
              <w:pStyle w:val="Tabletext"/>
              <w:spacing w:before="60" w:after="60"/>
              <w:jc w:val="center"/>
              <w:rPr>
                <w:lang w:val="da-DK"/>
              </w:rPr>
            </w:pPr>
            <w:r>
              <w:rPr>
                <w:lang w:val="da-DK"/>
              </w:rPr>
              <w:t>No data</w:t>
            </w:r>
          </w:p>
          <w:p w:rsidR="001D41E2" w:rsidRPr="001C339C" w:rsidRDefault="001D41E2" w:rsidP="00773BAB">
            <w:pPr>
              <w:pStyle w:val="Tabletext"/>
              <w:spacing w:before="60" w:after="60"/>
              <w:jc w:val="center"/>
              <w:rPr>
                <w:lang w:val="da-DK"/>
              </w:rPr>
            </w:pPr>
            <w:r>
              <w:t>[</w:t>
            </w:r>
            <w:r w:rsidRPr="004B7EF4">
              <w:t xml:space="preserve">5.6 </w:t>
            </w:r>
            <w:r w:rsidRPr="00CE7B69">
              <w:t xml:space="preserve">min </w:t>
            </w:r>
            <w:r w:rsidRPr="00CE7B69">
              <w:rPr>
                <w:vertAlign w:val="superscript"/>
              </w:rPr>
              <w:t>1</w:t>
            </w:r>
            <w:r w:rsidRPr="00CE7B69" w:rsidDel="004F03C7">
              <w:rPr>
                <w:lang w:val="da-DK"/>
              </w:rPr>
              <w:t xml:space="preserve"> </w:t>
            </w:r>
            <w:r w:rsidRPr="00CE7B69">
              <w:rPr>
                <w:lang w:val="da-DK"/>
              </w:rPr>
              <w:t>(</w:t>
            </w:r>
            <w:r>
              <w:rPr>
                <w:lang w:val="da-DK"/>
              </w:rPr>
              <w:t>RA)]</w:t>
            </w:r>
            <w:r w:rsidR="007D3E3E" w:rsidRPr="007D3E3E">
              <w:rPr>
                <w:vertAlign w:val="superscript"/>
                <w:lang w:val="da-DK"/>
              </w:rPr>
              <w:t>4</w:t>
            </w:r>
          </w:p>
        </w:tc>
        <w:tc>
          <w:tcPr>
            <w:tcW w:w="2872" w:type="dxa"/>
            <w:vAlign w:val="center"/>
          </w:tcPr>
          <w:p w:rsidR="001D41E2" w:rsidRDefault="001D41E2" w:rsidP="0046440E">
            <w:pPr>
              <w:pStyle w:val="NormalWeb"/>
              <w:spacing w:before="60" w:beforeAutospacing="0" w:after="60" w:afterAutospacing="0"/>
              <w:jc w:val="center"/>
              <w:rPr>
                <w:sz w:val="20"/>
                <w:szCs w:val="20"/>
                <w:lang w:val="en-US"/>
              </w:rPr>
            </w:pPr>
            <w:r>
              <w:rPr>
                <w:sz w:val="20"/>
                <w:szCs w:val="20"/>
                <w:lang w:val="en-US"/>
              </w:rPr>
              <w:t>Sec-Butan</w:t>
            </w:r>
            <w:r w:rsidRPr="004B7EF4">
              <w:rPr>
                <w:sz w:val="20"/>
                <w:szCs w:val="20"/>
                <w:lang w:val="en-US"/>
              </w:rPr>
              <w:t>ol</w:t>
            </w:r>
            <w:r w:rsidRPr="004B7EF4">
              <w:rPr>
                <w:sz w:val="20"/>
                <w:szCs w:val="20"/>
                <w:vertAlign w:val="subscript"/>
                <w:lang w:val="en-US"/>
              </w:rPr>
              <w:t xml:space="preserve"> </w:t>
            </w:r>
            <w:r w:rsidRPr="004B7EF4">
              <w:rPr>
                <w:sz w:val="20"/>
                <w:szCs w:val="20"/>
                <w:vertAlign w:val="superscript"/>
                <w:lang w:val="en-US"/>
              </w:rPr>
              <w:t>2</w:t>
            </w:r>
          </w:p>
          <w:p w:rsidR="001D41E2" w:rsidRDefault="001D41E2" w:rsidP="0046440E">
            <w:pPr>
              <w:pStyle w:val="NormalWeb"/>
              <w:spacing w:before="60" w:beforeAutospacing="0" w:after="60" w:afterAutospacing="0"/>
              <w:jc w:val="center"/>
              <w:rPr>
                <w:sz w:val="20"/>
                <w:szCs w:val="20"/>
                <w:lang w:val="en-US"/>
              </w:rPr>
            </w:pPr>
            <w:r w:rsidRPr="004B7EF4">
              <w:rPr>
                <w:sz w:val="20"/>
                <w:szCs w:val="20"/>
                <w:lang w:val="en-US"/>
              </w:rPr>
              <w:t>HCl</w:t>
            </w:r>
            <w:r w:rsidRPr="004B7EF4">
              <w:rPr>
                <w:sz w:val="20"/>
                <w:szCs w:val="20"/>
                <w:vertAlign w:val="subscript"/>
                <w:lang w:val="en-US"/>
              </w:rPr>
              <w:t xml:space="preserve"> </w:t>
            </w:r>
            <w:r w:rsidRPr="004B7EF4">
              <w:rPr>
                <w:sz w:val="20"/>
                <w:szCs w:val="20"/>
                <w:vertAlign w:val="superscript"/>
                <w:lang w:val="en-US"/>
              </w:rPr>
              <w:t>2</w:t>
            </w:r>
          </w:p>
          <w:p w:rsidR="001D41E2" w:rsidRPr="001C339C" w:rsidRDefault="001D41E2" w:rsidP="0046440E">
            <w:pPr>
              <w:pStyle w:val="Tabletext"/>
              <w:spacing w:before="60" w:after="60"/>
              <w:jc w:val="center"/>
              <w:rPr>
                <w:lang w:val="da-DK"/>
              </w:rPr>
            </w:pPr>
            <w:r w:rsidRPr="004B7EF4">
              <w:t>CO</w:t>
            </w:r>
            <w:r w:rsidRPr="004B7EF4">
              <w:rPr>
                <w:vertAlign w:val="subscript"/>
              </w:rPr>
              <w:t xml:space="preserve">2 </w:t>
            </w:r>
            <w:r w:rsidRPr="004B7EF4">
              <w:rPr>
                <w:vertAlign w:val="superscript"/>
              </w:rPr>
              <w:t>2</w:t>
            </w:r>
          </w:p>
        </w:tc>
        <w:tc>
          <w:tcPr>
            <w:tcW w:w="1808" w:type="dxa"/>
            <w:tcBorders>
              <w:right w:val="single" w:sz="12" w:space="0" w:color="auto"/>
            </w:tcBorders>
            <w:vAlign w:val="center"/>
          </w:tcPr>
          <w:p w:rsidR="001D41E2" w:rsidRPr="004B7EF4" w:rsidRDefault="001D41E2" w:rsidP="00F71952">
            <w:pPr>
              <w:pStyle w:val="Tabletext"/>
              <w:spacing w:before="60" w:after="60"/>
              <w:ind w:left="178"/>
            </w:pPr>
          </w:p>
        </w:tc>
      </w:tr>
      <w:tr w:rsidR="001D41E2" w:rsidRPr="004B7EF4">
        <w:trPr>
          <w:trHeight w:val="567"/>
        </w:trPr>
        <w:tc>
          <w:tcPr>
            <w:tcW w:w="1908" w:type="dxa"/>
            <w:tcBorders>
              <w:left w:val="single" w:sz="12" w:space="0" w:color="auto"/>
            </w:tcBorders>
            <w:vAlign w:val="center"/>
          </w:tcPr>
          <w:p w:rsidR="001D41E2" w:rsidRPr="004B7EF4" w:rsidRDefault="001D41E2" w:rsidP="00F71952">
            <w:pPr>
              <w:pStyle w:val="Tabletext"/>
              <w:spacing w:before="60" w:after="60"/>
              <w:ind w:left="282"/>
            </w:pPr>
            <w:r w:rsidRPr="004B7EF4">
              <w:t>ObCF</w:t>
            </w:r>
          </w:p>
        </w:tc>
        <w:tc>
          <w:tcPr>
            <w:tcW w:w="3120" w:type="dxa"/>
            <w:vAlign w:val="center"/>
          </w:tcPr>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4: 4.1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7: &lt; 4.1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9: &lt; 4.1 min </w:t>
            </w:r>
            <w:r w:rsidRPr="001C339C">
              <w:rPr>
                <w:vertAlign w:val="superscript"/>
                <w:lang w:val="da-DK"/>
              </w:rPr>
              <w:t>3</w:t>
            </w:r>
          </w:p>
        </w:tc>
        <w:tc>
          <w:tcPr>
            <w:tcW w:w="2872" w:type="dxa"/>
            <w:vAlign w:val="center"/>
          </w:tcPr>
          <w:p w:rsidR="001D41E2" w:rsidRPr="001C339C" w:rsidRDefault="001D41E2" w:rsidP="00773BAB">
            <w:pPr>
              <w:pStyle w:val="Tabletext"/>
              <w:spacing w:before="60" w:after="60"/>
              <w:jc w:val="center"/>
              <w:rPr>
                <w:lang w:val="da-DK"/>
              </w:rPr>
            </w:pPr>
            <w:r w:rsidRPr="001C339C">
              <w:rPr>
                <w:lang w:val="da-DK"/>
              </w:rPr>
              <w:t>Diethylene glycol (DEG)</w:t>
            </w:r>
          </w:p>
          <w:p w:rsidR="001D41E2" w:rsidRPr="001C339C" w:rsidRDefault="001D41E2" w:rsidP="00773BAB">
            <w:pPr>
              <w:pStyle w:val="Tabletext"/>
              <w:spacing w:before="60" w:after="60"/>
              <w:jc w:val="center"/>
              <w:rPr>
                <w:lang w:val="da-DK"/>
              </w:rPr>
            </w:pPr>
            <w:r w:rsidRPr="001C339C">
              <w:rPr>
                <w:lang w:val="da-DK"/>
              </w:rPr>
              <w:t xml:space="preserve">HCl </w:t>
            </w:r>
            <w:r w:rsidRPr="001C339C">
              <w:rPr>
                <w:vertAlign w:val="superscript"/>
                <w:lang w:val="da-DK"/>
              </w:rPr>
              <w:t>2</w:t>
            </w:r>
          </w:p>
          <w:p w:rsidR="001D41E2" w:rsidRPr="001C339C" w:rsidRDefault="001D41E2" w:rsidP="00773BAB">
            <w:pPr>
              <w:pStyle w:val="NormalWeb"/>
              <w:spacing w:before="60" w:beforeAutospacing="0" w:after="60" w:afterAutospacing="0"/>
              <w:jc w:val="center"/>
              <w:rPr>
                <w:sz w:val="20"/>
                <w:szCs w:val="20"/>
                <w:lang w:val="da-DK"/>
              </w:rPr>
            </w:pPr>
            <w:r w:rsidRPr="001C339C">
              <w:rPr>
                <w:sz w:val="20"/>
                <w:szCs w:val="20"/>
                <w:lang w:val="da-DK"/>
              </w:rPr>
              <w:t>CO</w:t>
            </w:r>
            <w:r w:rsidRPr="001C339C">
              <w:rPr>
                <w:sz w:val="20"/>
                <w:szCs w:val="20"/>
                <w:vertAlign w:val="subscript"/>
                <w:lang w:val="da-DK"/>
              </w:rPr>
              <w:t xml:space="preserve">2 </w:t>
            </w:r>
            <w:r w:rsidRPr="001C339C">
              <w:rPr>
                <w:sz w:val="20"/>
                <w:szCs w:val="20"/>
                <w:vertAlign w:val="superscript"/>
                <w:lang w:val="da-DK"/>
              </w:rPr>
              <w:t>2</w:t>
            </w:r>
          </w:p>
        </w:tc>
        <w:tc>
          <w:tcPr>
            <w:tcW w:w="1808" w:type="dxa"/>
            <w:tcBorders>
              <w:right w:val="single" w:sz="12" w:space="0" w:color="auto"/>
            </w:tcBorders>
            <w:vAlign w:val="center"/>
          </w:tcPr>
          <w:p w:rsidR="001D41E2" w:rsidRPr="004B7EF4" w:rsidRDefault="001D41E2" w:rsidP="00F71952">
            <w:pPr>
              <w:pStyle w:val="Tabletext"/>
              <w:spacing w:before="60" w:after="60"/>
              <w:ind w:left="178"/>
            </w:pPr>
            <w:r w:rsidRPr="004B7EF4">
              <w:t>Safepharm, 2003d</w:t>
            </w:r>
          </w:p>
        </w:tc>
      </w:tr>
      <w:tr w:rsidR="001D41E2" w:rsidRPr="004B7EF4">
        <w:trPr>
          <w:trHeight w:val="567"/>
        </w:trPr>
        <w:tc>
          <w:tcPr>
            <w:tcW w:w="1908" w:type="dxa"/>
            <w:tcBorders>
              <w:left w:val="single" w:sz="12" w:space="0" w:color="auto"/>
              <w:bottom w:val="single" w:sz="12" w:space="0" w:color="auto"/>
            </w:tcBorders>
            <w:vAlign w:val="center"/>
          </w:tcPr>
          <w:p w:rsidR="001D41E2" w:rsidRPr="004B7EF4" w:rsidRDefault="001D41E2" w:rsidP="00F71952">
            <w:pPr>
              <w:pStyle w:val="Tabletext"/>
              <w:spacing w:before="60" w:after="60"/>
              <w:ind w:left="282"/>
            </w:pPr>
            <w:r w:rsidRPr="004B7EF4">
              <w:t>EhCF</w:t>
            </w:r>
          </w:p>
        </w:tc>
        <w:tc>
          <w:tcPr>
            <w:tcW w:w="3120" w:type="dxa"/>
            <w:tcBorders>
              <w:bottom w:val="single" w:sz="12" w:space="0" w:color="auto"/>
            </w:tcBorders>
            <w:vAlign w:val="center"/>
          </w:tcPr>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4: 32.9 min</w:t>
            </w:r>
          </w:p>
          <w:p w:rsidR="001D41E2" w:rsidRPr="001C339C" w:rsidRDefault="001D41E2" w:rsidP="00773BAB">
            <w:pPr>
              <w:pStyle w:val="Tabletext"/>
              <w:spacing w:before="60" w:after="60"/>
              <w:jc w:val="center"/>
              <w:rPr>
                <w:lang w:val="da-DK"/>
              </w:rPr>
            </w:pPr>
            <w:r w:rsidRPr="001C339C">
              <w:rPr>
                <w:lang w:val="da-DK"/>
              </w:rPr>
              <w:t>p</w:t>
            </w:r>
            <w:r>
              <w:rPr>
                <w:lang w:val="da-DK"/>
              </w:rPr>
              <w:t>H</w:t>
            </w:r>
            <w:r w:rsidRPr="001C339C">
              <w:rPr>
                <w:lang w:val="da-DK"/>
              </w:rPr>
              <w:t xml:space="preserve"> 7: 30.2 min</w:t>
            </w:r>
          </w:p>
          <w:p w:rsidR="001D41E2" w:rsidRPr="001C339C" w:rsidRDefault="001D41E2" w:rsidP="00773BAB">
            <w:pPr>
              <w:pStyle w:val="NormalWeb"/>
              <w:spacing w:before="60" w:beforeAutospacing="0" w:after="60" w:afterAutospacing="0"/>
              <w:jc w:val="center"/>
              <w:rPr>
                <w:snapToGrid w:val="0"/>
                <w:sz w:val="20"/>
                <w:szCs w:val="20"/>
                <w:lang w:val="da-DK" w:eastAsia="da-DK"/>
              </w:rPr>
            </w:pPr>
            <w:r w:rsidRPr="001C339C">
              <w:rPr>
                <w:snapToGrid w:val="0"/>
                <w:sz w:val="20"/>
                <w:szCs w:val="20"/>
                <w:lang w:val="da-DK" w:eastAsia="da-DK"/>
              </w:rPr>
              <w:t>p</w:t>
            </w:r>
            <w:r>
              <w:rPr>
                <w:snapToGrid w:val="0"/>
                <w:sz w:val="20"/>
                <w:szCs w:val="20"/>
                <w:lang w:val="da-DK" w:eastAsia="da-DK"/>
              </w:rPr>
              <w:t>H</w:t>
            </w:r>
            <w:r w:rsidRPr="001C339C">
              <w:rPr>
                <w:snapToGrid w:val="0"/>
                <w:sz w:val="20"/>
                <w:szCs w:val="20"/>
                <w:lang w:val="da-DK" w:eastAsia="da-DK"/>
              </w:rPr>
              <w:t xml:space="preserve"> 9: 20.5 min</w:t>
            </w:r>
          </w:p>
        </w:tc>
        <w:tc>
          <w:tcPr>
            <w:tcW w:w="2872" w:type="dxa"/>
            <w:tcBorders>
              <w:bottom w:val="single" w:sz="12" w:space="0" w:color="auto"/>
            </w:tcBorders>
            <w:vAlign w:val="center"/>
          </w:tcPr>
          <w:p w:rsidR="001D41E2" w:rsidRPr="004B7EF4" w:rsidRDefault="001D41E2" w:rsidP="00773BAB">
            <w:pPr>
              <w:pStyle w:val="Tabletext"/>
              <w:spacing w:before="60" w:after="60"/>
              <w:jc w:val="center"/>
            </w:pPr>
            <w:r w:rsidRPr="004B7EF4">
              <w:t xml:space="preserve">2-Ethylhexanol (Eh) </w:t>
            </w:r>
          </w:p>
          <w:p w:rsidR="001D41E2" w:rsidRPr="004B7EF4" w:rsidRDefault="001D41E2" w:rsidP="00773BAB">
            <w:pPr>
              <w:pStyle w:val="Tabletext"/>
              <w:spacing w:before="60" w:after="60"/>
              <w:jc w:val="center"/>
            </w:pPr>
            <w:r w:rsidRPr="004B7EF4">
              <w:t>HCl</w:t>
            </w:r>
            <w:r>
              <w:t xml:space="preserve"> </w:t>
            </w:r>
            <w:r w:rsidRPr="004B7EF4">
              <w:rPr>
                <w:vertAlign w:val="superscript"/>
              </w:rPr>
              <w:t>2</w:t>
            </w:r>
          </w:p>
          <w:p w:rsidR="001D41E2" w:rsidRPr="004B7EF4" w:rsidRDefault="001D41E2" w:rsidP="00773BAB">
            <w:pPr>
              <w:pStyle w:val="NormalWeb"/>
              <w:spacing w:before="60" w:beforeAutospacing="0" w:after="60" w:afterAutospacing="0"/>
              <w:jc w:val="center"/>
              <w:rPr>
                <w:sz w:val="20"/>
                <w:szCs w:val="20"/>
                <w:lang w:val="en-US"/>
              </w:rPr>
            </w:pPr>
            <w:r w:rsidRPr="004B7EF4">
              <w:rPr>
                <w:sz w:val="20"/>
                <w:szCs w:val="20"/>
                <w:lang w:val="en-US"/>
              </w:rPr>
              <w:t>CO</w:t>
            </w:r>
            <w:r w:rsidRPr="004B7EF4">
              <w:rPr>
                <w:sz w:val="20"/>
                <w:szCs w:val="20"/>
                <w:vertAlign w:val="subscript"/>
                <w:lang w:val="en-US"/>
              </w:rPr>
              <w:t>2</w:t>
            </w:r>
            <w:r>
              <w:t xml:space="preserve"> </w:t>
            </w:r>
            <w:r w:rsidRPr="0046440E">
              <w:rPr>
                <w:sz w:val="20"/>
                <w:szCs w:val="20"/>
                <w:vertAlign w:val="superscript"/>
              </w:rPr>
              <w:t>2</w:t>
            </w:r>
          </w:p>
        </w:tc>
        <w:tc>
          <w:tcPr>
            <w:tcW w:w="1808" w:type="dxa"/>
            <w:tcBorders>
              <w:bottom w:val="single" w:sz="12" w:space="0" w:color="auto"/>
              <w:right w:val="single" w:sz="12" w:space="0" w:color="auto"/>
            </w:tcBorders>
            <w:vAlign w:val="center"/>
          </w:tcPr>
          <w:p w:rsidR="001D41E2" w:rsidRPr="004B7EF4" w:rsidRDefault="001D41E2" w:rsidP="00F71952">
            <w:pPr>
              <w:pStyle w:val="Tabletext"/>
              <w:spacing w:before="60" w:after="60"/>
              <w:ind w:left="178"/>
            </w:pPr>
            <w:r w:rsidRPr="004B7EF4">
              <w:t>Safepharm, 2003e</w:t>
            </w:r>
          </w:p>
        </w:tc>
      </w:tr>
    </w:tbl>
    <w:p w:rsidR="001D41E2" w:rsidRPr="00F71952" w:rsidRDefault="001D41E2" w:rsidP="00F71952">
      <w:pPr>
        <w:spacing w:before="90"/>
        <w:ind w:left="567"/>
        <w:rPr>
          <w:sz w:val="20"/>
          <w:szCs w:val="20"/>
        </w:rPr>
      </w:pPr>
      <w:r w:rsidRPr="00F71952">
        <w:rPr>
          <w:sz w:val="20"/>
          <w:szCs w:val="20"/>
        </w:rPr>
        <w:t xml:space="preserve">1 = recalculated from given rate constant (first order) measured at 25ºC </w:t>
      </w:r>
      <w:r w:rsidRPr="00F71952">
        <w:rPr>
          <w:sz w:val="20"/>
          <w:szCs w:val="20"/>
        </w:rPr>
        <w:tab/>
      </w:r>
    </w:p>
    <w:p w:rsidR="001D41E2" w:rsidRPr="00F71952" w:rsidRDefault="001D41E2" w:rsidP="00F71952">
      <w:pPr>
        <w:ind w:left="567"/>
        <w:rPr>
          <w:b/>
          <w:bCs/>
          <w:sz w:val="20"/>
          <w:szCs w:val="20"/>
        </w:rPr>
      </w:pPr>
      <w:r w:rsidRPr="00F71952">
        <w:rPr>
          <w:sz w:val="20"/>
          <w:szCs w:val="20"/>
        </w:rPr>
        <w:t>2 = expected hydrolysis product (not experimentally confirmed)</w:t>
      </w:r>
    </w:p>
    <w:p w:rsidR="001D41E2" w:rsidRPr="00F71952" w:rsidRDefault="001D41E2" w:rsidP="00F71952">
      <w:pPr>
        <w:ind w:left="567"/>
        <w:rPr>
          <w:sz w:val="20"/>
          <w:szCs w:val="20"/>
        </w:rPr>
      </w:pPr>
      <w:r w:rsidRPr="00F71952">
        <w:rPr>
          <w:sz w:val="20"/>
          <w:szCs w:val="20"/>
        </w:rPr>
        <w:t>3 = not tested at pH 9, result at pH 7 cross-assigned</w:t>
      </w:r>
    </w:p>
    <w:p w:rsidR="001D41E2" w:rsidRPr="00F71952" w:rsidRDefault="001D41E2" w:rsidP="00F71952">
      <w:pPr>
        <w:ind w:left="567"/>
        <w:rPr>
          <w:sz w:val="20"/>
          <w:szCs w:val="20"/>
        </w:rPr>
      </w:pPr>
      <w:r w:rsidRPr="00F71952">
        <w:rPr>
          <w:sz w:val="20"/>
          <w:szCs w:val="20"/>
        </w:rPr>
        <w:t>4=value of 5.6 minutes is based on read-across to IpCF</w:t>
      </w:r>
    </w:p>
    <w:p w:rsidR="001D41E2" w:rsidRPr="00F71952" w:rsidRDefault="001D41E2" w:rsidP="00F71952">
      <w:pPr>
        <w:ind w:left="567"/>
        <w:rPr>
          <w:sz w:val="20"/>
          <w:szCs w:val="20"/>
        </w:rPr>
      </w:pPr>
      <w:r w:rsidRPr="00F71952">
        <w:rPr>
          <w:sz w:val="20"/>
          <w:szCs w:val="20"/>
        </w:rPr>
        <w:t>RA = read across</w:t>
      </w:r>
    </w:p>
    <w:p w:rsidR="001D41E2" w:rsidRPr="004B7EF4" w:rsidRDefault="001D41E2" w:rsidP="00F71952">
      <w:pPr>
        <w:pStyle w:val="NormalWeb"/>
        <w:spacing w:before="240" w:beforeAutospacing="0"/>
        <w:jc w:val="both"/>
        <w:rPr>
          <w:lang w:val="en-US"/>
        </w:rPr>
      </w:pPr>
      <w:r w:rsidRPr="004B7EF4">
        <w:rPr>
          <w:lang w:val="en-US"/>
        </w:rPr>
        <w:t xml:space="preserve">The category members were shown to have very short half-lives in aqueous solutions </w:t>
      </w:r>
      <w:r>
        <w:rPr>
          <w:lang w:val="en-US"/>
        </w:rPr>
        <w:t xml:space="preserve">(pH 4, 7, 9) </w:t>
      </w:r>
      <w:r w:rsidRPr="004B7EF4">
        <w:rPr>
          <w:lang w:val="en-US"/>
        </w:rPr>
        <w:t xml:space="preserve">ranging from a few minutes </w:t>
      </w:r>
      <w:r>
        <w:rPr>
          <w:lang w:val="en-US"/>
        </w:rPr>
        <w:t xml:space="preserve">(ObCF, IpCF) </w:t>
      </w:r>
      <w:r w:rsidRPr="004B7EF4">
        <w:rPr>
          <w:lang w:val="en-US"/>
        </w:rPr>
        <w:t xml:space="preserve">to about </w:t>
      </w:r>
      <w:r>
        <w:rPr>
          <w:lang w:val="en-US"/>
        </w:rPr>
        <w:t>30 minutes (EhCF)</w:t>
      </w:r>
      <w:r w:rsidRPr="004B7EF4">
        <w:rPr>
          <w:lang w:val="en-US"/>
        </w:rPr>
        <w:t>. In the OECD TG 111 studies</w:t>
      </w:r>
      <w:r>
        <w:rPr>
          <w:lang w:val="en-US"/>
        </w:rPr>
        <w:t>,</w:t>
      </w:r>
      <w:r w:rsidRPr="004B7EF4">
        <w:rPr>
          <w:lang w:val="en-US"/>
        </w:rPr>
        <w:t xml:space="preserve"> </w:t>
      </w:r>
      <w:r>
        <w:rPr>
          <w:lang w:val="en-US"/>
        </w:rPr>
        <w:t xml:space="preserve">one of </w:t>
      </w:r>
      <w:r w:rsidRPr="004B7EF4">
        <w:rPr>
          <w:lang w:val="en-US"/>
        </w:rPr>
        <w:t xml:space="preserve">the expected hydrolysis products </w:t>
      </w:r>
      <w:r>
        <w:rPr>
          <w:lang w:val="en-US"/>
        </w:rPr>
        <w:t>(corresponding alcohol) was</w:t>
      </w:r>
      <w:r w:rsidRPr="004B7EF4">
        <w:rPr>
          <w:lang w:val="en-US"/>
        </w:rPr>
        <w:t xml:space="preserve"> confirmed by gas chromatography. </w:t>
      </w:r>
      <w:r>
        <w:rPr>
          <w:lang w:val="en-US"/>
        </w:rPr>
        <w:t xml:space="preserve"> Although stoppered flasks were used, hydrolysis rates could be an overestimation as evaporation during the tests </w:t>
      </w:r>
      <w:r w:rsidR="007D3E3E" w:rsidRPr="007D3E3E">
        <w:rPr>
          <w:lang w:val="en-US"/>
        </w:rPr>
        <w:t>due to the high vapor pressure of the CFs (except for ObCF)</w:t>
      </w:r>
      <w:r w:rsidR="00114DE6">
        <w:rPr>
          <w:lang w:val="en-US"/>
        </w:rPr>
        <w:t xml:space="preserve"> could not be excluded.</w:t>
      </w:r>
    </w:p>
    <w:p w:rsidR="001D41E2" w:rsidRPr="004B7EF4" w:rsidRDefault="001D41E2" w:rsidP="001D379D">
      <w:pPr>
        <w:pStyle w:val="NormalWeb"/>
        <w:spacing w:before="0" w:beforeAutospacing="0"/>
        <w:jc w:val="both"/>
        <w:rPr>
          <w:lang w:val="en-US"/>
        </w:rPr>
      </w:pPr>
      <w:r>
        <w:rPr>
          <w:lang w:val="en-US"/>
        </w:rPr>
        <w:t xml:space="preserve">In the case of PrCF, for which </w:t>
      </w:r>
      <w:r w:rsidR="00E0745E">
        <w:rPr>
          <w:lang w:val="en-US"/>
        </w:rPr>
        <w:t>no</w:t>
      </w:r>
      <w:r>
        <w:rPr>
          <w:lang w:val="en-US"/>
        </w:rPr>
        <w:t xml:space="preserve"> </w:t>
      </w:r>
      <w:r w:rsidRPr="004B7EF4">
        <w:rPr>
          <w:lang w:val="en-US"/>
        </w:rPr>
        <w:t xml:space="preserve">guideline study </w:t>
      </w:r>
      <w:r w:rsidR="00E0745E">
        <w:rPr>
          <w:lang w:val="en-US"/>
        </w:rPr>
        <w:t>is</w:t>
      </w:r>
      <w:r w:rsidRPr="004B7EF4">
        <w:rPr>
          <w:lang w:val="en-US"/>
        </w:rPr>
        <w:t xml:space="preserve"> </w:t>
      </w:r>
      <w:r>
        <w:rPr>
          <w:lang w:val="en-US"/>
        </w:rPr>
        <w:t>available, results from an older hydrolysis study</w:t>
      </w:r>
      <w:r w:rsidRPr="004B7EF4">
        <w:rPr>
          <w:lang w:val="en-US"/>
        </w:rPr>
        <w:t xml:space="preserve"> as well as </w:t>
      </w:r>
      <w:r>
        <w:rPr>
          <w:lang w:val="en-US"/>
        </w:rPr>
        <w:t xml:space="preserve">read across to an analogue </w:t>
      </w:r>
      <w:r w:rsidRPr="004B7EF4">
        <w:rPr>
          <w:lang w:val="en-US"/>
        </w:rPr>
        <w:t xml:space="preserve">category member </w:t>
      </w:r>
      <w:r>
        <w:rPr>
          <w:lang w:val="en-US"/>
        </w:rPr>
        <w:t>(</w:t>
      </w:r>
      <w:r w:rsidRPr="004B7EF4">
        <w:rPr>
          <w:lang w:val="en-US"/>
        </w:rPr>
        <w:t>IpC</w:t>
      </w:r>
      <w:r>
        <w:rPr>
          <w:lang w:val="en-US"/>
        </w:rPr>
        <w:t>F),</w:t>
      </w:r>
      <w:r w:rsidRPr="004B7EF4">
        <w:rPr>
          <w:lang w:val="en-US"/>
        </w:rPr>
        <w:t xml:space="preserve"> </w:t>
      </w:r>
      <w:r>
        <w:rPr>
          <w:lang w:val="en-US"/>
        </w:rPr>
        <w:t>were used to confirm its hydrolytic profile.  R</w:t>
      </w:r>
      <w:r w:rsidRPr="004B7EF4">
        <w:rPr>
          <w:lang w:val="en-US"/>
        </w:rPr>
        <w:t xml:space="preserve">ead across </w:t>
      </w:r>
      <w:r>
        <w:rPr>
          <w:lang w:val="en-US"/>
        </w:rPr>
        <w:t>from</w:t>
      </w:r>
      <w:r w:rsidRPr="004B7EF4">
        <w:rPr>
          <w:lang w:val="en-US"/>
        </w:rPr>
        <w:t xml:space="preserve"> IpC</w:t>
      </w:r>
      <w:r>
        <w:rPr>
          <w:lang w:val="en-US"/>
        </w:rPr>
        <w:t>F</w:t>
      </w:r>
      <w:r w:rsidRPr="004B7EF4">
        <w:rPr>
          <w:lang w:val="en-US"/>
        </w:rPr>
        <w:t xml:space="preserve"> </w:t>
      </w:r>
      <w:r>
        <w:rPr>
          <w:lang w:val="en-US"/>
        </w:rPr>
        <w:t>is also suitable for</w:t>
      </w:r>
      <w:r w:rsidRPr="004B7EF4">
        <w:rPr>
          <w:lang w:val="en-US"/>
        </w:rPr>
        <w:t xml:space="preserve"> SbCF</w:t>
      </w:r>
      <w:r>
        <w:rPr>
          <w:lang w:val="en-US"/>
        </w:rPr>
        <w:t>, for which no experimental results on hydrolytic activity are available.  The alcoholic hydrolysis products do not have hydrolysable groups and are therefore hydrolytically stable</w:t>
      </w:r>
      <w:r w:rsidRPr="004B7EF4">
        <w:rPr>
          <w:lang w:val="en-US"/>
        </w:rPr>
        <w:t>.</w:t>
      </w:r>
      <w:r>
        <w:rPr>
          <w:lang w:val="en-US"/>
        </w:rPr>
        <w:t xml:space="preserve"> </w:t>
      </w:r>
    </w:p>
    <w:p w:rsidR="001D41E2" w:rsidRPr="004B7EF4" w:rsidRDefault="001D41E2" w:rsidP="001D379D">
      <w:pPr>
        <w:pStyle w:val="Heading3"/>
        <w:numPr>
          <w:ilvl w:val="2"/>
          <w:numId w:val="28"/>
        </w:numPr>
        <w:tabs>
          <w:tab w:val="clear" w:pos="1440"/>
          <w:tab w:val="clear" w:pos="2160"/>
        </w:tabs>
        <w:rPr>
          <w:lang w:val="en-US"/>
        </w:rPr>
      </w:pPr>
      <w:bookmarkStart w:id="25" w:name="_Toc264983255"/>
      <w:r w:rsidRPr="004B7EF4">
        <w:rPr>
          <w:lang w:val="en-US"/>
        </w:rPr>
        <w:t>Transport between Environmental Compartments</w:t>
      </w:r>
      <w:bookmarkEnd w:id="25"/>
    </w:p>
    <w:p w:rsidR="001D41E2" w:rsidRPr="004B7EF4" w:rsidRDefault="001D41E2" w:rsidP="00522256">
      <w:pPr>
        <w:pStyle w:val="BodyText"/>
        <w:jc w:val="left"/>
        <w:rPr>
          <w:u w:val="single"/>
          <w:lang w:val="en-US"/>
        </w:rPr>
      </w:pPr>
      <w:r w:rsidRPr="004B7EF4">
        <w:rPr>
          <w:u w:val="single"/>
          <w:lang w:val="en-US"/>
        </w:rPr>
        <w:t>Mackay Level III</w:t>
      </w:r>
    </w:p>
    <w:p w:rsidR="001D41E2" w:rsidRDefault="001D41E2" w:rsidP="00FF6A3E">
      <w:pPr>
        <w:pStyle w:val="BodyText"/>
      </w:pPr>
      <w:r w:rsidRPr="004B7EF4">
        <w:t xml:space="preserve">The Level III </w:t>
      </w:r>
      <w:r w:rsidRPr="004B7EF4">
        <w:rPr>
          <w:i/>
          <w:iCs/>
        </w:rPr>
        <w:t xml:space="preserve">Fugacity-Based EQC Equilibrium Criterion Model </w:t>
      </w:r>
      <w:r w:rsidRPr="004B7EF4">
        <w:t xml:space="preserve">of the Trent University (v2.02, 2003) was used to evaluate the fate, transport and distribution between the environmental matrices (Table </w:t>
      </w:r>
      <w:r>
        <w:t>6</w:t>
      </w:r>
      <w:r w:rsidRPr="003F26A3">
        <w:t>).</w:t>
      </w:r>
      <w:r w:rsidRPr="003F26A3">
        <w:rPr>
          <w:snapToGrid w:val="0"/>
        </w:rPr>
        <w:t xml:space="preserve">  </w:t>
      </w:r>
      <w:r w:rsidRPr="003F26A3">
        <w:t xml:space="preserve">Level III fugacity modelling, using loading rates of 1000 kg/h each for air, soil and water, provides the percent distribution when the </w:t>
      </w:r>
      <w:r>
        <w:t>chloroformates</w:t>
      </w:r>
      <w:r w:rsidRPr="003F26A3">
        <w:t xml:space="preserve"> are released simultaneously to all three compartments.</w:t>
      </w:r>
      <w:r w:rsidRPr="003F26A3">
        <w:rPr>
          <w:snapToGrid w:val="0"/>
        </w:rPr>
        <w:t xml:space="preserve">  </w:t>
      </w:r>
      <w:r w:rsidRPr="003F26A3">
        <w:t>However, the c</w:t>
      </w:r>
      <w:r w:rsidRPr="003F26A3">
        <w:rPr>
          <w:lang w:val="en-US"/>
        </w:rPr>
        <w:t>hloroformates</w:t>
      </w:r>
      <w:r w:rsidRPr="003F26A3">
        <w:t xml:space="preserve"> are unlikely to be found in the aquatic environment, as these materials are very reactive and hydrolytically unstable.  Therefore, Level III fugacity modelling, using loading rates of 1000 kg/h each for air, soil and water, was also conducted using the </w:t>
      </w:r>
      <w:r>
        <w:t xml:space="preserve">alcohol </w:t>
      </w:r>
      <w:r w:rsidRPr="003F26A3">
        <w:t>hydrolysis products</w:t>
      </w:r>
      <w:r>
        <w:t xml:space="preserve"> </w:t>
      </w:r>
      <w:r w:rsidRPr="003F26A3">
        <w:t>when released simultaneously to all three compartments:</w:t>
      </w:r>
    </w:p>
    <w:p w:rsidR="001D41E2" w:rsidRPr="00685752" w:rsidRDefault="001D41E2" w:rsidP="00F71952">
      <w:pPr>
        <w:pStyle w:val="Caption"/>
        <w:ind w:left="0"/>
      </w:pPr>
      <w:bookmarkStart w:id="26" w:name="_Toc245859987"/>
      <w:bookmarkStart w:id="27" w:name="_Toc264983284"/>
      <w:r w:rsidRPr="00685752">
        <w:t xml:space="preserve">Table </w:t>
      </w:r>
      <w:r w:rsidR="00685752" w:rsidRPr="00685752">
        <w:t>8</w:t>
      </w:r>
      <w:r w:rsidR="007D3E3E" w:rsidRPr="007D3E3E">
        <w:rPr>
          <w:bCs w:val="0"/>
        </w:rPr>
        <w:t xml:space="preserve">     </w:t>
      </w:r>
      <w:r w:rsidR="007D3E3E" w:rsidRPr="007D3E3E">
        <w:rPr>
          <w:rFonts w:ascii="Times New Roman" w:hAnsi="Times New Roman" w:cs="Times New Roman"/>
          <w:bCs w:val="0"/>
        </w:rPr>
        <w:t>Summary of Fugacity Data (Mackay Level III)</w:t>
      </w:r>
      <w:bookmarkEnd w:id="26"/>
      <w:bookmarkEnd w:id="27"/>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0"/>
        <w:gridCol w:w="1977"/>
        <w:gridCol w:w="2185"/>
        <w:gridCol w:w="1842"/>
        <w:gridCol w:w="1771"/>
      </w:tblGrid>
      <w:tr w:rsidR="001D41E2" w:rsidTr="00F71952">
        <w:tc>
          <w:tcPr>
            <w:tcW w:w="1800" w:type="dxa"/>
            <w:tcBorders>
              <w:top w:val="single" w:sz="12" w:space="0" w:color="auto"/>
              <w:left w:val="single" w:sz="12" w:space="0" w:color="auto"/>
              <w:bottom w:val="single" w:sz="12" w:space="0" w:color="auto"/>
            </w:tcBorders>
          </w:tcPr>
          <w:p w:rsidR="001D41E2" w:rsidRPr="003F16D4" w:rsidRDefault="001D41E2" w:rsidP="00F71952">
            <w:pPr>
              <w:pStyle w:val="Tabletext"/>
              <w:ind w:left="140"/>
              <w:rPr>
                <w:b/>
                <w:bCs/>
              </w:rPr>
            </w:pPr>
            <w:r w:rsidRPr="003F16D4">
              <w:rPr>
                <w:b/>
                <w:bCs/>
              </w:rPr>
              <w:t>Category member</w:t>
            </w:r>
          </w:p>
        </w:tc>
        <w:tc>
          <w:tcPr>
            <w:tcW w:w="1710" w:type="dxa"/>
            <w:tcBorders>
              <w:top w:val="single" w:sz="12" w:space="0" w:color="auto"/>
              <w:bottom w:val="single" w:sz="12" w:space="0" w:color="auto"/>
            </w:tcBorders>
          </w:tcPr>
          <w:p w:rsidR="001D41E2" w:rsidRPr="00DD6C92" w:rsidRDefault="001D41E2" w:rsidP="00C64681">
            <w:pPr>
              <w:pStyle w:val="Tabletext"/>
              <w:jc w:val="center"/>
              <w:rPr>
                <w:b/>
                <w:bCs/>
              </w:rPr>
            </w:pPr>
            <w:r w:rsidRPr="00DD6C92">
              <w:rPr>
                <w:b/>
                <w:bCs/>
              </w:rPr>
              <w:t>% Distribution</w:t>
            </w:r>
          </w:p>
        </w:tc>
        <w:tc>
          <w:tcPr>
            <w:tcW w:w="1890" w:type="dxa"/>
            <w:tcBorders>
              <w:top w:val="single" w:sz="12" w:space="0" w:color="auto"/>
              <w:bottom w:val="single" w:sz="12" w:space="0" w:color="auto"/>
            </w:tcBorders>
            <w:shd w:val="clear" w:color="auto" w:fill="C0C0C0"/>
          </w:tcPr>
          <w:p w:rsidR="001D41E2" w:rsidRPr="00DD6C92" w:rsidRDefault="001D41E2" w:rsidP="009D5BB4">
            <w:pPr>
              <w:pStyle w:val="Tabletext"/>
              <w:jc w:val="center"/>
              <w:rPr>
                <w:b/>
                <w:bCs/>
              </w:rPr>
            </w:pPr>
            <w:r w:rsidRPr="00DD6C92">
              <w:rPr>
                <w:b/>
                <w:bCs/>
              </w:rPr>
              <w:t>Hydrolysis</w:t>
            </w:r>
          </w:p>
          <w:p w:rsidR="001D41E2" w:rsidRPr="00DD6C92" w:rsidRDefault="001D41E2" w:rsidP="009D5BB4">
            <w:pPr>
              <w:pStyle w:val="Tabletext"/>
              <w:jc w:val="center"/>
              <w:rPr>
                <w:b/>
                <w:bCs/>
              </w:rPr>
            </w:pPr>
            <w:r w:rsidRPr="00DD6C92">
              <w:rPr>
                <w:b/>
                <w:bCs/>
              </w:rPr>
              <w:t>product</w:t>
            </w:r>
          </w:p>
        </w:tc>
        <w:tc>
          <w:tcPr>
            <w:tcW w:w="1593" w:type="dxa"/>
            <w:tcBorders>
              <w:top w:val="single" w:sz="12" w:space="0" w:color="auto"/>
              <w:bottom w:val="single" w:sz="12" w:space="0" w:color="auto"/>
            </w:tcBorders>
            <w:shd w:val="clear" w:color="auto" w:fill="C0C0C0"/>
          </w:tcPr>
          <w:p w:rsidR="001D41E2" w:rsidRPr="00DD6C92" w:rsidRDefault="001D41E2" w:rsidP="00C64681">
            <w:pPr>
              <w:pStyle w:val="Tabletext"/>
              <w:jc w:val="center"/>
              <w:rPr>
                <w:b/>
                <w:bCs/>
              </w:rPr>
            </w:pPr>
            <w:r w:rsidRPr="00DD6C92">
              <w:rPr>
                <w:b/>
                <w:bCs/>
              </w:rPr>
              <w:t>% Distribution</w:t>
            </w:r>
          </w:p>
        </w:tc>
        <w:tc>
          <w:tcPr>
            <w:tcW w:w="1532" w:type="dxa"/>
            <w:tcBorders>
              <w:top w:val="single" w:sz="12" w:space="0" w:color="auto"/>
              <w:left w:val="single" w:sz="2" w:space="0" w:color="auto"/>
              <w:bottom w:val="single" w:sz="12" w:space="0" w:color="auto"/>
              <w:right w:val="single" w:sz="12" w:space="0" w:color="auto"/>
            </w:tcBorders>
          </w:tcPr>
          <w:p w:rsidR="001D41E2" w:rsidRDefault="001D41E2" w:rsidP="00F71952">
            <w:pPr>
              <w:pStyle w:val="Tabletext"/>
              <w:ind w:left="136"/>
              <w:jc w:val="center"/>
              <w:rPr>
                <w:b/>
                <w:bCs/>
              </w:rPr>
            </w:pPr>
            <w:r w:rsidRPr="00DD6C92">
              <w:rPr>
                <w:b/>
                <w:bCs/>
              </w:rPr>
              <w:t>Reference</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MeCF</w:t>
            </w:r>
          </w:p>
        </w:tc>
        <w:tc>
          <w:tcPr>
            <w:tcW w:w="1710" w:type="dxa"/>
          </w:tcPr>
          <w:p w:rsidR="001D41E2" w:rsidRDefault="001D41E2" w:rsidP="009D5BB4">
            <w:pPr>
              <w:pStyle w:val="Tabletext"/>
              <w:spacing w:before="0" w:after="0"/>
              <w:ind w:left="186"/>
            </w:pPr>
            <w:r w:rsidRPr="006A7EA3">
              <w:t xml:space="preserve">Air </w:t>
            </w:r>
            <w:r>
              <w:t xml:space="preserve">          10.5</w:t>
            </w:r>
            <w:r w:rsidRPr="006A7EA3">
              <w:t xml:space="preserve">   </w:t>
            </w:r>
          </w:p>
          <w:p w:rsidR="001D41E2" w:rsidRPr="006A7EA3" w:rsidRDefault="001D41E2" w:rsidP="009D5BB4">
            <w:pPr>
              <w:pStyle w:val="Tabletext"/>
              <w:spacing w:before="0" w:after="0"/>
              <w:ind w:left="186"/>
            </w:pPr>
            <w:r w:rsidRPr="006A7EA3">
              <w:t xml:space="preserve">Water     </w:t>
            </w:r>
            <w:r>
              <w:t xml:space="preserve">  44.1</w:t>
            </w:r>
          </w:p>
          <w:p w:rsidR="001D41E2" w:rsidRDefault="001D41E2" w:rsidP="009D5BB4">
            <w:pPr>
              <w:pStyle w:val="Tabletext"/>
              <w:spacing w:before="0" w:after="0"/>
              <w:ind w:left="186"/>
            </w:pPr>
            <w:r w:rsidRPr="006A7EA3">
              <w:t xml:space="preserve">Soil      </w:t>
            </w:r>
            <w:r>
              <w:t xml:space="preserve">    45.5</w:t>
            </w:r>
          </w:p>
          <w:p w:rsidR="001D41E2" w:rsidRPr="006A7EA3"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0.06</w:t>
            </w:r>
            <w:r w:rsidRPr="006A7EA3">
              <w:rPr>
                <w:vertAlign w:val="superscript"/>
              </w:rPr>
              <w:t xml:space="preserve">     </w:t>
            </w:r>
          </w:p>
        </w:tc>
        <w:tc>
          <w:tcPr>
            <w:tcW w:w="1890" w:type="dxa"/>
            <w:shd w:val="clear" w:color="auto" w:fill="C0C0C0"/>
          </w:tcPr>
          <w:p w:rsidR="001D41E2" w:rsidRDefault="001D41E2" w:rsidP="009D5BB4">
            <w:pPr>
              <w:pStyle w:val="Tabletext"/>
              <w:jc w:val="center"/>
            </w:pPr>
            <w:r>
              <w:t>Me</w:t>
            </w:r>
          </w:p>
        </w:tc>
        <w:tc>
          <w:tcPr>
            <w:tcW w:w="1593" w:type="dxa"/>
            <w:shd w:val="clear" w:color="auto" w:fill="C0C0C0"/>
          </w:tcPr>
          <w:p w:rsidR="001D41E2" w:rsidRPr="0017299B" w:rsidRDefault="001D41E2" w:rsidP="009D5BB4">
            <w:pPr>
              <w:pStyle w:val="Tabletext"/>
              <w:spacing w:before="0" w:after="0"/>
              <w:ind w:left="135"/>
            </w:pPr>
            <w:r w:rsidRPr="0017299B">
              <w:t>Air</w:t>
            </w:r>
            <w:r w:rsidRPr="0017299B">
              <w:tab/>
              <w:t>8.3</w:t>
            </w:r>
          </w:p>
          <w:p w:rsidR="001D41E2" w:rsidRPr="0017299B" w:rsidRDefault="001D41E2" w:rsidP="009D5BB4">
            <w:pPr>
              <w:pStyle w:val="Tabletext"/>
              <w:spacing w:before="0" w:after="0"/>
              <w:ind w:left="135"/>
            </w:pPr>
            <w:r w:rsidRPr="0017299B">
              <w:t>Water</w:t>
            </w:r>
            <w:r w:rsidRPr="0017299B">
              <w:tab/>
              <w:t>44.7</w:t>
            </w:r>
          </w:p>
          <w:p w:rsidR="001D41E2" w:rsidRPr="0017299B" w:rsidRDefault="001D41E2" w:rsidP="009D5BB4">
            <w:pPr>
              <w:pStyle w:val="Tabletext"/>
              <w:spacing w:before="0" w:after="0"/>
              <w:ind w:left="135"/>
            </w:pPr>
            <w:r w:rsidRPr="0017299B">
              <w:t>Soil</w:t>
            </w:r>
            <w:r w:rsidRPr="0017299B">
              <w:tab/>
              <w:t>46.9</w:t>
            </w:r>
          </w:p>
          <w:p w:rsidR="001D41E2" w:rsidRPr="0017299B" w:rsidRDefault="001D41E2" w:rsidP="009D5BB4">
            <w:pPr>
              <w:pStyle w:val="Tabletext"/>
              <w:spacing w:before="0" w:after="0"/>
              <w:ind w:left="135"/>
            </w:pPr>
            <w:r w:rsidRPr="0017299B">
              <w:t xml:space="preserve">Sediment </w:t>
            </w:r>
            <w:r>
              <w:t>0.06</w:t>
            </w:r>
          </w:p>
        </w:tc>
        <w:tc>
          <w:tcPr>
            <w:tcW w:w="1532" w:type="dxa"/>
            <w:tcBorders>
              <w:left w:val="single" w:sz="2" w:space="0" w:color="auto"/>
              <w:right w:val="single" w:sz="12" w:space="0" w:color="auto"/>
            </w:tcBorders>
          </w:tcPr>
          <w:p w:rsidR="001D41E2" w:rsidRPr="00961204" w:rsidRDefault="001D41E2" w:rsidP="00F71952">
            <w:pPr>
              <w:pStyle w:val="Tabletext"/>
              <w:ind w:left="136"/>
            </w:pPr>
            <w:r w:rsidRPr="004B7EF4">
              <w:t>BASF SE, 2008a</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EtCF</w:t>
            </w:r>
          </w:p>
        </w:tc>
        <w:tc>
          <w:tcPr>
            <w:tcW w:w="1710" w:type="dxa"/>
          </w:tcPr>
          <w:p w:rsidR="001D41E2" w:rsidRDefault="001D41E2" w:rsidP="009D5BB4">
            <w:pPr>
              <w:pStyle w:val="Tabletext"/>
              <w:spacing w:before="0" w:after="0"/>
              <w:ind w:left="186"/>
            </w:pPr>
            <w:r w:rsidRPr="006A7EA3">
              <w:t xml:space="preserve">Air </w:t>
            </w:r>
            <w:r>
              <w:t xml:space="preserve">          20.6</w:t>
            </w:r>
            <w:r w:rsidRPr="006A7EA3">
              <w:t xml:space="preserve">   </w:t>
            </w:r>
          </w:p>
          <w:p w:rsidR="001D41E2" w:rsidRPr="006A7EA3" w:rsidRDefault="001D41E2" w:rsidP="009D5BB4">
            <w:pPr>
              <w:pStyle w:val="Tabletext"/>
              <w:spacing w:before="0" w:after="0"/>
              <w:ind w:left="186"/>
            </w:pPr>
            <w:r w:rsidRPr="006A7EA3">
              <w:t xml:space="preserve">Water     </w:t>
            </w:r>
            <w:r>
              <w:t xml:space="preserve">  43.5</w:t>
            </w:r>
          </w:p>
          <w:p w:rsidR="001D41E2" w:rsidRDefault="001D41E2" w:rsidP="009D5BB4">
            <w:pPr>
              <w:pStyle w:val="Tabletext"/>
              <w:spacing w:before="0" w:after="0"/>
              <w:ind w:left="186"/>
            </w:pPr>
            <w:r w:rsidRPr="006A7EA3">
              <w:t xml:space="preserve">Soil      </w:t>
            </w:r>
            <w:r>
              <w:t xml:space="preserve">    35.8</w:t>
            </w:r>
          </w:p>
          <w:p w:rsidR="001D41E2"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0.07</w:t>
            </w:r>
            <w:r w:rsidRPr="006A7EA3">
              <w:rPr>
                <w:vertAlign w:val="superscript"/>
              </w:rPr>
              <w:t xml:space="preserve">     </w:t>
            </w:r>
          </w:p>
        </w:tc>
        <w:tc>
          <w:tcPr>
            <w:tcW w:w="1890" w:type="dxa"/>
            <w:shd w:val="clear" w:color="auto" w:fill="C0C0C0"/>
          </w:tcPr>
          <w:p w:rsidR="001D41E2" w:rsidRDefault="001D41E2" w:rsidP="009D5BB4">
            <w:pPr>
              <w:pStyle w:val="Tabletext"/>
              <w:jc w:val="center"/>
            </w:pPr>
            <w:r>
              <w:t>Et</w:t>
            </w:r>
          </w:p>
        </w:tc>
        <w:tc>
          <w:tcPr>
            <w:tcW w:w="1593" w:type="dxa"/>
            <w:shd w:val="clear" w:color="auto" w:fill="C0C0C0"/>
          </w:tcPr>
          <w:p w:rsidR="001D41E2" w:rsidRPr="0017299B" w:rsidRDefault="001D41E2" w:rsidP="009D5BB4">
            <w:pPr>
              <w:pStyle w:val="Tabletext"/>
              <w:spacing w:before="0" w:after="0"/>
              <w:ind w:left="135"/>
            </w:pPr>
            <w:r w:rsidRPr="0017299B">
              <w:t>Air</w:t>
            </w:r>
            <w:r w:rsidRPr="0017299B">
              <w:tab/>
              <w:t>8.5</w:t>
            </w:r>
          </w:p>
          <w:p w:rsidR="001D41E2" w:rsidRPr="0017299B" w:rsidRDefault="001D41E2" w:rsidP="009D5BB4">
            <w:pPr>
              <w:pStyle w:val="Tabletext"/>
              <w:spacing w:before="0" w:after="0"/>
              <w:ind w:left="135"/>
            </w:pPr>
            <w:r w:rsidRPr="0017299B">
              <w:t>Water</w:t>
            </w:r>
            <w:r w:rsidRPr="0017299B">
              <w:tab/>
              <w:t>45.8</w:t>
            </w:r>
          </w:p>
          <w:p w:rsidR="001D41E2" w:rsidRPr="0017299B" w:rsidRDefault="001D41E2" w:rsidP="009D5BB4">
            <w:pPr>
              <w:pStyle w:val="Tabletext"/>
              <w:spacing w:before="0" w:after="0"/>
              <w:ind w:left="135"/>
            </w:pPr>
            <w:r w:rsidRPr="0017299B">
              <w:t>Soil</w:t>
            </w:r>
            <w:r w:rsidRPr="0017299B">
              <w:tab/>
              <w:t>45.6</w:t>
            </w:r>
          </w:p>
          <w:p w:rsidR="001D41E2" w:rsidRPr="0017299B" w:rsidRDefault="001D41E2" w:rsidP="009D5BB4">
            <w:pPr>
              <w:pStyle w:val="Tabletext"/>
              <w:spacing w:before="0" w:after="0"/>
              <w:ind w:left="135"/>
            </w:pPr>
            <w:r w:rsidRPr="0017299B">
              <w:t xml:space="preserve">Sediment </w:t>
            </w:r>
            <w:r>
              <w:t>0.07</w:t>
            </w:r>
          </w:p>
        </w:tc>
        <w:tc>
          <w:tcPr>
            <w:tcW w:w="1532" w:type="dxa"/>
            <w:tcBorders>
              <w:left w:val="single" w:sz="2" w:space="0" w:color="auto"/>
              <w:right w:val="single" w:sz="12" w:space="0" w:color="auto"/>
            </w:tcBorders>
          </w:tcPr>
          <w:p w:rsidR="001D41E2" w:rsidRPr="00110FD5" w:rsidRDefault="001D41E2" w:rsidP="00F71952">
            <w:pPr>
              <w:ind w:left="136"/>
              <w:rPr>
                <w:sz w:val="20"/>
                <w:szCs w:val="20"/>
              </w:rPr>
            </w:pPr>
            <w:r w:rsidRPr="00110FD5">
              <w:rPr>
                <w:sz w:val="20"/>
                <w:szCs w:val="20"/>
              </w:rPr>
              <w:t>BASF SE, 2008b</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PrCF</w:t>
            </w:r>
          </w:p>
        </w:tc>
        <w:tc>
          <w:tcPr>
            <w:tcW w:w="1710" w:type="dxa"/>
          </w:tcPr>
          <w:p w:rsidR="001D41E2" w:rsidRDefault="001D41E2" w:rsidP="009D5BB4">
            <w:pPr>
              <w:pStyle w:val="Tabletext"/>
              <w:spacing w:before="0" w:after="0"/>
              <w:ind w:left="186"/>
            </w:pPr>
            <w:r w:rsidRPr="006A7EA3">
              <w:t xml:space="preserve">Air </w:t>
            </w:r>
            <w:r>
              <w:t xml:space="preserve">          20.4</w:t>
            </w:r>
            <w:r w:rsidRPr="006A7EA3">
              <w:t xml:space="preserve">   </w:t>
            </w:r>
          </w:p>
          <w:p w:rsidR="001D41E2" w:rsidRPr="006A7EA3" w:rsidRDefault="001D41E2" w:rsidP="009D5BB4">
            <w:pPr>
              <w:pStyle w:val="Tabletext"/>
              <w:spacing w:before="0" w:after="0"/>
              <w:ind w:left="186"/>
            </w:pPr>
            <w:r w:rsidRPr="006A7EA3">
              <w:t xml:space="preserve">Water     </w:t>
            </w:r>
            <w:r>
              <w:t xml:space="preserve">  43.3</w:t>
            </w:r>
          </w:p>
          <w:p w:rsidR="001D41E2" w:rsidRDefault="001D41E2" w:rsidP="009D5BB4">
            <w:pPr>
              <w:pStyle w:val="Tabletext"/>
              <w:spacing w:before="0" w:after="0"/>
              <w:ind w:left="186"/>
            </w:pPr>
            <w:r w:rsidRPr="006A7EA3">
              <w:t xml:space="preserve">Soil      </w:t>
            </w:r>
            <w:r>
              <w:t xml:space="preserve">    36.2</w:t>
            </w:r>
          </w:p>
          <w:p w:rsidR="001D41E2"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0.07</w:t>
            </w:r>
            <w:r w:rsidRPr="006A7EA3">
              <w:rPr>
                <w:vertAlign w:val="superscript"/>
              </w:rPr>
              <w:t xml:space="preserve">     </w:t>
            </w:r>
          </w:p>
        </w:tc>
        <w:tc>
          <w:tcPr>
            <w:tcW w:w="1890" w:type="dxa"/>
            <w:shd w:val="clear" w:color="auto" w:fill="C0C0C0"/>
          </w:tcPr>
          <w:p w:rsidR="001D41E2" w:rsidRDefault="001D41E2" w:rsidP="009D5BB4">
            <w:pPr>
              <w:pStyle w:val="Tabletext"/>
              <w:jc w:val="center"/>
            </w:pPr>
            <w:r>
              <w:t>Pr</w:t>
            </w:r>
          </w:p>
        </w:tc>
        <w:tc>
          <w:tcPr>
            <w:tcW w:w="1593" w:type="dxa"/>
            <w:shd w:val="clear" w:color="auto" w:fill="C0C0C0"/>
          </w:tcPr>
          <w:p w:rsidR="001D41E2" w:rsidRPr="0017299B" w:rsidRDefault="001D41E2" w:rsidP="009D5BB4">
            <w:pPr>
              <w:pStyle w:val="Tabletext"/>
              <w:spacing w:before="0" w:after="0"/>
              <w:ind w:left="135"/>
            </w:pPr>
            <w:r w:rsidRPr="0017299B">
              <w:t>Air</w:t>
            </w:r>
            <w:r w:rsidRPr="0017299B">
              <w:tab/>
              <w:t>6.0</w:t>
            </w:r>
          </w:p>
          <w:p w:rsidR="001D41E2" w:rsidRPr="0017299B" w:rsidRDefault="001D41E2" w:rsidP="009D5BB4">
            <w:pPr>
              <w:pStyle w:val="Tabletext"/>
              <w:spacing w:before="0" w:after="0"/>
              <w:ind w:left="135"/>
            </w:pPr>
            <w:r w:rsidRPr="0017299B">
              <w:t>Water</w:t>
            </w:r>
            <w:r w:rsidRPr="0017299B">
              <w:tab/>
              <w:t>45.5</w:t>
            </w:r>
          </w:p>
          <w:p w:rsidR="001D41E2" w:rsidRPr="0017299B" w:rsidRDefault="001D41E2" w:rsidP="009D5BB4">
            <w:pPr>
              <w:pStyle w:val="Tabletext"/>
              <w:spacing w:before="0" w:after="0"/>
              <w:ind w:left="135"/>
            </w:pPr>
            <w:r w:rsidRPr="0017299B">
              <w:t>Soil</w:t>
            </w:r>
            <w:r w:rsidRPr="0017299B">
              <w:tab/>
              <w:t>48.5</w:t>
            </w:r>
          </w:p>
          <w:p w:rsidR="001D41E2" w:rsidRPr="0017299B" w:rsidRDefault="001D41E2" w:rsidP="009D5BB4">
            <w:pPr>
              <w:pStyle w:val="Tabletext"/>
              <w:spacing w:before="0" w:after="0"/>
              <w:ind w:left="135"/>
            </w:pPr>
            <w:r w:rsidRPr="0017299B">
              <w:t xml:space="preserve">Sediment </w:t>
            </w:r>
            <w:r>
              <w:t>0.07</w:t>
            </w:r>
          </w:p>
        </w:tc>
        <w:tc>
          <w:tcPr>
            <w:tcW w:w="1532" w:type="dxa"/>
            <w:tcBorders>
              <w:left w:val="single" w:sz="2" w:space="0" w:color="auto"/>
              <w:right w:val="single" w:sz="12" w:space="0" w:color="auto"/>
            </w:tcBorders>
          </w:tcPr>
          <w:p w:rsidR="001D41E2" w:rsidRPr="00110FD5" w:rsidRDefault="001D41E2" w:rsidP="00F71952">
            <w:pPr>
              <w:ind w:left="136"/>
              <w:rPr>
                <w:sz w:val="20"/>
                <w:szCs w:val="20"/>
              </w:rPr>
            </w:pPr>
            <w:r w:rsidRPr="00110FD5">
              <w:rPr>
                <w:sz w:val="20"/>
                <w:szCs w:val="20"/>
              </w:rPr>
              <w:t>BASF SE, 2008c</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IpCF</w:t>
            </w:r>
          </w:p>
        </w:tc>
        <w:tc>
          <w:tcPr>
            <w:tcW w:w="1710" w:type="dxa"/>
          </w:tcPr>
          <w:p w:rsidR="001D41E2" w:rsidRDefault="001D41E2" w:rsidP="009D5BB4">
            <w:pPr>
              <w:pStyle w:val="Tabletext"/>
              <w:spacing w:before="0" w:after="0"/>
              <w:ind w:left="186"/>
            </w:pPr>
            <w:r w:rsidRPr="006A7EA3">
              <w:t xml:space="preserve">Air </w:t>
            </w:r>
            <w:r>
              <w:t xml:space="preserve">          20.4</w:t>
            </w:r>
            <w:r w:rsidRPr="006A7EA3">
              <w:t xml:space="preserve">   </w:t>
            </w:r>
          </w:p>
          <w:p w:rsidR="001D41E2" w:rsidRPr="006A7EA3" w:rsidRDefault="001D41E2" w:rsidP="009D5BB4">
            <w:pPr>
              <w:pStyle w:val="Tabletext"/>
              <w:spacing w:before="0" w:after="0"/>
              <w:ind w:left="186"/>
            </w:pPr>
            <w:r w:rsidRPr="006A7EA3">
              <w:t xml:space="preserve">Water     </w:t>
            </w:r>
            <w:r>
              <w:t xml:space="preserve">  44.3</w:t>
            </w:r>
          </w:p>
          <w:p w:rsidR="001D41E2" w:rsidRDefault="001D41E2" w:rsidP="009D5BB4">
            <w:pPr>
              <w:pStyle w:val="Tabletext"/>
              <w:spacing w:before="0" w:after="0"/>
              <w:ind w:left="186"/>
            </w:pPr>
            <w:r w:rsidRPr="006A7EA3">
              <w:t xml:space="preserve">Soil      </w:t>
            </w:r>
            <w:r>
              <w:t xml:space="preserve">    35.2</w:t>
            </w:r>
          </w:p>
          <w:p w:rsidR="001D41E2"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0.07</w:t>
            </w:r>
            <w:r w:rsidRPr="006A7EA3">
              <w:rPr>
                <w:vertAlign w:val="superscript"/>
              </w:rPr>
              <w:t xml:space="preserve">     </w:t>
            </w:r>
          </w:p>
        </w:tc>
        <w:tc>
          <w:tcPr>
            <w:tcW w:w="1890" w:type="dxa"/>
            <w:shd w:val="clear" w:color="auto" w:fill="C0C0C0"/>
          </w:tcPr>
          <w:p w:rsidR="001D41E2" w:rsidRDefault="001D41E2" w:rsidP="009D5BB4">
            <w:pPr>
              <w:pStyle w:val="Tabletext"/>
              <w:jc w:val="center"/>
            </w:pPr>
            <w:r>
              <w:t>Ip</w:t>
            </w:r>
          </w:p>
        </w:tc>
        <w:tc>
          <w:tcPr>
            <w:tcW w:w="1593" w:type="dxa"/>
            <w:shd w:val="clear" w:color="auto" w:fill="C0C0C0"/>
          </w:tcPr>
          <w:p w:rsidR="001D41E2" w:rsidRPr="0017299B" w:rsidRDefault="001D41E2" w:rsidP="009D5BB4">
            <w:pPr>
              <w:pStyle w:val="Tabletext"/>
              <w:spacing w:before="0" w:after="0"/>
              <w:ind w:left="135"/>
            </w:pPr>
            <w:r w:rsidRPr="0017299B">
              <w:t>Air</w:t>
            </w:r>
            <w:r w:rsidRPr="0017299B">
              <w:tab/>
              <w:t>4.9</w:t>
            </w:r>
          </w:p>
          <w:p w:rsidR="001D41E2" w:rsidRPr="0017299B" w:rsidRDefault="001D41E2" w:rsidP="009D5BB4">
            <w:pPr>
              <w:pStyle w:val="Tabletext"/>
              <w:spacing w:before="0" w:after="0"/>
              <w:ind w:left="135"/>
            </w:pPr>
            <w:r w:rsidRPr="0017299B">
              <w:t>Water</w:t>
            </w:r>
            <w:r w:rsidRPr="0017299B">
              <w:tab/>
              <w:t>45.6</w:t>
            </w:r>
          </w:p>
          <w:p w:rsidR="001D41E2" w:rsidRPr="0017299B" w:rsidRDefault="001D41E2" w:rsidP="009D5BB4">
            <w:pPr>
              <w:pStyle w:val="Tabletext"/>
              <w:spacing w:before="0" w:after="0"/>
              <w:ind w:left="135"/>
            </w:pPr>
            <w:r w:rsidRPr="0017299B">
              <w:t>Soil</w:t>
            </w:r>
            <w:r w:rsidRPr="0017299B">
              <w:tab/>
              <w:t>49.4</w:t>
            </w:r>
          </w:p>
          <w:p w:rsidR="001D41E2" w:rsidRPr="0017299B" w:rsidRDefault="001D41E2" w:rsidP="009D5BB4">
            <w:pPr>
              <w:ind w:left="135"/>
            </w:pPr>
            <w:r w:rsidRPr="0017299B">
              <w:rPr>
                <w:snapToGrid w:val="0"/>
                <w:sz w:val="20"/>
                <w:szCs w:val="20"/>
                <w:lang w:eastAsia="da-DK"/>
              </w:rPr>
              <w:t xml:space="preserve">Sediment </w:t>
            </w:r>
            <w:r>
              <w:rPr>
                <w:snapToGrid w:val="0"/>
                <w:sz w:val="20"/>
                <w:szCs w:val="20"/>
                <w:lang w:eastAsia="da-DK"/>
              </w:rPr>
              <w:t>0.07</w:t>
            </w:r>
          </w:p>
        </w:tc>
        <w:tc>
          <w:tcPr>
            <w:tcW w:w="1532" w:type="dxa"/>
            <w:tcBorders>
              <w:left w:val="single" w:sz="2" w:space="0" w:color="auto"/>
              <w:right w:val="single" w:sz="12" w:space="0" w:color="auto"/>
            </w:tcBorders>
          </w:tcPr>
          <w:p w:rsidR="001D41E2" w:rsidRPr="00110FD5" w:rsidRDefault="001D41E2" w:rsidP="00F71952">
            <w:pPr>
              <w:ind w:left="136"/>
              <w:rPr>
                <w:sz w:val="20"/>
                <w:szCs w:val="20"/>
              </w:rPr>
            </w:pPr>
            <w:r w:rsidRPr="00110FD5">
              <w:rPr>
                <w:sz w:val="20"/>
                <w:szCs w:val="20"/>
              </w:rPr>
              <w:t>BASF SE, 2008d</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SbCF</w:t>
            </w:r>
          </w:p>
        </w:tc>
        <w:tc>
          <w:tcPr>
            <w:tcW w:w="1710" w:type="dxa"/>
          </w:tcPr>
          <w:p w:rsidR="001D41E2" w:rsidRDefault="001D41E2" w:rsidP="009D5BB4">
            <w:pPr>
              <w:pStyle w:val="Tabletext"/>
              <w:spacing w:before="0" w:after="0"/>
              <w:ind w:left="186"/>
            </w:pPr>
            <w:r w:rsidRPr="006A7EA3">
              <w:t xml:space="preserve">Air </w:t>
            </w:r>
            <w:r>
              <w:t xml:space="preserve">          17.8</w:t>
            </w:r>
            <w:r w:rsidRPr="006A7EA3">
              <w:t xml:space="preserve">   </w:t>
            </w:r>
          </w:p>
          <w:p w:rsidR="001D41E2" w:rsidRPr="006A7EA3" w:rsidRDefault="001D41E2" w:rsidP="009D5BB4">
            <w:pPr>
              <w:pStyle w:val="Tabletext"/>
              <w:spacing w:before="0" w:after="0"/>
              <w:ind w:left="186"/>
            </w:pPr>
            <w:r w:rsidRPr="006A7EA3">
              <w:t xml:space="preserve">Water     </w:t>
            </w:r>
            <w:r>
              <w:t xml:space="preserve">  41.5</w:t>
            </w:r>
          </w:p>
          <w:p w:rsidR="001D41E2" w:rsidRDefault="001D41E2" w:rsidP="009D5BB4">
            <w:pPr>
              <w:pStyle w:val="Tabletext"/>
              <w:spacing w:before="0" w:after="0"/>
              <w:ind w:left="186"/>
            </w:pPr>
            <w:r w:rsidRPr="006A7EA3">
              <w:t xml:space="preserve">Soil      </w:t>
            </w:r>
            <w:r>
              <w:t xml:space="preserve">    40.7</w:t>
            </w:r>
          </w:p>
          <w:p w:rsidR="001D41E2" w:rsidRPr="006A7EA3"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0.07</w:t>
            </w:r>
            <w:r w:rsidRPr="006A7EA3">
              <w:rPr>
                <w:vertAlign w:val="superscript"/>
              </w:rPr>
              <w:t xml:space="preserve">     </w:t>
            </w:r>
          </w:p>
        </w:tc>
        <w:tc>
          <w:tcPr>
            <w:tcW w:w="1890" w:type="dxa"/>
            <w:shd w:val="clear" w:color="auto" w:fill="C0C0C0"/>
          </w:tcPr>
          <w:p w:rsidR="001D41E2" w:rsidRPr="004B7EF4" w:rsidRDefault="001D41E2" w:rsidP="009D5BB4">
            <w:pPr>
              <w:pStyle w:val="Tabletext"/>
              <w:jc w:val="center"/>
            </w:pPr>
            <w:r>
              <w:t>Sb</w:t>
            </w:r>
          </w:p>
        </w:tc>
        <w:tc>
          <w:tcPr>
            <w:tcW w:w="1593" w:type="dxa"/>
            <w:shd w:val="clear" w:color="auto" w:fill="C0C0C0"/>
          </w:tcPr>
          <w:p w:rsidR="001D41E2" w:rsidRPr="0017299B" w:rsidRDefault="001D41E2" w:rsidP="009D5BB4">
            <w:pPr>
              <w:pStyle w:val="Tabletext"/>
              <w:spacing w:before="0" w:after="0"/>
              <w:ind w:left="135"/>
            </w:pPr>
            <w:r w:rsidRPr="0017299B">
              <w:t>Air</w:t>
            </w:r>
            <w:r w:rsidRPr="0017299B">
              <w:tab/>
              <w:t>2.5</w:t>
            </w:r>
          </w:p>
          <w:p w:rsidR="001D41E2" w:rsidRPr="0017299B" w:rsidRDefault="001D41E2" w:rsidP="009D5BB4">
            <w:pPr>
              <w:pStyle w:val="Tabletext"/>
              <w:spacing w:before="0" w:after="0"/>
              <w:ind w:left="135"/>
            </w:pPr>
            <w:r w:rsidRPr="0017299B">
              <w:t>Water</w:t>
            </w:r>
            <w:r w:rsidRPr="0017299B">
              <w:tab/>
              <w:t>45.9</w:t>
            </w:r>
          </w:p>
          <w:p w:rsidR="001D41E2" w:rsidRPr="0017299B" w:rsidRDefault="001D41E2" w:rsidP="009D5BB4">
            <w:pPr>
              <w:pStyle w:val="Tabletext"/>
              <w:spacing w:before="0" w:after="0"/>
              <w:ind w:left="135"/>
            </w:pPr>
            <w:r w:rsidRPr="0017299B">
              <w:t>Soil</w:t>
            </w:r>
            <w:r w:rsidRPr="0017299B">
              <w:tab/>
              <w:t>51.6</w:t>
            </w:r>
          </w:p>
          <w:p w:rsidR="001D41E2" w:rsidRPr="0017299B" w:rsidRDefault="001D41E2" w:rsidP="009D5BB4">
            <w:pPr>
              <w:pStyle w:val="Tabletext"/>
              <w:spacing w:before="0" w:after="0"/>
              <w:ind w:left="135"/>
            </w:pPr>
            <w:r w:rsidRPr="0017299B">
              <w:t xml:space="preserve">Sediment </w:t>
            </w:r>
            <w:r>
              <w:t>0.07</w:t>
            </w:r>
          </w:p>
        </w:tc>
        <w:tc>
          <w:tcPr>
            <w:tcW w:w="1532" w:type="dxa"/>
            <w:tcBorders>
              <w:left w:val="single" w:sz="2" w:space="0" w:color="auto"/>
              <w:right w:val="single" w:sz="12" w:space="0" w:color="auto"/>
            </w:tcBorders>
          </w:tcPr>
          <w:p w:rsidR="001D41E2" w:rsidRPr="00110FD5" w:rsidRDefault="001D41E2" w:rsidP="00F71952">
            <w:pPr>
              <w:ind w:left="136"/>
              <w:rPr>
                <w:sz w:val="20"/>
                <w:szCs w:val="20"/>
              </w:rPr>
            </w:pPr>
            <w:r w:rsidRPr="00110FD5">
              <w:rPr>
                <w:sz w:val="20"/>
                <w:szCs w:val="20"/>
              </w:rPr>
              <w:t>BASF SE, 2008g</w:t>
            </w:r>
          </w:p>
        </w:tc>
      </w:tr>
      <w:tr w:rsidR="001D41E2" w:rsidTr="00F71952">
        <w:tc>
          <w:tcPr>
            <w:tcW w:w="1800" w:type="dxa"/>
            <w:tcBorders>
              <w:left w:val="single" w:sz="12" w:space="0" w:color="auto"/>
            </w:tcBorders>
          </w:tcPr>
          <w:p w:rsidR="001D41E2" w:rsidRPr="003F16D4" w:rsidRDefault="001D41E2" w:rsidP="00F71952">
            <w:pPr>
              <w:pStyle w:val="Tabletext"/>
              <w:ind w:left="140"/>
              <w:rPr>
                <w:b/>
                <w:bCs/>
              </w:rPr>
            </w:pPr>
            <w:r>
              <w:t>ObCF</w:t>
            </w:r>
          </w:p>
        </w:tc>
        <w:tc>
          <w:tcPr>
            <w:tcW w:w="1710" w:type="dxa"/>
          </w:tcPr>
          <w:p w:rsidR="001D41E2" w:rsidRDefault="001D41E2" w:rsidP="009D5BB4">
            <w:pPr>
              <w:pStyle w:val="Tabletext"/>
              <w:spacing w:before="0" w:after="0"/>
              <w:ind w:left="186"/>
            </w:pPr>
            <w:r w:rsidRPr="006A7EA3">
              <w:t xml:space="preserve">Air </w:t>
            </w:r>
            <w:r>
              <w:t xml:space="preserve">          6.5</w:t>
            </w:r>
            <w:r w:rsidRPr="006A7EA3">
              <w:t xml:space="preserve">   </w:t>
            </w:r>
          </w:p>
          <w:p w:rsidR="001D41E2" w:rsidRPr="006A7EA3" w:rsidRDefault="001D41E2" w:rsidP="009D5BB4">
            <w:pPr>
              <w:pStyle w:val="Tabletext"/>
              <w:spacing w:before="0" w:after="0"/>
              <w:ind w:left="186"/>
            </w:pPr>
            <w:r w:rsidRPr="006A7EA3">
              <w:t xml:space="preserve">Water     </w:t>
            </w:r>
            <w:r>
              <w:t xml:space="preserve">  50.1</w:t>
            </w:r>
          </w:p>
          <w:p w:rsidR="001D41E2" w:rsidRDefault="001D41E2" w:rsidP="009D5BB4">
            <w:pPr>
              <w:pStyle w:val="Tabletext"/>
              <w:spacing w:before="0" w:after="0"/>
              <w:ind w:left="186"/>
            </w:pPr>
            <w:r w:rsidRPr="006A7EA3">
              <w:t xml:space="preserve">Soil      </w:t>
            </w:r>
            <w:r>
              <w:t xml:space="preserve">    43.4</w:t>
            </w:r>
          </w:p>
          <w:p w:rsidR="001D41E2" w:rsidRPr="006A7EA3"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Pr>
                <w:rFonts w:ascii="(Asiatische Schriftart verwende" w:hAnsi="(Asiatische Schriftart verwende" w:cs="(Asiatische Schriftart verwende"/>
              </w:rPr>
              <w:t>0.07</w:t>
            </w:r>
            <w:r w:rsidRPr="006A7EA3">
              <w:rPr>
                <w:vertAlign w:val="superscript"/>
              </w:rPr>
              <w:t xml:space="preserve">     </w:t>
            </w:r>
          </w:p>
        </w:tc>
        <w:tc>
          <w:tcPr>
            <w:tcW w:w="1890" w:type="dxa"/>
            <w:shd w:val="clear" w:color="auto" w:fill="C0C0C0"/>
          </w:tcPr>
          <w:p w:rsidR="001D41E2" w:rsidRPr="004B7EF4" w:rsidRDefault="001D41E2" w:rsidP="009D5BB4">
            <w:pPr>
              <w:pStyle w:val="Tabletext"/>
              <w:jc w:val="center"/>
            </w:pPr>
            <w:r>
              <w:t>DEG</w:t>
            </w:r>
          </w:p>
        </w:tc>
        <w:tc>
          <w:tcPr>
            <w:tcW w:w="1593" w:type="dxa"/>
            <w:shd w:val="clear" w:color="auto" w:fill="C0C0C0"/>
            <w:vAlign w:val="center"/>
          </w:tcPr>
          <w:p w:rsidR="001D41E2" w:rsidRPr="0017299B" w:rsidRDefault="001D41E2" w:rsidP="009D5BB4">
            <w:pPr>
              <w:pStyle w:val="Tabletext"/>
              <w:spacing w:before="0" w:after="0"/>
              <w:ind w:left="135"/>
            </w:pPr>
            <w:r w:rsidRPr="0017299B">
              <w:t>Air</w:t>
            </w:r>
            <w:r w:rsidRPr="0017299B">
              <w:tab/>
            </w:r>
            <w:r>
              <w:t>0.02</w:t>
            </w:r>
          </w:p>
          <w:p w:rsidR="001D41E2" w:rsidRPr="0017299B" w:rsidRDefault="001D41E2" w:rsidP="009D5BB4">
            <w:pPr>
              <w:pStyle w:val="Tabletext"/>
              <w:spacing w:before="0" w:after="0"/>
              <w:ind w:left="135"/>
            </w:pPr>
            <w:r w:rsidRPr="0017299B">
              <w:t>Water</w:t>
            </w:r>
            <w:r w:rsidRPr="0017299B">
              <w:tab/>
              <w:t>39.2</w:t>
            </w:r>
          </w:p>
          <w:p w:rsidR="001D41E2" w:rsidRPr="0017299B" w:rsidRDefault="001D41E2" w:rsidP="009D5BB4">
            <w:pPr>
              <w:pStyle w:val="Tabletext"/>
              <w:spacing w:before="0" w:after="0"/>
              <w:ind w:left="135"/>
            </w:pPr>
            <w:r w:rsidRPr="0017299B">
              <w:t>Soil</w:t>
            </w:r>
            <w:r w:rsidRPr="0017299B">
              <w:tab/>
              <w:t>60.7</w:t>
            </w:r>
          </w:p>
          <w:p w:rsidR="001D41E2" w:rsidRPr="0017299B" w:rsidRDefault="001D41E2" w:rsidP="009D5BB4">
            <w:pPr>
              <w:pStyle w:val="NormalWeb"/>
              <w:spacing w:before="0" w:beforeAutospacing="0" w:after="0" w:afterAutospacing="0"/>
              <w:ind w:left="135"/>
              <w:rPr>
                <w:snapToGrid w:val="0"/>
                <w:sz w:val="20"/>
                <w:szCs w:val="20"/>
                <w:lang w:val="en-US" w:eastAsia="da-DK"/>
              </w:rPr>
            </w:pPr>
            <w:r w:rsidRPr="0017299B">
              <w:rPr>
                <w:snapToGrid w:val="0"/>
                <w:sz w:val="20"/>
                <w:szCs w:val="20"/>
                <w:lang w:val="en-US" w:eastAsia="da-DK"/>
              </w:rPr>
              <w:t>Sediment</w:t>
            </w:r>
            <w:r>
              <w:rPr>
                <w:snapToGrid w:val="0"/>
                <w:sz w:val="20"/>
                <w:szCs w:val="20"/>
                <w:lang w:val="en-US" w:eastAsia="da-DK"/>
              </w:rPr>
              <w:t xml:space="preserve"> 0.06</w:t>
            </w:r>
          </w:p>
        </w:tc>
        <w:tc>
          <w:tcPr>
            <w:tcW w:w="1532" w:type="dxa"/>
            <w:tcBorders>
              <w:left w:val="single" w:sz="2" w:space="0" w:color="auto"/>
              <w:right w:val="single" w:sz="12" w:space="0" w:color="auto"/>
            </w:tcBorders>
          </w:tcPr>
          <w:p w:rsidR="001D41E2" w:rsidRPr="00110FD5" w:rsidRDefault="001D41E2" w:rsidP="00F71952">
            <w:pPr>
              <w:ind w:left="136"/>
              <w:rPr>
                <w:sz w:val="20"/>
                <w:szCs w:val="20"/>
              </w:rPr>
            </w:pPr>
            <w:r w:rsidRPr="00110FD5">
              <w:rPr>
                <w:sz w:val="20"/>
                <w:szCs w:val="20"/>
              </w:rPr>
              <w:t>BASF SE, 2008e</w:t>
            </w:r>
          </w:p>
        </w:tc>
      </w:tr>
      <w:tr w:rsidR="001D41E2" w:rsidTr="00F71952">
        <w:tc>
          <w:tcPr>
            <w:tcW w:w="1800" w:type="dxa"/>
            <w:tcBorders>
              <w:left w:val="single" w:sz="12" w:space="0" w:color="auto"/>
              <w:bottom w:val="single" w:sz="12" w:space="0" w:color="auto"/>
            </w:tcBorders>
          </w:tcPr>
          <w:p w:rsidR="001D41E2" w:rsidRPr="003F16D4" w:rsidRDefault="001D41E2" w:rsidP="00F71952">
            <w:pPr>
              <w:pStyle w:val="Tabletext"/>
              <w:ind w:left="140"/>
              <w:rPr>
                <w:b/>
                <w:bCs/>
              </w:rPr>
            </w:pPr>
            <w:r>
              <w:t>EhCF</w:t>
            </w:r>
          </w:p>
        </w:tc>
        <w:tc>
          <w:tcPr>
            <w:tcW w:w="1710" w:type="dxa"/>
            <w:tcBorders>
              <w:bottom w:val="single" w:sz="12" w:space="0" w:color="auto"/>
            </w:tcBorders>
          </w:tcPr>
          <w:p w:rsidR="001D41E2" w:rsidRDefault="001D41E2" w:rsidP="009D5BB4">
            <w:pPr>
              <w:pStyle w:val="Tabletext"/>
              <w:spacing w:before="0" w:after="0"/>
              <w:ind w:left="186"/>
            </w:pPr>
            <w:r w:rsidRPr="006A7EA3">
              <w:t xml:space="preserve">Air </w:t>
            </w:r>
            <w:r>
              <w:t xml:space="preserve">          4.3</w:t>
            </w:r>
            <w:r w:rsidRPr="006A7EA3">
              <w:t xml:space="preserve">   </w:t>
            </w:r>
          </w:p>
          <w:p w:rsidR="001D41E2" w:rsidRPr="006A7EA3" w:rsidRDefault="001D41E2" w:rsidP="009D5BB4">
            <w:pPr>
              <w:pStyle w:val="Tabletext"/>
              <w:spacing w:before="0" w:after="0"/>
              <w:ind w:left="186"/>
            </w:pPr>
            <w:r w:rsidRPr="006A7EA3">
              <w:t xml:space="preserve">Water     </w:t>
            </w:r>
            <w:r>
              <w:t xml:space="preserve">  17.5</w:t>
            </w:r>
          </w:p>
          <w:p w:rsidR="001D41E2" w:rsidRDefault="001D41E2" w:rsidP="009D5BB4">
            <w:pPr>
              <w:pStyle w:val="Tabletext"/>
              <w:spacing w:before="0" w:after="0"/>
              <w:ind w:left="186"/>
            </w:pPr>
            <w:r w:rsidRPr="006A7EA3">
              <w:t xml:space="preserve">Soil      </w:t>
            </w:r>
            <w:r>
              <w:t xml:space="preserve">    78</w:t>
            </w:r>
          </w:p>
          <w:p w:rsidR="001D41E2" w:rsidRPr="006A7EA3" w:rsidRDefault="001D41E2" w:rsidP="009D5BB4">
            <w:pPr>
              <w:pStyle w:val="Tabletext"/>
              <w:spacing w:before="0" w:after="0"/>
              <w:ind w:left="186"/>
            </w:pPr>
            <w:r>
              <w:t>Sediment</w:t>
            </w:r>
            <w:r w:rsidRPr="009E3A0E">
              <w:rPr>
                <w:rFonts w:ascii="(Asiatische Schriftart verwende" w:hAnsi="(Asiatische Schriftart verwende" w:cs="(Asiatische Schriftart verwende"/>
              </w:rPr>
              <w:t xml:space="preserve"> </w:t>
            </w:r>
            <w:r w:rsidRPr="009E3A0E">
              <w:rPr>
                <w:rFonts w:ascii="(Asiatische Schriftart verwende" w:hAnsi="(Asiatische Schriftart verwende" w:cs="(Asiatische Schriftart verwende"/>
                <w:vertAlign w:val="superscript"/>
              </w:rPr>
              <w:t xml:space="preserve"> </w:t>
            </w:r>
            <w:r w:rsidRPr="009E3A0E">
              <w:rPr>
                <w:rFonts w:ascii="(Asiatische Schriftart verwende" w:hAnsi="(Asiatische Schriftart verwende" w:cs="(Asiatische Schriftart verwende"/>
              </w:rPr>
              <w:t>0.</w:t>
            </w:r>
            <w:r>
              <w:rPr>
                <w:rFonts w:ascii="(Asiatische Schriftart verwende" w:hAnsi="(Asiatische Schriftart verwende" w:cs="(Asiatische Schriftart verwende"/>
              </w:rPr>
              <w:t>2</w:t>
            </w:r>
            <w:r w:rsidRPr="006A7EA3">
              <w:rPr>
                <w:vertAlign w:val="superscript"/>
              </w:rPr>
              <w:t xml:space="preserve">     </w:t>
            </w:r>
          </w:p>
        </w:tc>
        <w:tc>
          <w:tcPr>
            <w:tcW w:w="1890" w:type="dxa"/>
            <w:tcBorders>
              <w:bottom w:val="single" w:sz="12" w:space="0" w:color="auto"/>
            </w:tcBorders>
            <w:shd w:val="clear" w:color="auto" w:fill="C0C0C0"/>
          </w:tcPr>
          <w:p w:rsidR="001D41E2" w:rsidRPr="004B7EF4" w:rsidRDefault="001D41E2" w:rsidP="009D5BB4">
            <w:pPr>
              <w:pStyle w:val="Tabletext"/>
              <w:jc w:val="center"/>
            </w:pPr>
            <w:r>
              <w:t>Eh</w:t>
            </w:r>
          </w:p>
        </w:tc>
        <w:tc>
          <w:tcPr>
            <w:tcW w:w="1593" w:type="dxa"/>
            <w:tcBorders>
              <w:bottom w:val="single" w:sz="12" w:space="0" w:color="auto"/>
            </w:tcBorders>
            <w:shd w:val="clear" w:color="auto" w:fill="C0C0C0"/>
          </w:tcPr>
          <w:p w:rsidR="001D41E2" w:rsidRPr="0017299B" w:rsidRDefault="001D41E2" w:rsidP="009D5BB4">
            <w:pPr>
              <w:pStyle w:val="Tabletext"/>
              <w:spacing w:before="0" w:after="0"/>
              <w:ind w:left="135"/>
            </w:pPr>
            <w:r w:rsidRPr="0017299B">
              <w:t>Air</w:t>
            </w:r>
            <w:r w:rsidRPr="0017299B">
              <w:tab/>
              <w:t>2.3</w:t>
            </w:r>
          </w:p>
          <w:p w:rsidR="001D41E2" w:rsidRPr="0017299B" w:rsidRDefault="001D41E2" w:rsidP="009D5BB4">
            <w:pPr>
              <w:pStyle w:val="Tabletext"/>
              <w:spacing w:before="0" w:after="0"/>
              <w:ind w:left="135"/>
            </w:pPr>
            <w:r w:rsidRPr="0017299B">
              <w:t>Water</w:t>
            </w:r>
            <w:r w:rsidRPr="0017299B">
              <w:tab/>
              <w:t>24.1</w:t>
            </w:r>
          </w:p>
          <w:p w:rsidR="001D41E2" w:rsidRPr="0017299B" w:rsidRDefault="001D41E2" w:rsidP="009D5BB4">
            <w:pPr>
              <w:pStyle w:val="Tabletext"/>
              <w:spacing w:before="0" w:after="0"/>
              <w:ind w:left="135"/>
            </w:pPr>
            <w:r w:rsidRPr="0017299B">
              <w:t>Soil</w:t>
            </w:r>
            <w:r w:rsidRPr="0017299B">
              <w:tab/>
              <w:t>73.4</w:t>
            </w:r>
          </w:p>
          <w:p w:rsidR="001D41E2" w:rsidRPr="0017299B" w:rsidRDefault="001D41E2" w:rsidP="009D5BB4">
            <w:pPr>
              <w:pStyle w:val="Tabletext"/>
              <w:spacing w:before="0" w:after="0"/>
              <w:ind w:left="135"/>
            </w:pPr>
            <w:r w:rsidRPr="0017299B">
              <w:t>Sediment</w:t>
            </w:r>
            <w:r>
              <w:t xml:space="preserve"> </w:t>
            </w:r>
            <w:r w:rsidRPr="0017299B">
              <w:t>0.2</w:t>
            </w:r>
          </w:p>
        </w:tc>
        <w:tc>
          <w:tcPr>
            <w:tcW w:w="1532" w:type="dxa"/>
            <w:tcBorders>
              <w:left w:val="single" w:sz="2" w:space="0" w:color="auto"/>
              <w:bottom w:val="single" w:sz="12" w:space="0" w:color="auto"/>
              <w:right w:val="single" w:sz="12" w:space="0" w:color="auto"/>
            </w:tcBorders>
          </w:tcPr>
          <w:p w:rsidR="001D41E2" w:rsidRPr="00110FD5" w:rsidRDefault="001D41E2" w:rsidP="00F71952">
            <w:pPr>
              <w:ind w:left="136"/>
              <w:rPr>
                <w:sz w:val="20"/>
                <w:szCs w:val="20"/>
              </w:rPr>
            </w:pPr>
            <w:r w:rsidRPr="00110FD5">
              <w:rPr>
                <w:sz w:val="20"/>
                <w:szCs w:val="20"/>
              </w:rPr>
              <w:t>BASF SE, 2009b</w:t>
            </w:r>
          </w:p>
        </w:tc>
      </w:tr>
    </w:tbl>
    <w:p w:rsidR="001D41E2" w:rsidRDefault="001D41E2" w:rsidP="009D5BB4">
      <w:pPr>
        <w:pStyle w:val="BodyText"/>
        <w:spacing w:before="240"/>
        <w:rPr>
          <w:lang w:val="en-US"/>
        </w:rPr>
      </w:pPr>
      <w:r>
        <w:rPr>
          <w:lang w:val="en-US"/>
        </w:rPr>
        <w:t xml:space="preserve">Based on </w:t>
      </w:r>
      <w:r w:rsidRPr="00C7791C">
        <w:rPr>
          <w:lang w:val="en-US"/>
        </w:rPr>
        <w:t xml:space="preserve">Mackay Level III </w:t>
      </w:r>
      <w:r>
        <w:rPr>
          <w:lang w:val="en-US"/>
        </w:rPr>
        <w:t xml:space="preserve">fugacity model </w:t>
      </w:r>
      <w:r w:rsidRPr="00C7791C">
        <w:rPr>
          <w:lang w:val="en-US"/>
        </w:rPr>
        <w:t>calculations</w:t>
      </w:r>
      <w:r>
        <w:rPr>
          <w:lang w:val="en-US"/>
        </w:rPr>
        <w:t xml:space="preserve"> with equal distributions to air, water and soil compartments</w:t>
      </w:r>
      <w:r w:rsidRPr="00C7791C">
        <w:rPr>
          <w:lang w:val="en-US"/>
        </w:rPr>
        <w:t xml:space="preserve">, the main target compartments of the </w:t>
      </w:r>
      <w:r>
        <w:rPr>
          <w:lang w:val="en-US"/>
        </w:rPr>
        <w:t>category members and their hydrolysis products</w:t>
      </w:r>
      <w:r w:rsidRPr="00C7791C">
        <w:rPr>
          <w:lang w:val="en-US"/>
        </w:rPr>
        <w:t xml:space="preserve"> are water and soil. </w:t>
      </w:r>
    </w:p>
    <w:p w:rsidR="001D41E2" w:rsidRPr="004B7EF4" w:rsidRDefault="001D41E2">
      <w:pPr>
        <w:pStyle w:val="Heading3"/>
        <w:numPr>
          <w:ilvl w:val="2"/>
          <w:numId w:val="28"/>
        </w:numPr>
        <w:tabs>
          <w:tab w:val="clear" w:pos="1440"/>
          <w:tab w:val="clear" w:pos="2160"/>
        </w:tabs>
        <w:rPr>
          <w:lang w:val="en-US"/>
        </w:rPr>
      </w:pPr>
      <w:bookmarkStart w:id="28" w:name="_Toc32726021"/>
      <w:bookmarkStart w:id="29" w:name="_Toc32727204"/>
      <w:bookmarkStart w:id="30" w:name="_Toc43868652"/>
      <w:bookmarkStart w:id="31" w:name="_Toc200358240"/>
      <w:bookmarkStart w:id="32" w:name="_Toc264983256"/>
      <w:r w:rsidRPr="004B7EF4">
        <w:rPr>
          <w:lang w:val="en-US"/>
        </w:rPr>
        <w:t>Biodegradation</w:t>
      </w:r>
      <w:bookmarkEnd w:id="28"/>
      <w:bookmarkEnd w:id="29"/>
      <w:bookmarkEnd w:id="30"/>
      <w:bookmarkEnd w:id="31"/>
      <w:bookmarkEnd w:id="32"/>
    </w:p>
    <w:p w:rsidR="001D41E2" w:rsidRPr="004B7EF4" w:rsidRDefault="001D41E2" w:rsidP="00706568">
      <w:pPr>
        <w:pStyle w:val="BodyText"/>
        <w:rPr>
          <w:lang w:val="en-US"/>
        </w:rPr>
      </w:pPr>
      <w:r w:rsidRPr="004B7EF4">
        <w:rPr>
          <w:lang w:val="en-US"/>
        </w:rPr>
        <w:t xml:space="preserve">Results from studies on ready biodegradability are available for </w:t>
      </w:r>
      <w:r>
        <w:rPr>
          <w:lang w:val="en-US"/>
        </w:rPr>
        <w:t>EtCF,</w:t>
      </w:r>
      <w:r w:rsidRPr="004B7EF4">
        <w:rPr>
          <w:lang w:val="en-US"/>
        </w:rPr>
        <w:t xml:space="preserve"> </w:t>
      </w:r>
      <w:r>
        <w:rPr>
          <w:lang w:val="en-US"/>
        </w:rPr>
        <w:t xml:space="preserve">as well as for </w:t>
      </w:r>
      <w:r w:rsidRPr="004B7EF4">
        <w:rPr>
          <w:lang w:val="en-US"/>
        </w:rPr>
        <w:t xml:space="preserve">all </w:t>
      </w:r>
      <w:r>
        <w:rPr>
          <w:lang w:val="en-US"/>
        </w:rPr>
        <w:t>hydrolysis products</w:t>
      </w:r>
      <w:r w:rsidRPr="004B7EF4">
        <w:rPr>
          <w:lang w:val="en-US"/>
        </w:rPr>
        <w:t xml:space="preserve">. The </w:t>
      </w:r>
      <w:r>
        <w:rPr>
          <w:lang w:val="en-US"/>
        </w:rPr>
        <w:t xml:space="preserve">category member data would be expected to be similar to </w:t>
      </w:r>
      <w:r w:rsidRPr="004B7EF4">
        <w:rPr>
          <w:lang w:val="en-US"/>
        </w:rPr>
        <w:t>the hydrolysis product</w:t>
      </w:r>
      <w:r>
        <w:rPr>
          <w:lang w:val="en-US"/>
        </w:rPr>
        <w:t xml:space="preserve"> data due to the rapid hydrolysis of the chloroformates in water.  T</w:t>
      </w:r>
      <w:r w:rsidRPr="004B7EF4">
        <w:rPr>
          <w:lang w:val="en-US"/>
        </w:rPr>
        <w:t xml:space="preserve">he results of the key studies are summarized in Table </w:t>
      </w:r>
      <w:r w:rsidR="00685752">
        <w:rPr>
          <w:lang w:val="en-US"/>
        </w:rPr>
        <w:t>9</w:t>
      </w:r>
      <w:r w:rsidRPr="004B7EF4">
        <w:rPr>
          <w:lang w:val="en-US"/>
        </w:rPr>
        <w:t>.</w:t>
      </w:r>
    </w:p>
    <w:p w:rsidR="001D41E2" w:rsidRPr="00685752" w:rsidRDefault="001D41E2" w:rsidP="009D5BB4">
      <w:pPr>
        <w:pStyle w:val="Caption"/>
        <w:ind w:left="0"/>
        <w:rPr>
          <w:rFonts w:ascii="Times New Roman" w:hAnsi="Times New Roman" w:cs="Times New Roman"/>
          <w:bCs w:val="0"/>
        </w:rPr>
      </w:pPr>
      <w:bookmarkStart w:id="33" w:name="_Toc264983285"/>
      <w:bookmarkStart w:id="34" w:name="_Toc32726022"/>
      <w:bookmarkStart w:id="35" w:name="_Toc32727205"/>
      <w:bookmarkStart w:id="36" w:name="_Toc43868653"/>
      <w:bookmarkStart w:id="37" w:name="_Toc200358241"/>
      <w:r w:rsidRPr="00685752">
        <w:t xml:space="preserve">Table </w:t>
      </w:r>
      <w:r w:rsidR="00685752" w:rsidRPr="00685752">
        <w:t>9</w:t>
      </w:r>
      <w:r w:rsidR="007D3E3E" w:rsidRPr="007D3E3E">
        <w:rPr>
          <w:bCs w:val="0"/>
        </w:rPr>
        <w:t xml:space="preserve">   </w:t>
      </w:r>
      <w:r w:rsidR="007D3E3E" w:rsidRPr="007D3E3E">
        <w:rPr>
          <w:rFonts w:ascii="Times New Roman" w:hAnsi="Times New Roman" w:cs="Times New Roman"/>
          <w:bCs w:val="0"/>
        </w:rPr>
        <w:t>Summary of Biodegradation Data</w:t>
      </w:r>
      <w:bookmarkEnd w:id="33"/>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7"/>
        <w:gridCol w:w="2924"/>
        <w:gridCol w:w="3159"/>
        <w:gridCol w:w="1835"/>
      </w:tblGrid>
      <w:tr w:rsidR="001D41E2" w:rsidRPr="004B7EF4" w:rsidTr="009D5BB4">
        <w:trPr>
          <w:tblHeader/>
        </w:trPr>
        <w:tc>
          <w:tcPr>
            <w:tcW w:w="1908" w:type="dxa"/>
            <w:tcBorders>
              <w:top w:val="single" w:sz="12" w:space="0" w:color="auto"/>
              <w:left w:val="single" w:sz="12" w:space="0" w:color="auto"/>
              <w:bottom w:val="single" w:sz="12" w:space="0" w:color="auto"/>
            </w:tcBorders>
            <w:vAlign w:val="center"/>
          </w:tcPr>
          <w:p w:rsidR="001D41E2" w:rsidRPr="004B7EF4" w:rsidRDefault="001D41E2" w:rsidP="00680C0A">
            <w:pPr>
              <w:pStyle w:val="Tabletext"/>
              <w:rPr>
                <w:b/>
                <w:bCs/>
              </w:rPr>
            </w:pPr>
            <w:r w:rsidRPr="004B7EF4">
              <w:rPr>
                <w:b/>
                <w:bCs/>
              </w:rPr>
              <w:t xml:space="preserve">Category member / </w:t>
            </w:r>
            <w:r w:rsidRPr="008E5B98">
              <w:rPr>
                <w:b/>
                <w:bCs/>
                <w:shd w:val="clear" w:color="auto" w:fill="BFBFBF"/>
              </w:rPr>
              <w:t>hydrolysis product</w:t>
            </w:r>
          </w:p>
        </w:tc>
        <w:tc>
          <w:tcPr>
            <w:tcW w:w="2880" w:type="dxa"/>
            <w:tcBorders>
              <w:top w:val="single" w:sz="12" w:space="0" w:color="auto"/>
              <w:bottom w:val="single" w:sz="12" w:space="0" w:color="auto"/>
            </w:tcBorders>
            <w:vAlign w:val="center"/>
          </w:tcPr>
          <w:p w:rsidR="001D41E2" w:rsidRPr="004B7EF4" w:rsidRDefault="001D41E2" w:rsidP="00680C0A">
            <w:pPr>
              <w:pStyle w:val="Tabletext"/>
              <w:jc w:val="center"/>
              <w:rPr>
                <w:b/>
                <w:bCs/>
              </w:rPr>
            </w:pPr>
            <w:r w:rsidRPr="004B7EF4">
              <w:rPr>
                <w:b/>
                <w:bCs/>
              </w:rPr>
              <w:t>Test method</w:t>
            </w:r>
          </w:p>
        </w:tc>
        <w:tc>
          <w:tcPr>
            <w:tcW w:w="3112" w:type="dxa"/>
            <w:tcBorders>
              <w:top w:val="single" w:sz="12" w:space="0" w:color="auto"/>
              <w:bottom w:val="single" w:sz="12" w:space="0" w:color="auto"/>
            </w:tcBorders>
            <w:vAlign w:val="center"/>
          </w:tcPr>
          <w:p w:rsidR="001D41E2" w:rsidRPr="004B7EF4" w:rsidRDefault="001D41E2" w:rsidP="00680C0A">
            <w:pPr>
              <w:pStyle w:val="Tabletext"/>
              <w:jc w:val="center"/>
              <w:rPr>
                <w:b/>
                <w:bCs/>
              </w:rPr>
            </w:pPr>
            <w:r w:rsidRPr="004B7EF4">
              <w:rPr>
                <w:b/>
                <w:bCs/>
              </w:rPr>
              <w:t>Result</w:t>
            </w:r>
          </w:p>
        </w:tc>
        <w:tc>
          <w:tcPr>
            <w:tcW w:w="1808" w:type="dxa"/>
            <w:tcBorders>
              <w:top w:val="single" w:sz="12" w:space="0" w:color="auto"/>
              <w:bottom w:val="single" w:sz="12" w:space="0" w:color="auto"/>
              <w:right w:val="single" w:sz="12" w:space="0" w:color="auto"/>
            </w:tcBorders>
            <w:vAlign w:val="center"/>
          </w:tcPr>
          <w:p w:rsidR="001D41E2" w:rsidRPr="004B7EF4" w:rsidRDefault="001D41E2" w:rsidP="00680C0A">
            <w:pPr>
              <w:pStyle w:val="Tabletext"/>
              <w:jc w:val="center"/>
              <w:rPr>
                <w:b/>
                <w:bCs/>
              </w:rPr>
            </w:pPr>
            <w:r w:rsidRPr="004B7EF4">
              <w:rPr>
                <w:b/>
                <w:bCs/>
              </w:rPr>
              <w:t>References</w:t>
            </w:r>
          </w:p>
        </w:tc>
      </w:tr>
      <w:tr w:rsidR="001D41E2" w:rsidRPr="004B7EF4" w:rsidTr="009D5BB4">
        <w:trPr>
          <w:trHeight w:val="397"/>
        </w:trPr>
        <w:tc>
          <w:tcPr>
            <w:tcW w:w="9708" w:type="dxa"/>
            <w:gridSpan w:val="4"/>
            <w:tcBorders>
              <w:top w:val="single" w:sz="12" w:space="0" w:color="auto"/>
              <w:left w:val="single" w:sz="12" w:space="0" w:color="auto"/>
              <w:right w:val="single" w:sz="12" w:space="0" w:color="auto"/>
            </w:tcBorders>
            <w:vAlign w:val="center"/>
          </w:tcPr>
          <w:p w:rsidR="001D41E2" w:rsidRPr="004B7EF4" w:rsidRDefault="001D41E2" w:rsidP="009D5BB4">
            <w:pPr>
              <w:pStyle w:val="Tabletext"/>
              <w:jc w:val="center"/>
            </w:pPr>
            <w:r w:rsidRPr="004B7EF4">
              <w:rPr>
                <w:b/>
                <w:bCs/>
              </w:rPr>
              <w:t>Aerobic biodegradation</w:t>
            </w:r>
          </w:p>
        </w:tc>
      </w:tr>
      <w:tr w:rsidR="001D41E2" w:rsidRPr="004B7EF4" w:rsidTr="009D5BB4">
        <w:trPr>
          <w:trHeight w:val="567"/>
        </w:trPr>
        <w:tc>
          <w:tcPr>
            <w:tcW w:w="1908" w:type="dxa"/>
            <w:tcBorders>
              <w:top w:val="nil"/>
              <w:left w:val="single" w:sz="12" w:space="0" w:color="auto"/>
            </w:tcBorders>
            <w:shd w:val="clear" w:color="auto" w:fill="C0C0C0"/>
            <w:vAlign w:val="center"/>
          </w:tcPr>
          <w:p w:rsidR="001D41E2" w:rsidRPr="004B7EF4" w:rsidRDefault="001D41E2" w:rsidP="00680C0A">
            <w:pPr>
              <w:pStyle w:val="Tabletext"/>
              <w:keepNext w:val="0"/>
              <w:keepLines w:val="0"/>
              <w:spacing w:before="60" w:after="60"/>
              <w:jc w:val="center"/>
            </w:pPr>
            <w:r>
              <w:t>Me</w:t>
            </w:r>
          </w:p>
        </w:tc>
        <w:tc>
          <w:tcPr>
            <w:tcW w:w="2880" w:type="dxa"/>
            <w:tcBorders>
              <w:top w:val="nil"/>
            </w:tcBorders>
            <w:shd w:val="clear" w:color="auto" w:fill="C0C0C0"/>
            <w:vAlign w:val="center"/>
          </w:tcPr>
          <w:p w:rsidR="001D41E2" w:rsidRPr="004B7EF4" w:rsidRDefault="001D41E2" w:rsidP="00680C0A">
            <w:pPr>
              <w:spacing w:before="60" w:after="60"/>
              <w:jc w:val="center"/>
              <w:rPr>
                <w:sz w:val="20"/>
                <w:szCs w:val="20"/>
              </w:rPr>
            </w:pPr>
            <w:r w:rsidRPr="004B7EF4">
              <w:rPr>
                <w:sz w:val="20"/>
                <w:szCs w:val="20"/>
              </w:rPr>
              <w:t xml:space="preserve">Closed Bottle Test </w:t>
            </w:r>
          </w:p>
        </w:tc>
        <w:tc>
          <w:tcPr>
            <w:tcW w:w="3112" w:type="dxa"/>
            <w:tcBorders>
              <w:top w:val="nil"/>
            </w:tcBorders>
            <w:shd w:val="clear" w:color="auto" w:fill="C0C0C0"/>
            <w:vAlign w:val="center"/>
          </w:tcPr>
          <w:p w:rsidR="001D41E2" w:rsidRPr="004B7EF4" w:rsidRDefault="001D41E2" w:rsidP="00490EC7">
            <w:pPr>
              <w:pStyle w:val="Tabletext"/>
              <w:keepNext w:val="0"/>
              <w:jc w:val="center"/>
            </w:pPr>
            <w:r w:rsidRPr="004B7EF4">
              <w:t>Readily biodegradable; 95 % (BOD/ThOD) after 20 days; 10</w:t>
            </w:r>
            <w:r w:rsidRPr="004B7EF4">
              <w:noBreakHyphen/>
              <w:t>days window met; inoculum: domestic sewage, non-adapted</w:t>
            </w:r>
          </w:p>
        </w:tc>
        <w:tc>
          <w:tcPr>
            <w:tcW w:w="1808" w:type="dxa"/>
            <w:tcBorders>
              <w:top w:val="nil"/>
              <w:right w:val="single" w:sz="12" w:space="0" w:color="auto"/>
            </w:tcBorders>
            <w:shd w:val="clear" w:color="auto" w:fill="C0C0C0"/>
            <w:vAlign w:val="center"/>
          </w:tcPr>
          <w:p w:rsidR="001D41E2" w:rsidRPr="004B7EF4" w:rsidRDefault="001D41E2" w:rsidP="00680C0A">
            <w:pPr>
              <w:pStyle w:val="Tabletext"/>
              <w:keepNext w:val="0"/>
              <w:keepLines w:val="0"/>
              <w:spacing w:before="60" w:after="60"/>
              <w:jc w:val="center"/>
            </w:pPr>
            <w:r w:rsidRPr="004B7EF4">
              <w:t xml:space="preserve">Price </w:t>
            </w:r>
            <w:r w:rsidRPr="00956920">
              <w:rPr>
                <w:i/>
                <w:iCs/>
              </w:rPr>
              <w:t>et al</w:t>
            </w:r>
            <w:r w:rsidRPr="004B7EF4">
              <w:t>., 1974; OECD, 2004a</w:t>
            </w:r>
          </w:p>
        </w:tc>
      </w:tr>
      <w:tr w:rsidR="001D41E2" w:rsidRPr="004B7EF4" w:rsidTr="009D5BB4">
        <w:trPr>
          <w:trHeight w:val="567"/>
        </w:trPr>
        <w:tc>
          <w:tcPr>
            <w:tcW w:w="1908" w:type="dxa"/>
            <w:tcBorders>
              <w:left w:val="single" w:sz="12" w:space="0" w:color="auto"/>
              <w:bottom w:val="nil"/>
            </w:tcBorders>
            <w:vAlign w:val="center"/>
          </w:tcPr>
          <w:p w:rsidR="001D41E2" w:rsidRPr="004B7EF4" w:rsidRDefault="001D41E2" w:rsidP="00680C0A">
            <w:pPr>
              <w:pStyle w:val="Tabletext"/>
              <w:keepNext w:val="0"/>
              <w:keepLines w:val="0"/>
              <w:spacing w:before="60" w:after="60"/>
              <w:jc w:val="center"/>
            </w:pPr>
            <w:r>
              <w:t>EtCF</w:t>
            </w:r>
            <w:r w:rsidRPr="004B7EF4">
              <w:t xml:space="preserve"> </w:t>
            </w:r>
          </w:p>
        </w:tc>
        <w:tc>
          <w:tcPr>
            <w:tcW w:w="2880" w:type="dxa"/>
            <w:tcBorders>
              <w:bottom w:val="nil"/>
            </w:tcBorders>
            <w:vAlign w:val="center"/>
          </w:tcPr>
          <w:p w:rsidR="001D41E2" w:rsidRPr="004B7EF4" w:rsidRDefault="001D41E2" w:rsidP="00680C0A">
            <w:pPr>
              <w:spacing w:before="60" w:after="60"/>
              <w:jc w:val="center"/>
              <w:rPr>
                <w:sz w:val="20"/>
                <w:szCs w:val="20"/>
              </w:rPr>
            </w:pPr>
            <w:r w:rsidRPr="004B7EF4">
              <w:rPr>
                <w:sz w:val="20"/>
                <w:szCs w:val="20"/>
              </w:rPr>
              <w:t xml:space="preserve">OECD </w:t>
            </w:r>
            <w:r>
              <w:rPr>
                <w:sz w:val="20"/>
                <w:szCs w:val="20"/>
              </w:rPr>
              <w:t>TG</w:t>
            </w:r>
            <w:r w:rsidRPr="004B7EF4">
              <w:rPr>
                <w:sz w:val="20"/>
                <w:szCs w:val="20"/>
              </w:rPr>
              <w:t xml:space="preserve"> 301 C </w:t>
            </w:r>
            <w:r w:rsidRPr="004B7EF4">
              <w:rPr>
                <w:sz w:val="20"/>
                <w:szCs w:val="20"/>
              </w:rPr>
              <w:br/>
              <w:t>(Modified MITI Test (I))</w:t>
            </w:r>
          </w:p>
        </w:tc>
        <w:tc>
          <w:tcPr>
            <w:tcW w:w="3112" w:type="dxa"/>
            <w:tcBorders>
              <w:bottom w:val="nil"/>
            </w:tcBorders>
            <w:vAlign w:val="center"/>
          </w:tcPr>
          <w:p w:rsidR="001D41E2" w:rsidRPr="004B7EF4" w:rsidRDefault="001D41E2" w:rsidP="001918C6">
            <w:pPr>
              <w:pStyle w:val="Tabletext"/>
              <w:keepNext w:val="0"/>
              <w:jc w:val="center"/>
            </w:pPr>
            <w:r w:rsidRPr="004B7EF4">
              <w:t>Readily biodegradable; 81-86 % (BOD/ThOD) after 28 days; inoculum: activated sludge</w:t>
            </w:r>
          </w:p>
        </w:tc>
        <w:tc>
          <w:tcPr>
            <w:tcW w:w="1808" w:type="dxa"/>
            <w:tcBorders>
              <w:bottom w:val="nil"/>
              <w:right w:val="single" w:sz="12" w:space="0" w:color="auto"/>
            </w:tcBorders>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NITE, 2008a</w:t>
            </w:r>
          </w:p>
        </w:tc>
      </w:tr>
      <w:tr w:rsidR="001D41E2" w:rsidRPr="004B7EF4" w:rsidTr="009D5BB4">
        <w:trPr>
          <w:trHeight w:val="567"/>
        </w:trPr>
        <w:tc>
          <w:tcPr>
            <w:tcW w:w="1908" w:type="dxa"/>
            <w:tcBorders>
              <w:top w:val="nil"/>
              <w:left w:val="single" w:sz="12" w:space="0" w:color="auto"/>
            </w:tcBorders>
            <w:shd w:val="clear" w:color="auto" w:fill="C0C0C0"/>
            <w:vAlign w:val="center"/>
          </w:tcPr>
          <w:p w:rsidR="001D41E2" w:rsidRPr="004B7EF4" w:rsidRDefault="001D41E2" w:rsidP="00231AAC">
            <w:pPr>
              <w:pStyle w:val="Tabletext"/>
              <w:keepNext w:val="0"/>
              <w:keepLines w:val="0"/>
              <w:spacing w:before="60" w:after="60"/>
              <w:jc w:val="center"/>
            </w:pPr>
            <w:r w:rsidRPr="004B7EF4">
              <w:t>Et</w:t>
            </w:r>
          </w:p>
        </w:tc>
        <w:tc>
          <w:tcPr>
            <w:tcW w:w="2880" w:type="dxa"/>
            <w:tcBorders>
              <w:top w:val="nil"/>
            </w:tcBorders>
            <w:shd w:val="clear" w:color="auto" w:fill="C0C0C0"/>
            <w:vAlign w:val="center"/>
          </w:tcPr>
          <w:p w:rsidR="001D41E2" w:rsidRPr="004B7EF4" w:rsidRDefault="001D41E2" w:rsidP="00584853">
            <w:pPr>
              <w:pStyle w:val="NormalWeb"/>
              <w:spacing w:before="120" w:beforeAutospacing="0" w:after="120" w:afterAutospacing="0"/>
              <w:jc w:val="center"/>
              <w:rPr>
                <w:lang w:val="en-US"/>
              </w:rPr>
            </w:pPr>
            <w:r w:rsidRPr="004B7EF4">
              <w:rPr>
                <w:lang w:val="en-US"/>
              </w:rPr>
              <w:t> </w:t>
            </w:r>
            <w:r w:rsidRPr="004B7EF4">
              <w:rPr>
                <w:sz w:val="20"/>
                <w:szCs w:val="20"/>
                <w:lang w:val="en-US"/>
              </w:rPr>
              <w:t xml:space="preserve">Closed Bottle Test </w:t>
            </w:r>
          </w:p>
        </w:tc>
        <w:tc>
          <w:tcPr>
            <w:tcW w:w="3112" w:type="dxa"/>
            <w:tcBorders>
              <w:top w:val="nil"/>
            </w:tcBorders>
            <w:shd w:val="clear" w:color="auto" w:fill="C0C0C0"/>
            <w:vAlign w:val="center"/>
          </w:tcPr>
          <w:p w:rsidR="001D41E2" w:rsidRPr="004B7EF4" w:rsidRDefault="001D41E2" w:rsidP="00680C0A">
            <w:pPr>
              <w:pStyle w:val="Tabletext"/>
              <w:keepNext w:val="0"/>
              <w:keepLines w:val="0"/>
              <w:spacing w:before="60" w:after="60"/>
              <w:jc w:val="center"/>
            </w:pPr>
            <w:r w:rsidRPr="004B7EF4">
              <w:t>Readily biodegradable; 84 % (BOD/ThOD) after 20 days; 10</w:t>
            </w:r>
            <w:r w:rsidRPr="004B7EF4">
              <w:noBreakHyphen/>
              <w:t>days window met; inoculum: domestic sewage, non-adapted</w:t>
            </w:r>
          </w:p>
        </w:tc>
        <w:tc>
          <w:tcPr>
            <w:tcW w:w="1808" w:type="dxa"/>
            <w:tcBorders>
              <w:top w:val="nil"/>
              <w:right w:val="single" w:sz="12" w:space="0" w:color="auto"/>
            </w:tcBorders>
            <w:shd w:val="clear" w:color="auto" w:fill="C0C0C0"/>
            <w:vAlign w:val="center"/>
          </w:tcPr>
          <w:p w:rsidR="001D41E2" w:rsidRPr="004B7EF4" w:rsidRDefault="001D41E2" w:rsidP="00680C0A">
            <w:pPr>
              <w:pStyle w:val="Tabletext"/>
              <w:keepNext w:val="0"/>
              <w:keepLines w:val="0"/>
              <w:spacing w:before="60" w:after="60"/>
              <w:jc w:val="center"/>
            </w:pPr>
            <w:r w:rsidRPr="004B7EF4">
              <w:t xml:space="preserve">Price </w:t>
            </w:r>
            <w:r w:rsidRPr="00956920">
              <w:rPr>
                <w:i/>
                <w:iCs/>
              </w:rPr>
              <w:t>et al</w:t>
            </w:r>
            <w:r w:rsidRPr="004B7EF4">
              <w:t>., 1974; OECD, 2005</w:t>
            </w:r>
          </w:p>
        </w:tc>
      </w:tr>
      <w:tr w:rsidR="001D41E2" w:rsidRPr="004B7EF4" w:rsidTr="009D5BB4">
        <w:trPr>
          <w:trHeight w:val="567"/>
        </w:trPr>
        <w:tc>
          <w:tcPr>
            <w:tcW w:w="1908" w:type="dxa"/>
            <w:tcBorders>
              <w:top w:val="nil"/>
              <w:left w:val="single" w:sz="12" w:space="0" w:color="auto"/>
            </w:tcBorders>
            <w:shd w:val="clear" w:color="auto" w:fill="C0C0C0"/>
            <w:vAlign w:val="center"/>
          </w:tcPr>
          <w:p w:rsidR="001D41E2" w:rsidRPr="004B7EF4" w:rsidRDefault="001D41E2" w:rsidP="00231AAC">
            <w:pPr>
              <w:pStyle w:val="NormalWeb"/>
              <w:spacing w:before="60" w:beforeAutospacing="0" w:after="60" w:afterAutospacing="0"/>
              <w:jc w:val="center"/>
              <w:rPr>
                <w:sz w:val="20"/>
                <w:szCs w:val="20"/>
                <w:lang w:val="en-US"/>
              </w:rPr>
            </w:pPr>
            <w:r w:rsidRPr="004B7EF4">
              <w:rPr>
                <w:sz w:val="20"/>
                <w:szCs w:val="20"/>
                <w:lang w:val="en-US"/>
              </w:rPr>
              <w:t>Pr</w:t>
            </w:r>
          </w:p>
        </w:tc>
        <w:tc>
          <w:tcPr>
            <w:tcW w:w="2880"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 xml:space="preserve"> Closed Bottle Test </w:t>
            </w:r>
          </w:p>
        </w:tc>
        <w:tc>
          <w:tcPr>
            <w:tcW w:w="3112"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Readily biodegradable; 75 % (BOD/ThOD) after 20 days; 10</w:t>
            </w:r>
            <w:r w:rsidRPr="004B7EF4">
              <w:rPr>
                <w:sz w:val="20"/>
                <w:szCs w:val="20"/>
                <w:lang w:val="en-US"/>
              </w:rPr>
              <w:noBreakHyphen/>
              <w:t>days window met; inoculum: domestic sewage, non-adapted</w:t>
            </w:r>
          </w:p>
        </w:tc>
        <w:tc>
          <w:tcPr>
            <w:tcW w:w="1808" w:type="dxa"/>
            <w:tcBorders>
              <w:top w:val="nil"/>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 xml:space="preserve">Price </w:t>
            </w:r>
            <w:r w:rsidRPr="00956920">
              <w:rPr>
                <w:i/>
                <w:iCs/>
                <w:sz w:val="20"/>
                <w:szCs w:val="20"/>
                <w:lang w:val="en-US"/>
              </w:rPr>
              <w:t>et al</w:t>
            </w:r>
            <w:r w:rsidRPr="004B7EF4">
              <w:rPr>
                <w:sz w:val="20"/>
                <w:szCs w:val="20"/>
                <w:lang w:val="en-US"/>
              </w:rPr>
              <w:t>., 1974;</w:t>
            </w:r>
            <w:r w:rsidRPr="004B7EF4">
              <w:rPr>
                <w:sz w:val="20"/>
                <w:szCs w:val="20"/>
                <w:lang w:val="en-US"/>
              </w:rPr>
              <w:br/>
              <w:t>EC, 2008</w:t>
            </w:r>
          </w:p>
        </w:tc>
      </w:tr>
      <w:tr w:rsidR="001D41E2" w:rsidRPr="004B7EF4" w:rsidTr="009D5BB4">
        <w:trPr>
          <w:trHeight w:val="567"/>
        </w:trPr>
        <w:tc>
          <w:tcPr>
            <w:tcW w:w="1908" w:type="dxa"/>
            <w:tcBorders>
              <w:left w:val="single" w:sz="12" w:space="0" w:color="auto"/>
              <w:bottom w:val="nil"/>
            </w:tcBorders>
            <w:vAlign w:val="center"/>
          </w:tcPr>
          <w:p w:rsidR="001D41E2" w:rsidRPr="004B7EF4" w:rsidRDefault="001D41E2" w:rsidP="00231AAC">
            <w:pPr>
              <w:pStyle w:val="Tabletext"/>
              <w:keepNext w:val="0"/>
              <w:keepLines w:val="0"/>
              <w:spacing w:before="60" w:after="60"/>
              <w:jc w:val="center"/>
            </w:pPr>
          </w:p>
        </w:tc>
        <w:tc>
          <w:tcPr>
            <w:tcW w:w="2880" w:type="dxa"/>
            <w:tcBorders>
              <w:bottom w:val="nil"/>
            </w:tcBorders>
            <w:vAlign w:val="center"/>
          </w:tcPr>
          <w:p w:rsidR="001D41E2" w:rsidRPr="004B7EF4" w:rsidRDefault="001D41E2" w:rsidP="00680C0A">
            <w:pPr>
              <w:spacing w:before="60" w:after="60"/>
              <w:jc w:val="center"/>
              <w:rPr>
                <w:sz w:val="20"/>
                <w:szCs w:val="20"/>
              </w:rPr>
            </w:pPr>
          </w:p>
        </w:tc>
        <w:tc>
          <w:tcPr>
            <w:tcW w:w="3112" w:type="dxa"/>
            <w:tcBorders>
              <w:bottom w:val="nil"/>
            </w:tcBorders>
            <w:vAlign w:val="center"/>
          </w:tcPr>
          <w:p w:rsidR="001D41E2" w:rsidRPr="004B7EF4" w:rsidRDefault="001D41E2" w:rsidP="00680C0A">
            <w:pPr>
              <w:pStyle w:val="Tabletext"/>
              <w:keepNext w:val="0"/>
              <w:jc w:val="center"/>
            </w:pPr>
          </w:p>
        </w:tc>
        <w:tc>
          <w:tcPr>
            <w:tcW w:w="1808" w:type="dxa"/>
            <w:tcBorders>
              <w:bottom w:val="nil"/>
              <w:right w:val="single" w:sz="12" w:space="0" w:color="auto"/>
            </w:tcBorders>
            <w:vAlign w:val="center"/>
          </w:tcPr>
          <w:p w:rsidR="001D41E2" w:rsidRPr="004B7EF4" w:rsidRDefault="001D41E2" w:rsidP="00680C0A">
            <w:pPr>
              <w:pStyle w:val="NormalWeb"/>
              <w:spacing w:before="60" w:beforeAutospacing="0" w:after="60" w:afterAutospacing="0"/>
              <w:jc w:val="center"/>
              <w:rPr>
                <w:sz w:val="20"/>
                <w:szCs w:val="20"/>
                <w:lang w:val="en-US"/>
              </w:rPr>
            </w:pPr>
          </w:p>
        </w:tc>
      </w:tr>
      <w:tr w:rsidR="001D41E2" w:rsidRPr="004B7EF4" w:rsidTr="009D5BB4">
        <w:trPr>
          <w:trHeight w:val="567"/>
        </w:trPr>
        <w:tc>
          <w:tcPr>
            <w:tcW w:w="1908" w:type="dxa"/>
            <w:tcBorders>
              <w:top w:val="nil"/>
              <w:left w:val="single" w:sz="12" w:space="0" w:color="auto"/>
            </w:tcBorders>
            <w:shd w:val="clear" w:color="auto" w:fill="C0C0C0"/>
            <w:vAlign w:val="center"/>
          </w:tcPr>
          <w:p w:rsidR="001D41E2" w:rsidRPr="004B7EF4" w:rsidRDefault="001D41E2" w:rsidP="00231AAC">
            <w:pPr>
              <w:pStyle w:val="Tabletext"/>
              <w:keepNext w:val="0"/>
              <w:keepLines w:val="0"/>
              <w:spacing w:before="60" w:after="60"/>
              <w:jc w:val="center"/>
            </w:pPr>
            <w:r w:rsidRPr="004B7EF4">
              <w:t>Ip</w:t>
            </w:r>
          </w:p>
        </w:tc>
        <w:tc>
          <w:tcPr>
            <w:tcW w:w="2880"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 xml:space="preserve"> Closed Bottle Test </w:t>
            </w:r>
          </w:p>
        </w:tc>
        <w:tc>
          <w:tcPr>
            <w:tcW w:w="3112"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Readily biodegradable; 78 % (BOD/ThOD) after 20 days; 10</w:t>
            </w:r>
            <w:r w:rsidRPr="004B7EF4">
              <w:rPr>
                <w:sz w:val="20"/>
                <w:szCs w:val="20"/>
                <w:lang w:val="en-US"/>
              </w:rPr>
              <w:noBreakHyphen/>
              <w:t>days window met; inoculum: domestic sewage, non-adapted</w:t>
            </w:r>
          </w:p>
        </w:tc>
        <w:tc>
          <w:tcPr>
            <w:tcW w:w="1808" w:type="dxa"/>
            <w:tcBorders>
              <w:top w:val="nil"/>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 xml:space="preserve">Price </w:t>
            </w:r>
            <w:r w:rsidRPr="00956920">
              <w:rPr>
                <w:i/>
                <w:iCs/>
                <w:sz w:val="20"/>
                <w:szCs w:val="20"/>
                <w:lang w:val="en-US"/>
              </w:rPr>
              <w:t>et al</w:t>
            </w:r>
            <w:r w:rsidRPr="004B7EF4">
              <w:rPr>
                <w:sz w:val="20"/>
                <w:szCs w:val="20"/>
                <w:lang w:val="en-US"/>
              </w:rPr>
              <w:t>., 1974;</w:t>
            </w:r>
            <w:r w:rsidRPr="004B7EF4">
              <w:rPr>
                <w:sz w:val="20"/>
                <w:szCs w:val="20"/>
                <w:lang w:val="en-US"/>
              </w:rPr>
              <w:br/>
              <w:t>OECD, 2000</w:t>
            </w:r>
          </w:p>
        </w:tc>
      </w:tr>
      <w:tr w:rsidR="001D41E2" w:rsidRPr="004B7EF4" w:rsidTr="009D5BB4">
        <w:trPr>
          <w:trHeight w:val="567"/>
        </w:trPr>
        <w:tc>
          <w:tcPr>
            <w:tcW w:w="1908" w:type="dxa"/>
            <w:tcBorders>
              <w:top w:val="nil"/>
              <w:left w:val="single" w:sz="12" w:space="0" w:color="auto"/>
            </w:tcBorders>
            <w:shd w:val="clear" w:color="auto" w:fill="C0C0C0"/>
            <w:vAlign w:val="center"/>
          </w:tcPr>
          <w:p w:rsidR="001D41E2" w:rsidRPr="004B7EF4" w:rsidRDefault="001D41E2" w:rsidP="00231AAC">
            <w:pPr>
              <w:pStyle w:val="Tabletext"/>
              <w:keepNext w:val="0"/>
              <w:keepLines w:val="0"/>
              <w:spacing w:before="60" w:after="60"/>
              <w:jc w:val="center"/>
            </w:pPr>
            <w:bookmarkStart w:id="38" w:name="OLE_LINK11"/>
            <w:bookmarkStart w:id="39" w:name="OLE_LINK12"/>
            <w:r w:rsidRPr="004B7EF4">
              <w:t>Sb</w:t>
            </w:r>
            <w:bookmarkEnd w:id="38"/>
            <w:bookmarkEnd w:id="39"/>
          </w:p>
        </w:tc>
        <w:tc>
          <w:tcPr>
            <w:tcW w:w="2880"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 xml:space="preserve">OECD </w:t>
            </w:r>
            <w:r>
              <w:rPr>
                <w:sz w:val="20"/>
                <w:szCs w:val="20"/>
                <w:lang w:val="en-US"/>
              </w:rPr>
              <w:t>T</w:t>
            </w:r>
            <w:r w:rsidRPr="004B7EF4">
              <w:rPr>
                <w:sz w:val="20"/>
                <w:szCs w:val="20"/>
                <w:lang w:val="en-US"/>
              </w:rPr>
              <w:t xml:space="preserve">G 301 C </w:t>
            </w:r>
            <w:r w:rsidRPr="004B7EF4">
              <w:rPr>
                <w:sz w:val="20"/>
                <w:szCs w:val="20"/>
                <w:lang w:val="en-US"/>
              </w:rPr>
              <w:br/>
              <w:t>(Modified MITI Test (I))</w:t>
            </w:r>
          </w:p>
        </w:tc>
        <w:tc>
          <w:tcPr>
            <w:tcW w:w="3112" w:type="dxa"/>
            <w:tcBorders>
              <w:top w:val="nil"/>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Readily biodegradable; 73.5 % (BOD/ThOD) after 14 days; inoculum: activated sludge</w:t>
            </w:r>
          </w:p>
        </w:tc>
        <w:tc>
          <w:tcPr>
            <w:tcW w:w="1808" w:type="dxa"/>
            <w:tcBorders>
              <w:top w:val="nil"/>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NITE, 2008</w:t>
            </w:r>
            <w:r>
              <w:rPr>
                <w:sz w:val="20"/>
                <w:szCs w:val="20"/>
                <w:lang w:val="en-US"/>
              </w:rPr>
              <w:t>d</w:t>
            </w:r>
          </w:p>
        </w:tc>
      </w:tr>
      <w:tr w:rsidR="001D41E2" w:rsidRPr="004B7EF4" w:rsidTr="009D5BB4">
        <w:trPr>
          <w:trHeight w:val="567"/>
        </w:trPr>
        <w:tc>
          <w:tcPr>
            <w:tcW w:w="1908" w:type="dxa"/>
            <w:vMerge w:val="restart"/>
            <w:tcBorders>
              <w:top w:val="nil"/>
              <w:left w:val="single" w:sz="12" w:space="0" w:color="auto"/>
            </w:tcBorders>
            <w:shd w:val="clear" w:color="auto" w:fill="C0C0C0"/>
            <w:vAlign w:val="center"/>
          </w:tcPr>
          <w:p w:rsidR="001D41E2" w:rsidRPr="004B7EF4" w:rsidRDefault="001D41E2" w:rsidP="009A5758">
            <w:pPr>
              <w:pStyle w:val="Tabletext"/>
              <w:spacing w:before="60" w:after="60"/>
              <w:jc w:val="center"/>
            </w:pPr>
            <w:r w:rsidRPr="004B7EF4">
              <w:t>DEG</w:t>
            </w:r>
          </w:p>
        </w:tc>
        <w:tc>
          <w:tcPr>
            <w:tcW w:w="2880" w:type="dxa"/>
            <w:tcBorders>
              <w:bottom w:val="dashSmallGap" w:sz="4" w:space="0" w:color="auto"/>
            </w:tcBorders>
            <w:shd w:val="clear" w:color="auto" w:fill="C0C0C0"/>
            <w:vAlign w:val="center"/>
          </w:tcPr>
          <w:p w:rsidR="001D41E2" w:rsidRPr="004B7EF4" w:rsidRDefault="001D41E2" w:rsidP="00680C0A">
            <w:pPr>
              <w:spacing w:before="60" w:after="60"/>
              <w:jc w:val="center"/>
              <w:rPr>
                <w:sz w:val="20"/>
                <w:szCs w:val="20"/>
              </w:rPr>
            </w:pPr>
            <w:r w:rsidRPr="004B7EF4">
              <w:rPr>
                <w:sz w:val="20"/>
                <w:szCs w:val="20"/>
              </w:rPr>
              <w:t xml:space="preserve">OECD </w:t>
            </w:r>
            <w:r>
              <w:rPr>
                <w:sz w:val="20"/>
                <w:szCs w:val="20"/>
              </w:rPr>
              <w:t>T</w:t>
            </w:r>
            <w:r w:rsidRPr="004B7EF4">
              <w:rPr>
                <w:sz w:val="20"/>
                <w:szCs w:val="20"/>
              </w:rPr>
              <w:t xml:space="preserve">G 301 B </w:t>
            </w:r>
            <w:r w:rsidRPr="004B7EF4">
              <w:rPr>
                <w:sz w:val="20"/>
                <w:szCs w:val="20"/>
              </w:rPr>
              <w:br/>
              <w:t>(CO</w:t>
            </w:r>
            <w:r w:rsidRPr="004B7EF4">
              <w:rPr>
                <w:sz w:val="20"/>
                <w:szCs w:val="20"/>
                <w:vertAlign w:val="subscript"/>
              </w:rPr>
              <w:t>2</w:t>
            </w:r>
            <w:r w:rsidRPr="004B7EF4">
              <w:rPr>
                <w:sz w:val="20"/>
                <w:szCs w:val="20"/>
              </w:rPr>
              <w:t xml:space="preserve"> Evolution Test)</w:t>
            </w:r>
          </w:p>
        </w:tc>
        <w:tc>
          <w:tcPr>
            <w:tcW w:w="3112" w:type="dxa"/>
            <w:tcBorders>
              <w:bottom w:val="dashSmallGap" w:sz="4" w:space="0" w:color="auto"/>
            </w:tcBorders>
            <w:shd w:val="clear" w:color="auto" w:fill="C0C0C0"/>
            <w:vAlign w:val="center"/>
          </w:tcPr>
          <w:p w:rsidR="001D41E2" w:rsidRPr="004B7EF4" w:rsidRDefault="001D41E2" w:rsidP="00736C8A">
            <w:pPr>
              <w:pStyle w:val="Tabletext"/>
              <w:keepNext w:val="0"/>
              <w:keepLines w:val="0"/>
              <w:spacing w:before="60" w:after="60"/>
              <w:jc w:val="center"/>
            </w:pPr>
            <w:r w:rsidRPr="004B7EF4">
              <w:t>Readily biodegradable; 71 % (CO</w:t>
            </w:r>
            <w:r w:rsidRPr="004B7EF4">
              <w:rPr>
                <w:vertAlign w:val="subscript"/>
              </w:rPr>
              <w:t>2</w:t>
            </w:r>
            <w:r w:rsidRPr="004B7EF4">
              <w:t>/ThCO</w:t>
            </w:r>
            <w:r w:rsidRPr="004B7EF4">
              <w:rPr>
                <w:vertAlign w:val="subscript"/>
              </w:rPr>
              <w:t>2</w:t>
            </w:r>
            <w:r w:rsidRPr="004B7EF4">
              <w:t>) after 28 days; 10</w:t>
            </w:r>
            <w:r w:rsidRPr="004B7EF4">
              <w:noBreakHyphen/>
              <w:t>days window met; inoculum: activated sludge, domestic, non-adapted</w:t>
            </w:r>
          </w:p>
        </w:tc>
        <w:tc>
          <w:tcPr>
            <w:tcW w:w="1808" w:type="dxa"/>
            <w:tcBorders>
              <w:bottom w:val="dashSmallGap" w:sz="4" w:space="0" w:color="auto"/>
              <w:right w:val="single" w:sz="12" w:space="0" w:color="auto"/>
            </w:tcBorders>
            <w:shd w:val="clear" w:color="auto" w:fill="C0C0C0"/>
            <w:vAlign w:val="center"/>
          </w:tcPr>
          <w:p w:rsidR="001D41E2" w:rsidRPr="004B7EF4" w:rsidRDefault="001D41E2" w:rsidP="00736C8A">
            <w:pPr>
              <w:pStyle w:val="NormalWeb"/>
              <w:spacing w:before="60" w:beforeAutospacing="0" w:after="60" w:afterAutospacing="0"/>
              <w:jc w:val="center"/>
              <w:rPr>
                <w:sz w:val="20"/>
                <w:szCs w:val="20"/>
                <w:lang w:val="en-US"/>
              </w:rPr>
            </w:pPr>
            <w:r w:rsidRPr="004B7EF4">
              <w:rPr>
                <w:sz w:val="20"/>
                <w:szCs w:val="20"/>
                <w:lang w:val="en-US"/>
              </w:rPr>
              <w:t>BASF AG, 1995</w:t>
            </w:r>
          </w:p>
        </w:tc>
      </w:tr>
      <w:tr w:rsidR="001D41E2" w:rsidRPr="004B7EF4" w:rsidTr="009D5BB4">
        <w:trPr>
          <w:trHeight w:val="567"/>
        </w:trPr>
        <w:tc>
          <w:tcPr>
            <w:tcW w:w="1908" w:type="dxa"/>
            <w:vMerge/>
            <w:tcBorders>
              <w:left w:val="single" w:sz="12" w:space="0" w:color="auto"/>
            </w:tcBorders>
            <w:shd w:val="clear" w:color="auto" w:fill="C0C0C0"/>
            <w:vAlign w:val="center"/>
          </w:tcPr>
          <w:p w:rsidR="001D41E2" w:rsidRPr="004B7EF4" w:rsidRDefault="001D41E2" w:rsidP="00680C0A">
            <w:pPr>
              <w:pStyle w:val="Tabletext"/>
              <w:spacing w:before="60" w:after="60"/>
              <w:jc w:val="center"/>
            </w:pPr>
          </w:p>
        </w:tc>
        <w:tc>
          <w:tcPr>
            <w:tcW w:w="2880" w:type="dxa"/>
            <w:tcBorders>
              <w:top w:val="dashSmallGap" w:sz="4" w:space="0" w:color="auto"/>
              <w:bottom w:val="dashSmallGap" w:sz="4" w:space="0" w:color="auto"/>
            </w:tcBorders>
            <w:shd w:val="clear" w:color="auto" w:fill="C0C0C0"/>
            <w:vAlign w:val="center"/>
          </w:tcPr>
          <w:p w:rsidR="001D41E2" w:rsidRPr="004B7EF4" w:rsidRDefault="001D41E2" w:rsidP="00680C0A">
            <w:pPr>
              <w:spacing w:before="60" w:after="60"/>
              <w:jc w:val="center"/>
              <w:rPr>
                <w:sz w:val="20"/>
                <w:szCs w:val="20"/>
              </w:rPr>
            </w:pPr>
            <w:r w:rsidRPr="004B7EF4">
              <w:rPr>
                <w:sz w:val="20"/>
                <w:szCs w:val="20"/>
              </w:rPr>
              <w:t>Standard biodegradation tests</w:t>
            </w:r>
          </w:p>
        </w:tc>
        <w:tc>
          <w:tcPr>
            <w:tcW w:w="3112" w:type="dxa"/>
            <w:tcBorders>
              <w:top w:val="dashSmallGap" w:sz="4" w:space="0" w:color="auto"/>
              <w:bottom w:val="dashSmallGap" w:sz="4" w:space="0" w:color="auto"/>
            </w:tcBorders>
            <w:shd w:val="clear" w:color="auto" w:fill="C0C0C0"/>
            <w:vAlign w:val="center"/>
          </w:tcPr>
          <w:p w:rsidR="001D41E2" w:rsidRPr="004B7EF4" w:rsidRDefault="001D41E2" w:rsidP="007F4EE4">
            <w:pPr>
              <w:pStyle w:val="Tabletext"/>
              <w:keepNext w:val="0"/>
              <w:keepLines w:val="0"/>
              <w:spacing w:before="60" w:after="60"/>
              <w:jc w:val="center"/>
            </w:pPr>
            <w:r>
              <w:t>Not readily b</w:t>
            </w:r>
            <w:r w:rsidRPr="004B7EF4">
              <w:t>iodegradable</w:t>
            </w:r>
            <w:r>
              <w:t>; up to 53% (at 20 days); inoculum not specified</w:t>
            </w:r>
          </w:p>
        </w:tc>
        <w:tc>
          <w:tcPr>
            <w:tcW w:w="1808" w:type="dxa"/>
            <w:tcBorders>
              <w:top w:val="dashSmallGap" w:sz="4" w:space="0" w:color="auto"/>
              <w:bottom w:val="dashSmallGap" w:sz="4" w:space="0" w:color="auto"/>
              <w:right w:val="single" w:sz="12" w:space="0" w:color="auto"/>
            </w:tcBorders>
            <w:shd w:val="clear" w:color="auto" w:fill="C0C0C0"/>
            <w:vAlign w:val="center"/>
          </w:tcPr>
          <w:p w:rsidR="001D41E2" w:rsidRPr="004B7EF4" w:rsidRDefault="001D41E2" w:rsidP="00736C8A">
            <w:pPr>
              <w:pStyle w:val="NormalWeb"/>
              <w:spacing w:before="60" w:beforeAutospacing="0" w:after="60" w:afterAutospacing="0"/>
              <w:jc w:val="center"/>
              <w:rPr>
                <w:sz w:val="20"/>
                <w:szCs w:val="20"/>
                <w:lang w:val="en-US"/>
              </w:rPr>
            </w:pPr>
            <w:r w:rsidRPr="004B7EF4">
              <w:rPr>
                <w:sz w:val="20"/>
                <w:szCs w:val="20"/>
                <w:lang w:val="en-US"/>
              </w:rPr>
              <w:t>OECD, 2004b</w:t>
            </w:r>
          </w:p>
        </w:tc>
      </w:tr>
      <w:tr w:rsidR="001D41E2" w:rsidRPr="004B7EF4" w:rsidTr="009D5BB4">
        <w:trPr>
          <w:trHeight w:val="567"/>
        </w:trPr>
        <w:tc>
          <w:tcPr>
            <w:tcW w:w="1908" w:type="dxa"/>
            <w:vMerge/>
            <w:tcBorders>
              <w:left w:val="single" w:sz="12" w:space="0" w:color="auto"/>
            </w:tcBorders>
            <w:shd w:val="clear" w:color="auto" w:fill="C0C0C0"/>
            <w:vAlign w:val="center"/>
          </w:tcPr>
          <w:p w:rsidR="001D41E2" w:rsidRPr="004B7EF4" w:rsidRDefault="001D41E2" w:rsidP="00680C0A">
            <w:pPr>
              <w:pStyle w:val="Tabletext"/>
              <w:keepNext w:val="0"/>
              <w:keepLines w:val="0"/>
              <w:spacing w:before="60" w:after="60"/>
              <w:jc w:val="center"/>
            </w:pPr>
          </w:p>
        </w:tc>
        <w:tc>
          <w:tcPr>
            <w:tcW w:w="2880" w:type="dxa"/>
            <w:tcBorders>
              <w:top w:val="dashSmallGap" w:sz="4" w:space="0" w:color="auto"/>
            </w:tcBorders>
            <w:shd w:val="clear" w:color="auto" w:fill="C0C0C0"/>
            <w:vAlign w:val="center"/>
          </w:tcPr>
          <w:p w:rsidR="001D41E2" w:rsidRPr="004B7EF4" w:rsidRDefault="001D41E2" w:rsidP="00736C8A">
            <w:pPr>
              <w:spacing w:before="60" w:after="60"/>
              <w:jc w:val="center"/>
              <w:rPr>
                <w:sz w:val="20"/>
                <w:szCs w:val="20"/>
              </w:rPr>
            </w:pPr>
            <w:r w:rsidRPr="004B7EF4">
              <w:rPr>
                <w:sz w:val="20"/>
                <w:szCs w:val="20"/>
              </w:rPr>
              <w:t xml:space="preserve">OECD </w:t>
            </w:r>
            <w:r>
              <w:rPr>
                <w:sz w:val="20"/>
                <w:szCs w:val="20"/>
              </w:rPr>
              <w:t>T</w:t>
            </w:r>
            <w:r w:rsidRPr="004B7EF4">
              <w:rPr>
                <w:sz w:val="20"/>
                <w:szCs w:val="20"/>
              </w:rPr>
              <w:t xml:space="preserve">G 302 C </w:t>
            </w:r>
            <w:r w:rsidRPr="004B7EF4">
              <w:rPr>
                <w:sz w:val="20"/>
                <w:szCs w:val="20"/>
              </w:rPr>
              <w:br/>
              <w:t>(</w:t>
            </w:r>
            <w:r>
              <w:rPr>
                <w:sz w:val="20"/>
                <w:szCs w:val="20"/>
              </w:rPr>
              <w:t xml:space="preserve">Modified </w:t>
            </w:r>
            <w:r w:rsidRPr="004B7EF4">
              <w:rPr>
                <w:sz w:val="20"/>
                <w:szCs w:val="20"/>
              </w:rPr>
              <w:t>MITI Test (II))</w:t>
            </w:r>
          </w:p>
        </w:tc>
        <w:tc>
          <w:tcPr>
            <w:tcW w:w="3112" w:type="dxa"/>
            <w:tcBorders>
              <w:top w:val="dashSmallGap" w:sz="4" w:space="0" w:color="auto"/>
            </w:tcBorders>
            <w:shd w:val="clear" w:color="auto" w:fill="C0C0C0"/>
            <w:vAlign w:val="center"/>
          </w:tcPr>
          <w:p w:rsidR="001D41E2" w:rsidRDefault="001D41E2" w:rsidP="003D7919">
            <w:pPr>
              <w:pStyle w:val="Tabletext"/>
              <w:keepNext w:val="0"/>
              <w:keepLines w:val="0"/>
              <w:spacing w:before="60" w:after="60"/>
              <w:jc w:val="center"/>
            </w:pPr>
            <w:r>
              <w:t xml:space="preserve"> Inherently </w:t>
            </w:r>
            <w:r w:rsidRPr="004B7EF4">
              <w:t>biodegradable; 90 % (BOD/ThOD) after 28 days; inoculum: activated sludge</w:t>
            </w:r>
          </w:p>
          <w:p w:rsidR="001D41E2" w:rsidRPr="004B7EF4" w:rsidRDefault="001D41E2" w:rsidP="003D7919">
            <w:pPr>
              <w:pStyle w:val="Tabletext"/>
              <w:keepNext w:val="0"/>
              <w:keepLines w:val="0"/>
              <w:spacing w:before="60" w:after="60"/>
              <w:jc w:val="center"/>
            </w:pPr>
            <w:r>
              <w:t xml:space="preserve"> </w:t>
            </w:r>
          </w:p>
        </w:tc>
        <w:tc>
          <w:tcPr>
            <w:tcW w:w="1808" w:type="dxa"/>
            <w:tcBorders>
              <w:top w:val="dashSmallGap" w:sz="4" w:space="0" w:color="auto"/>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rPr>
            </w:pPr>
            <w:r w:rsidRPr="004B7EF4">
              <w:rPr>
                <w:sz w:val="20"/>
                <w:szCs w:val="20"/>
                <w:lang w:val="en-US"/>
              </w:rPr>
              <w:t>NITE, 2008</w:t>
            </w:r>
            <w:r>
              <w:rPr>
                <w:sz w:val="20"/>
                <w:szCs w:val="20"/>
                <w:lang w:val="en-US"/>
              </w:rPr>
              <w:t>b</w:t>
            </w:r>
          </w:p>
        </w:tc>
      </w:tr>
      <w:tr w:rsidR="001D41E2" w:rsidRPr="004B7EF4" w:rsidTr="009D5BB4">
        <w:trPr>
          <w:trHeight w:val="770"/>
        </w:trPr>
        <w:tc>
          <w:tcPr>
            <w:tcW w:w="1908" w:type="dxa"/>
            <w:vMerge w:val="restart"/>
            <w:tcBorders>
              <w:left w:val="single" w:sz="12" w:space="0" w:color="auto"/>
            </w:tcBorders>
            <w:shd w:val="clear" w:color="auto" w:fill="C0C0C0"/>
            <w:vAlign w:val="center"/>
          </w:tcPr>
          <w:p w:rsidR="001D41E2" w:rsidRPr="004B7EF4" w:rsidRDefault="001D41E2" w:rsidP="009A5758">
            <w:pPr>
              <w:pStyle w:val="Tabletext"/>
              <w:keepNext w:val="0"/>
              <w:keepLines w:val="0"/>
              <w:spacing w:before="60" w:after="60"/>
              <w:jc w:val="center"/>
            </w:pPr>
            <w:r>
              <w:t>Eh</w:t>
            </w:r>
          </w:p>
        </w:tc>
        <w:tc>
          <w:tcPr>
            <w:tcW w:w="2880" w:type="dxa"/>
            <w:tcBorders>
              <w:bottom w:val="dashSmallGap" w:sz="4" w:space="0" w:color="auto"/>
            </w:tcBorders>
            <w:shd w:val="clear" w:color="auto" w:fill="C0C0C0"/>
            <w:vAlign w:val="center"/>
          </w:tcPr>
          <w:p w:rsidR="001D41E2" w:rsidRPr="004B7EF4" w:rsidRDefault="001D41E2" w:rsidP="00D30D6F">
            <w:pPr>
              <w:rPr>
                <w:sz w:val="20"/>
                <w:szCs w:val="20"/>
              </w:rPr>
            </w:pPr>
            <w:r w:rsidRPr="004B7EF4">
              <w:rPr>
                <w:sz w:val="20"/>
                <w:szCs w:val="20"/>
              </w:rPr>
              <w:t> </w:t>
            </w:r>
          </w:p>
          <w:p w:rsidR="001D41E2" w:rsidRPr="004B7EF4" w:rsidRDefault="001D41E2" w:rsidP="00D30D6F">
            <w:pPr>
              <w:pStyle w:val="NormalWeb"/>
              <w:spacing w:before="120" w:beforeAutospacing="0" w:after="120" w:afterAutospacing="0"/>
              <w:jc w:val="center"/>
              <w:rPr>
                <w:sz w:val="20"/>
                <w:szCs w:val="20"/>
                <w:lang w:val="en-US" w:eastAsia="en-US"/>
              </w:rPr>
            </w:pPr>
            <w:r w:rsidRPr="004B7EF4">
              <w:rPr>
                <w:sz w:val="20"/>
                <w:szCs w:val="20"/>
                <w:lang w:val="en-US" w:eastAsia="en-US"/>
              </w:rPr>
              <w:t>EU Method C.4-D  </w:t>
            </w:r>
            <w:r w:rsidRPr="004B7EF4">
              <w:rPr>
                <w:sz w:val="20"/>
                <w:szCs w:val="20"/>
                <w:lang w:val="en-US" w:eastAsia="en-US"/>
              </w:rPr>
              <w:br/>
              <w:t>(Manometric Respirometry Test)</w:t>
            </w:r>
          </w:p>
        </w:tc>
        <w:tc>
          <w:tcPr>
            <w:tcW w:w="3112" w:type="dxa"/>
            <w:tcBorders>
              <w:bottom w:val="dashSmallGap" w:sz="4" w:space="0" w:color="auto"/>
            </w:tcBorders>
            <w:shd w:val="clear" w:color="auto" w:fill="C0C0C0"/>
            <w:vAlign w:val="center"/>
          </w:tcPr>
          <w:p w:rsidR="001D41E2" w:rsidRPr="004B7EF4" w:rsidRDefault="001D41E2" w:rsidP="00D71489">
            <w:pPr>
              <w:pStyle w:val="NormalWeb"/>
              <w:spacing w:before="60" w:beforeAutospacing="0" w:after="60" w:afterAutospacing="0"/>
              <w:jc w:val="center"/>
              <w:rPr>
                <w:sz w:val="20"/>
                <w:szCs w:val="20"/>
                <w:lang w:val="en-US" w:eastAsia="en-US"/>
              </w:rPr>
            </w:pPr>
            <w:r w:rsidRPr="004B7EF4">
              <w:rPr>
                <w:sz w:val="20"/>
                <w:szCs w:val="20"/>
                <w:lang w:val="en-US"/>
              </w:rPr>
              <w:t>Readily biodegradable; 85.3 % (BOD/ThOD) after 17 days; 10</w:t>
            </w:r>
            <w:r w:rsidRPr="004B7EF4">
              <w:rPr>
                <w:sz w:val="20"/>
                <w:szCs w:val="20"/>
                <w:lang w:val="en-US"/>
              </w:rPr>
              <w:noBreakHyphen/>
              <w:t xml:space="preserve">days window met; inoculum: </w:t>
            </w:r>
            <w:r>
              <w:rPr>
                <w:sz w:val="20"/>
                <w:szCs w:val="20"/>
                <w:lang w:val="en-US"/>
              </w:rPr>
              <w:t>activated sludge, domestic</w:t>
            </w:r>
          </w:p>
        </w:tc>
        <w:tc>
          <w:tcPr>
            <w:tcW w:w="1808" w:type="dxa"/>
            <w:tcBorders>
              <w:bottom w:val="dashSmallGap" w:sz="4" w:space="0" w:color="auto"/>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eastAsia="en-US"/>
              </w:rPr>
            </w:pPr>
            <w:r w:rsidRPr="004B7EF4">
              <w:rPr>
                <w:sz w:val="20"/>
                <w:szCs w:val="20"/>
                <w:lang w:val="en-US" w:eastAsia="en-US"/>
              </w:rPr>
              <w:t>BASF AG, 1989c</w:t>
            </w:r>
          </w:p>
        </w:tc>
      </w:tr>
      <w:tr w:rsidR="001D41E2" w:rsidRPr="004B7EF4" w:rsidTr="009D5BB4">
        <w:trPr>
          <w:trHeight w:val="770"/>
        </w:trPr>
        <w:tc>
          <w:tcPr>
            <w:tcW w:w="1908" w:type="dxa"/>
            <w:vMerge/>
            <w:tcBorders>
              <w:left w:val="single" w:sz="12" w:space="0" w:color="auto"/>
              <w:bottom w:val="single" w:sz="12" w:space="0" w:color="auto"/>
            </w:tcBorders>
            <w:shd w:val="clear" w:color="auto" w:fill="C0C0C0"/>
            <w:vAlign w:val="center"/>
          </w:tcPr>
          <w:p w:rsidR="001D41E2" w:rsidRPr="004B7EF4" w:rsidRDefault="001D41E2" w:rsidP="00680C0A">
            <w:pPr>
              <w:pStyle w:val="Tabletext"/>
              <w:keepNext w:val="0"/>
              <w:keepLines w:val="0"/>
              <w:spacing w:before="60" w:after="60"/>
              <w:jc w:val="center"/>
            </w:pPr>
          </w:p>
        </w:tc>
        <w:tc>
          <w:tcPr>
            <w:tcW w:w="2880" w:type="dxa"/>
            <w:tcBorders>
              <w:top w:val="dashSmallGap" w:sz="4" w:space="0" w:color="auto"/>
              <w:bottom w:val="single" w:sz="12" w:space="0" w:color="auto"/>
            </w:tcBorders>
            <w:shd w:val="clear" w:color="auto" w:fill="C0C0C0"/>
            <w:vAlign w:val="center"/>
          </w:tcPr>
          <w:p w:rsidR="001D41E2" w:rsidRPr="004B7EF4" w:rsidRDefault="001D41E2" w:rsidP="00680C0A">
            <w:pPr>
              <w:spacing w:before="60" w:after="60"/>
              <w:jc w:val="center"/>
              <w:rPr>
                <w:sz w:val="20"/>
                <w:szCs w:val="20"/>
              </w:rPr>
            </w:pPr>
            <w:r w:rsidRPr="004B7EF4">
              <w:rPr>
                <w:sz w:val="20"/>
                <w:szCs w:val="20"/>
              </w:rPr>
              <w:t xml:space="preserve">OECD </w:t>
            </w:r>
            <w:r>
              <w:rPr>
                <w:sz w:val="20"/>
                <w:szCs w:val="20"/>
              </w:rPr>
              <w:t>T</w:t>
            </w:r>
            <w:r w:rsidRPr="004B7EF4">
              <w:rPr>
                <w:sz w:val="20"/>
                <w:szCs w:val="20"/>
              </w:rPr>
              <w:t xml:space="preserve">G 301 C </w:t>
            </w:r>
            <w:r w:rsidRPr="004B7EF4">
              <w:rPr>
                <w:sz w:val="20"/>
                <w:szCs w:val="20"/>
              </w:rPr>
              <w:br/>
              <w:t>(Modified MITI Test (I))</w:t>
            </w:r>
          </w:p>
        </w:tc>
        <w:tc>
          <w:tcPr>
            <w:tcW w:w="3112" w:type="dxa"/>
            <w:tcBorders>
              <w:top w:val="dashSmallGap" w:sz="4" w:space="0" w:color="auto"/>
              <w:bottom w:val="single" w:sz="12" w:space="0" w:color="auto"/>
            </w:tcBorders>
            <w:shd w:val="clear" w:color="auto" w:fill="C0C0C0"/>
            <w:vAlign w:val="center"/>
          </w:tcPr>
          <w:p w:rsidR="001D41E2" w:rsidRPr="004B7EF4" w:rsidRDefault="001D41E2" w:rsidP="00680C0A">
            <w:pPr>
              <w:pStyle w:val="Tabletext"/>
              <w:keepNext w:val="0"/>
              <w:jc w:val="center"/>
            </w:pPr>
            <w:r w:rsidRPr="004B7EF4">
              <w:t>Readily biodegradable; ≥ 79% (BOD/ThOD) after 14 days; inoculum: activated sludge</w:t>
            </w:r>
          </w:p>
        </w:tc>
        <w:tc>
          <w:tcPr>
            <w:tcW w:w="1808" w:type="dxa"/>
            <w:tcBorders>
              <w:top w:val="dashSmallGap" w:sz="4" w:space="0" w:color="auto"/>
              <w:bottom w:val="single" w:sz="12" w:space="0" w:color="auto"/>
              <w:right w:val="single" w:sz="12" w:space="0" w:color="auto"/>
            </w:tcBorders>
            <w:shd w:val="clear" w:color="auto" w:fill="C0C0C0"/>
            <w:vAlign w:val="center"/>
          </w:tcPr>
          <w:p w:rsidR="001D41E2" w:rsidRPr="004B7EF4" w:rsidRDefault="001D41E2" w:rsidP="00680C0A">
            <w:pPr>
              <w:pStyle w:val="NormalWeb"/>
              <w:spacing w:before="60" w:beforeAutospacing="0" w:after="60" w:afterAutospacing="0"/>
              <w:jc w:val="center"/>
              <w:rPr>
                <w:sz w:val="20"/>
                <w:szCs w:val="20"/>
                <w:lang w:val="en-US" w:eastAsia="en-US"/>
              </w:rPr>
            </w:pPr>
            <w:r w:rsidRPr="004B7EF4">
              <w:rPr>
                <w:sz w:val="20"/>
                <w:szCs w:val="20"/>
                <w:lang w:val="en-US" w:eastAsia="en-US"/>
              </w:rPr>
              <w:t>NITE, 2008</w:t>
            </w:r>
            <w:r>
              <w:rPr>
                <w:sz w:val="20"/>
                <w:szCs w:val="20"/>
                <w:lang w:val="en-US" w:eastAsia="en-US"/>
              </w:rPr>
              <w:t>c</w:t>
            </w:r>
          </w:p>
        </w:tc>
      </w:tr>
    </w:tbl>
    <w:p w:rsidR="001D41E2" w:rsidRDefault="001D41E2" w:rsidP="00CE07F1">
      <w:pPr>
        <w:pStyle w:val="BodyText"/>
        <w:rPr>
          <w:lang w:val="en-US"/>
        </w:rPr>
      </w:pPr>
    </w:p>
    <w:p w:rsidR="001D41E2" w:rsidRPr="004B7EF4" w:rsidRDefault="007D3E3E" w:rsidP="00706568">
      <w:pPr>
        <w:pStyle w:val="BodyText"/>
        <w:rPr>
          <w:lang w:val="en-US"/>
        </w:rPr>
      </w:pPr>
      <w:r w:rsidRPr="007D3E3E">
        <w:t xml:space="preserve">EtCF was readily </w:t>
      </w:r>
      <w:r w:rsidR="009D5BB4" w:rsidRPr="007D3E3E">
        <w:t>biodegradable</w:t>
      </w:r>
      <w:r w:rsidR="009D5BB4" w:rsidRPr="004B7EF4">
        <w:rPr>
          <w:lang w:val="en-US"/>
        </w:rPr>
        <w:t xml:space="preserve"> </w:t>
      </w:r>
      <w:r w:rsidR="009D5BB4">
        <w:rPr>
          <w:lang w:val="en-US"/>
        </w:rPr>
        <w:t>in</w:t>
      </w:r>
      <w:r w:rsidR="001D41E2" w:rsidRPr="004B7EF4">
        <w:rPr>
          <w:lang w:val="en-US"/>
        </w:rPr>
        <w:t xml:space="preserve"> </w:t>
      </w:r>
      <w:r w:rsidR="001D41E2">
        <w:rPr>
          <w:lang w:val="en-US"/>
        </w:rPr>
        <w:t>a</w:t>
      </w:r>
      <w:r w:rsidR="001D41E2" w:rsidRPr="004B7EF4">
        <w:rPr>
          <w:lang w:val="en-US"/>
        </w:rPr>
        <w:t xml:space="preserve"> MITI (I) test </w:t>
      </w:r>
      <w:r w:rsidR="001D41E2">
        <w:rPr>
          <w:lang w:val="en-US"/>
        </w:rPr>
        <w:t>following OECD 301 C</w:t>
      </w:r>
      <w:r w:rsidR="001D41E2" w:rsidRPr="004B7EF4">
        <w:rPr>
          <w:lang w:val="en-US"/>
        </w:rPr>
        <w:t xml:space="preserve"> (NITE, 2008a). </w:t>
      </w:r>
      <w:r w:rsidR="001D41E2">
        <w:rPr>
          <w:lang w:val="en-US"/>
        </w:rPr>
        <w:t xml:space="preserve">   All hydrolysis products, with one exception (DEG), are readily biodegradable (biodegradation &gt; 70% at test end, 10 days window met).</w:t>
      </w:r>
      <w:r w:rsidR="00646EC4">
        <w:rPr>
          <w:lang w:val="en-US"/>
        </w:rPr>
        <w:t xml:space="preserve">  </w:t>
      </w:r>
      <w:r w:rsidR="001D41E2">
        <w:rPr>
          <w:lang w:val="en-US"/>
        </w:rPr>
        <w:t>The weight of evidence suggests that the category members, with the exception of ObCF</w:t>
      </w:r>
      <w:r w:rsidR="008D6E83">
        <w:rPr>
          <w:lang w:val="en-US"/>
        </w:rPr>
        <w:t xml:space="preserve"> </w:t>
      </w:r>
      <w:r w:rsidR="001D41E2">
        <w:rPr>
          <w:lang w:val="en-US"/>
        </w:rPr>
        <w:t xml:space="preserve">are </w:t>
      </w:r>
      <w:r w:rsidR="001D41E2" w:rsidRPr="004B7EF4">
        <w:rPr>
          <w:lang w:val="en-US"/>
        </w:rPr>
        <w:t>readily biodegradable</w:t>
      </w:r>
      <w:r w:rsidR="001D41E2">
        <w:rPr>
          <w:lang w:val="en-US"/>
        </w:rPr>
        <w:t xml:space="preserve"> based on their rapid hydrolysis and ready biodegradability of their hydrolysis products.    </w:t>
      </w:r>
    </w:p>
    <w:p w:rsidR="001D41E2" w:rsidRPr="004B7EF4" w:rsidRDefault="001D41E2">
      <w:pPr>
        <w:pStyle w:val="Heading3"/>
        <w:numPr>
          <w:ilvl w:val="2"/>
          <w:numId w:val="28"/>
        </w:numPr>
        <w:tabs>
          <w:tab w:val="clear" w:pos="1440"/>
          <w:tab w:val="clear" w:pos="2160"/>
        </w:tabs>
        <w:rPr>
          <w:lang w:val="en-US"/>
        </w:rPr>
      </w:pPr>
      <w:bookmarkStart w:id="40" w:name="_Toc264983257"/>
      <w:r w:rsidRPr="004B7EF4">
        <w:rPr>
          <w:lang w:val="en-US"/>
        </w:rPr>
        <w:t>Bioaccumulation</w:t>
      </w:r>
      <w:bookmarkEnd w:id="34"/>
      <w:bookmarkEnd w:id="35"/>
      <w:bookmarkEnd w:id="36"/>
      <w:bookmarkEnd w:id="37"/>
      <w:bookmarkEnd w:id="40"/>
    </w:p>
    <w:p w:rsidR="001D41E2" w:rsidRPr="004B7EF4" w:rsidRDefault="001D41E2" w:rsidP="00623B68">
      <w:pPr>
        <w:pStyle w:val="BodyText"/>
        <w:rPr>
          <w:lang w:val="en-US"/>
        </w:rPr>
      </w:pPr>
      <w:r>
        <w:rPr>
          <w:lang w:val="en-US"/>
        </w:rPr>
        <w:t>Bioaccumulation is not anticipated s</w:t>
      </w:r>
      <w:r w:rsidRPr="004B7EF4">
        <w:rPr>
          <w:lang w:val="en-US"/>
        </w:rPr>
        <w:t xml:space="preserve">ince the category members are hydrolytically unstable. </w:t>
      </w:r>
      <w:r>
        <w:rPr>
          <w:lang w:val="en-US"/>
        </w:rPr>
        <w:t xml:space="preserve">The BCF values for the sponsored substances were calculated using EPISuite v4.00.  </w:t>
      </w:r>
    </w:p>
    <w:p w:rsidR="001D41E2" w:rsidRPr="00685752" w:rsidRDefault="001D41E2" w:rsidP="009D5BB4">
      <w:pPr>
        <w:pStyle w:val="Caption"/>
        <w:ind w:left="0"/>
        <w:rPr>
          <w:rFonts w:ascii="Times New Roman" w:hAnsi="Times New Roman" w:cs="Times New Roman"/>
          <w:bCs w:val="0"/>
        </w:rPr>
      </w:pPr>
      <w:bookmarkStart w:id="41" w:name="_Toc264983286"/>
      <w:bookmarkStart w:id="42" w:name="_Toc32726023"/>
      <w:bookmarkStart w:id="43" w:name="_Toc32727206"/>
      <w:bookmarkStart w:id="44" w:name="_Toc43868654"/>
      <w:bookmarkStart w:id="45" w:name="_Toc200358242"/>
      <w:r w:rsidRPr="00685752">
        <w:t xml:space="preserve">Table </w:t>
      </w:r>
      <w:r w:rsidR="00685752" w:rsidRPr="00685752">
        <w:t>10</w:t>
      </w:r>
      <w:r w:rsidR="007D3E3E" w:rsidRPr="007D3E3E">
        <w:rPr>
          <w:bCs w:val="0"/>
        </w:rPr>
        <w:t xml:space="preserve">   </w:t>
      </w:r>
      <w:r w:rsidR="007D3E3E" w:rsidRPr="007D3E3E">
        <w:rPr>
          <w:rFonts w:ascii="Times New Roman" w:hAnsi="Times New Roman" w:cs="Times New Roman"/>
          <w:bCs w:val="0"/>
        </w:rPr>
        <w:t>Summary of Bioaccumulation Data</w:t>
      </w:r>
      <w:bookmarkEnd w:id="41"/>
      <w:r w:rsidR="007D3E3E" w:rsidRPr="007D3E3E">
        <w:rPr>
          <w:rFonts w:ascii="Times New Roman" w:hAnsi="Times New Roman" w:cs="Times New Roman"/>
          <w:bCs w:val="0"/>
        </w:rP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6"/>
        <w:gridCol w:w="4321"/>
        <w:gridCol w:w="3218"/>
      </w:tblGrid>
      <w:tr w:rsidR="001D41E2" w:rsidRPr="006C15BF" w:rsidTr="009D5BB4">
        <w:trPr>
          <w:tblHeader/>
        </w:trPr>
        <w:tc>
          <w:tcPr>
            <w:tcW w:w="2268" w:type="dxa"/>
            <w:tcBorders>
              <w:top w:val="single" w:sz="12" w:space="0" w:color="auto"/>
              <w:left w:val="single" w:sz="12" w:space="0" w:color="auto"/>
              <w:bottom w:val="single" w:sz="4" w:space="0" w:color="auto"/>
            </w:tcBorders>
            <w:vAlign w:val="center"/>
          </w:tcPr>
          <w:p w:rsidR="001D41E2" w:rsidRPr="006C15BF" w:rsidRDefault="001D41E2" w:rsidP="00680C0A">
            <w:pPr>
              <w:pStyle w:val="Tabletext"/>
              <w:rPr>
                <w:b/>
                <w:bCs/>
              </w:rPr>
            </w:pPr>
            <w:r w:rsidRPr="006C15BF">
              <w:rPr>
                <w:b/>
                <w:bCs/>
              </w:rPr>
              <w:t xml:space="preserve">Category member / </w:t>
            </w:r>
            <w:r w:rsidRPr="00071FE0">
              <w:rPr>
                <w:b/>
                <w:bCs/>
                <w:highlight w:val="lightGray"/>
              </w:rPr>
              <w:t>hydrolysis product</w:t>
            </w:r>
          </w:p>
        </w:tc>
        <w:tc>
          <w:tcPr>
            <w:tcW w:w="4230" w:type="dxa"/>
            <w:tcBorders>
              <w:top w:val="single" w:sz="12" w:space="0" w:color="auto"/>
              <w:bottom w:val="single" w:sz="4" w:space="0" w:color="auto"/>
            </w:tcBorders>
            <w:vAlign w:val="center"/>
          </w:tcPr>
          <w:p w:rsidR="001D41E2" w:rsidRPr="006C15BF" w:rsidRDefault="001D41E2" w:rsidP="00680C0A">
            <w:pPr>
              <w:pStyle w:val="Tabletext"/>
              <w:jc w:val="center"/>
              <w:rPr>
                <w:b/>
                <w:bCs/>
              </w:rPr>
            </w:pPr>
            <w:r w:rsidRPr="006C15BF">
              <w:rPr>
                <w:b/>
                <w:bCs/>
              </w:rPr>
              <w:t>BCF</w:t>
            </w:r>
          </w:p>
        </w:tc>
        <w:tc>
          <w:tcPr>
            <w:tcW w:w="3150" w:type="dxa"/>
            <w:tcBorders>
              <w:top w:val="single" w:sz="12" w:space="0" w:color="auto"/>
              <w:bottom w:val="single" w:sz="4" w:space="0" w:color="auto"/>
              <w:right w:val="single" w:sz="12" w:space="0" w:color="auto"/>
            </w:tcBorders>
            <w:vAlign w:val="center"/>
          </w:tcPr>
          <w:p w:rsidR="001D41E2" w:rsidRPr="006C15BF" w:rsidRDefault="001D41E2" w:rsidP="00680C0A">
            <w:pPr>
              <w:pStyle w:val="Tabletext"/>
              <w:jc w:val="center"/>
              <w:rPr>
                <w:b/>
                <w:bCs/>
              </w:rPr>
            </w:pPr>
            <w:r w:rsidRPr="006C15BF">
              <w:rPr>
                <w:b/>
                <w:bCs/>
              </w:rPr>
              <w:t>References</w:t>
            </w:r>
          </w:p>
        </w:tc>
      </w:tr>
      <w:tr w:rsidR="001D41E2" w:rsidRPr="006C15BF" w:rsidTr="009D5BB4">
        <w:trPr>
          <w:trHeight w:val="397"/>
        </w:trPr>
        <w:tc>
          <w:tcPr>
            <w:tcW w:w="9648" w:type="dxa"/>
            <w:gridSpan w:val="3"/>
            <w:tcBorders>
              <w:top w:val="single" w:sz="4" w:space="0" w:color="auto"/>
              <w:left w:val="single" w:sz="12" w:space="0" w:color="auto"/>
              <w:bottom w:val="single" w:sz="4" w:space="0" w:color="auto"/>
              <w:right w:val="single" w:sz="12" w:space="0" w:color="auto"/>
            </w:tcBorders>
            <w:vAlign w:val="center"/>
          </w:tcPr>
          <w:p w:rsidR="001D41E2" w:rsidRPr="006C15BF" w:rsidRDefault="001D41E2" w:rsidP="009D5BB4">
            <w:pPr>
              <w:pStyle w:val="Tabletext"/>
              <w:jc w:val="center"/>
            </w:pPr>
            <w:r w:rsidRPr="006C15BF">
              <w:rPr>
                <w:b/>
                <w:bCs/>
              </w:rPr>
              <w:t>Bioaccumulation</w:t>
            </w:r>
          </w:p>
        </w:tc>
      </w:tr>
      <w:tr w:rsidR="001D41E2" w:rsidRPr="006C15BF" w:rsidTr="009D5BB4">
        <w:trPr>
          <w:trHeight w:val="567"/>
        </w:trPr>
        <w:tc>
          <w:tcPr>
            <w:tcW w:w="2268" w:type="dxa"/>
            <w:tcBorders>
              <w:top w:val="single" w:sz="4" w:space="0" w:color="auto"/>
              <w:left w:val="single" w:sz="12" w:space="0" w:color="auto"/>
            </w:tcBorders>
            <w:vAlign w:val="center"/>
          </w:tcPr>
          <w:p w:rsidR="001D41E2" w:rsidRPr="006C15BF" w:rsidRDefault="001D41E2" w:rsidP="00680C0A">
            <w:pPr>
              <w:pStyle w:val="Tabletext"/>
              <w:keepNext w:val="0"/>
              <w:keepLines w:val="0"/>
              <w:spacing w:before="60" w:after="60"/>
              <w:jc w:val="center"/>
            </w:pPr>
            <w:r w:rsidRPr="006C15BF">
              <w:t xml:space="preserve">MeCF </w:t>
            </w:r>
          </w:p>
        </w:tc>
        <w:tc>
          <w:tcPr>
            <w:tcW w:w="4230" w:type="dxa"/>
            <w:tcBorders>
              <w:top w:val="single" w:sz="4" w:space="0" w:color="auto"/>
            </w:tcBorders>
            <w:vAlign w:val="center"/>
          </w:tcPr>
          <w:p w:rsidR="001D41E2" w:rsidRPr="006C15BF" w:rsidRDefault="001D41E2" w:rsidP="000C51E6">
            <w:pPr>
              <w:spacing w:before="60" w:after="60"/>
              <w:jc w:val="center"/>
              <w:rPr>
                <w:sz w:val="20"/>
                <w:szCs w:val="20"/>
              </w:rPr>
            </w:pPr>
            <w:r w:rsidRPr="006C15BF">
              <w:rPr>
                <w:sz w:val="20"/>
                <w:szCs w:val="20"/>
              </w:rPr>
              <w:t xml:space="preserve">BCF = 3.2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top w:val="single" w:sz="4" w:space="0" w:color="auto"/>
              <w:right w:val="single" w:sz="12" w:space="0" w:color="auto"/>
            </w:tcBorders>
            <w:vAlign w:val="center"/>
          </w:tcPr>
          <w:p w:rsidR="001D41E2" w:rsidRPr="006C15BF" w:rsidRDefault="001D41E2" w:rsidP="009D5BB4">
            <w:pPr>
              <w:pStyle w:val="Tabletext"/>
              <w:keepNext w:val="0"/>
              <w:keepLines w:val="0"/>
              <w:spacing w:before="60" w:after="60"/>
              <w:ind w:left="307"/>
            </w:pPr>
            <w:r w:rsidRPr="006C15BF">
              <w:t>US EPA, 20</w:t>
            </w:r>
            <w:r>
              <w:t>10</w:t>
            </w:r>
            <w:r w:rsidRPr="006C15BF">
              <w:t>a (EPISuite v</w:t>
            </w:r>
            <w:r>
              <w:t>4.00</w:t>
            </w:r>
            <w:r w:rsidRPr="006C15BF">
              <w:t>)</w:t>
            </w:r>
          </w:p>
        </w:tc>
      </w:tr>
      <w:tr w:rsidR="001D41E2" w:rsidRPr="006C15BF" w:rsidTr="009D5BB4">
        <w:trPr>
          <w:trHeight w:val="567"/>
        </w:trPr>
        <w:tc>
          <w:tcPr>
            <w:tcW w:w="2268" w:type="dxa"/>
            <w:tcBorders>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Me</w:t>
            </w:r>
          </w:p>
        </w:tc>
        <w:tc>
          <w:tcPr>
            <w:tcW w:w="4230" w:type="dxa"/>
            <w:shd w:val="clear" w:color="auto" w:fill="C0C0C0"/>
            <w:vAlign w:val="center"/>
          </w:tcPr>
          <w:p w:rsidR="001D41E2" w:rsidRPr="006C15BF" w:rsidRDefault="001D41E2" w:rsidP="000C51E6">
            <w:pPr>
              <w:spacing w:before="60" w:after="60"/>
              <w:jc w:val="center"/>
              <w:rPr>
                <w:sz w:val="20"/>
                <w:szCs w:val="20"/>
              </w:rPr>
            </w:pPr>
            <w:r w:rsidRPr="006C15BF">
              <w:rPr>
                <w:sz w:val="20"/>
                <w:szCs w:val="20"/>
              </w:rPr>
              <w:t xml:space="preserve">BCF &lt; 10 </w:t>
            </w:r>
            <w:r w:rsidRPr="006C15BF">
              <w:rPr>
                <w:sz w:val="20"/>
                <w:szCs w:val="20"/>
                <w:vertAlign w:val="superscript"/>
              </w:rPr>
              <w:t>1</w:t>
            </w:r>
            <w:r w:rsidRPr="006C15BF">
              <w:rPr>
                <w:sz w:val="20"/>
                <w:szCs w:val="20"/>
              </w:rPr>
              <w:t xml:space="preserve">; </w:t>
            </w:r>
          </w:p>
          <w:p w:rsidR="001D41E2" w:rsidRPr="006C15BF" w:rsidRDefault="001D41E2" w:rsidP="000C51E6">
            <w:pPr>
              <w:spacing w:before="60" w:after="60"/>
              <w:jc w:val="center"/>
              <w:rPr>
                <w:sz w:val="20"/>
                <w:szCs w:val="20"/>
              </w:rPr>
            </w:pPr>
            <w:r w:rsidRPr="006C15BF">
              <w:rPr>
                <w:sz w:val="20"/>
                <w:szCs w:val="20"/>
              </w:rPr>
              <w:t xml:space="preserve">no bioaccumulation expected </w:t>
            </w:r>
          </w:p>
        </w:tc>
        <w:tc>
          <w:tcPr>
            <w:tcW w:w="3150" w:type="dxa"/>
            <w:tcBorders>
              <w:right w:val="single" w:sz="12" w:space="0" w:color="auto"/>
            </w:tcBorders>
            <w:shd w:val="clear" w:color="auto" w:fill="C0C0C0"/>
            <w:vAlign w:val="center"/>
          </w:tcPr>
          <w:p w:rsidR="001D41E2" w:rsidRPr="006C15BF" w:rsidRDefault="001D41E2" w:rsidP="009D5BB4">
            <w:pPr>
              <w:pStyle w:val="Tabletext"/>
              <w:keepNext w:val="0"/>
              <w:keepLines w:val="0"/>
              <w:spacing w:before="60" w:after="60"/>
              <w:ind w:left="307"/>
            </w:pPr>
            <w:r w:rsidRPr="006C15BF">
              <w:t>OECD, 2004a</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 xml:space="preserve">EtCF </w:t>
            </w:r>
          </w:p>
        </w:tc>
        <w:tc>
          <w:tcPr>
            <w:tcW w:w="4230" w:type="dxa"/>
            <w:tcBorders>
              <w:bottom w:val="nil"/>
            </w:tcBorders>
            <w:vAlign w:val="center"/>
          </w:tcPr>
          <w:p w:rsidR="001D41E2" w:rsidRPr="006C15BF" w:rsidRDefault="001D41E2" w:rsidP="000C51E6">
            <w:pPr>
              <w:spacing w:before="60" w:after="60"/>
              <w:jc w:val="center"/>
              <w:rPr>
                <w:sz w:val="20"/>
                <w:szCs w:val="20"/>
              </w:rPr>
            </w:pPr>
            <w:r w:rsidRPr="006C15BF">
              <w:rPr>
                <w:sz w:val="20"/>
                <w:szCs w:val="20"/>
              </w:rPr>
              <w:t xml:space="preserve">BCF = 3.2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bottom w:val="nil"/>
              <w:right w:val="single" w:sz="12" w:space="0" w:color="auto"/>
            </w:tcBorders>
            <w:vAlign w:val="center"/>
          </w:tcPr>
          <w:p w:rsidR="001D41E2" w:rsidRPr="006C15BF" w:rsidRDefault="001D41E2" w:rsidP="009D5BB4">
            <w:pPr>
              <w:pStyle w:val="Tabletext"/>
              <w:keepNext w:val="0"/>
              <w:keepLines w:val="0"/>
              <w:spacing w:before="60" w:after="60"/>
              <w:ind w:left="307"/>
            </w:pPr>
            <w:r w:rsidRPr="006C15BF">
              <w:t>US EPA, 20</w:t>
            </w:r>
            <w:r>
              <w:t>10</w:t>
            </w:r>
            <w:r w:rsidRPr="006C15BF">
              <w:t>b (EPISuite v</w:t>
            </w:r>
            <w:r>
              <w:t>4.00</w:t>
            </w:r>
            <w:r w:rsidRPr="006C15BF">
              <w:t>)</w:t>
            </w:r>
          </w:p>
        </w:tc>
      </w:tr>
      <w:tr w:rsidR="001D41E2" w:rsidRPr="006C15BF" w:rsidTr="009D5BB4">
        <w:trPr>
          <w:trHeight w:val="567"/>
        </w:trPr>
        <w:tc>
          <w:tcPr>
            <w:tcW w:w="2268" w:type="dxa"/>
            <w:tcBorders>
              <w:top w:val="nil"/>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Et</w:t>
            </w:r>
          </w:p>
        </w:tc>
        <w:tc>
          <w:tcPr>
            <w:tcW w:w="4230" w:type="dxa"/>
            <w:tcBorders>
              <w:top w:val="nil"/>
            </w:tcBorders>
            <w:shd w:val="clear" w:color="auto" w:fill="C0C0C0"/>
            <w:vAlign w:val="center"/>
          </w:tcPr>
          <w:p w:rsidR="001D41E2" w:rsidRPr="006C15BF" w:rsidRDefault="001D41E2" w:rsidP="0076508E">
            <w:pPr>
              <w:spacing w:before="60" w:after="60"/>
              <w:jc w:val="center"/>
              <w:rPr>
                <w:sz w:val="20"/>
                <w:szCs w:val="20"/>
              </w:rPr>
            </w:pPr>
            <w:r w:rsidRPr="006C15BF">
              <w:rPr>
                <w:sz w:val="20"/>
                <w:szCs w:val="20"/>
              </w:rPr>
              <w:t xml:space="preserve">BCF = 3.2 </w:t>
            </w:r>
            <w:r w:rsidRPr="006C15BF">
              <w:rPr>
                <w:sz w:val="20"/>
                <w:szCs w:val="20"/>
                <w:vertAlign w:val="superscript"/>
              </w:rPr>
              <w:t>2</w:t>
            </w:r>
            <w:r w:rsidRPr="006C15BF">
              <w:rPr>
                <w:sz w:val="20"/>
                <w:szCs w:val="20"/>
              </w:rPr>
              <w:t xml:space="preserve">; </w:t>
            </w:r>
            <w:r w:rsidRPr="006C15BF">
              <w:rPr>
                <w:sz w:val="20"/>
                <w:szCs w:val="20"/>
              </w:rPr>
              <w:br/>
              <w:t>no bioaccumulation expected</w:t>
            </w:r>
          </w:p>
        </w:tc>
        <w:tc>
          <w:tcPr>
            <w:tcW w:w="3150" w:type="dxa"/>
            <w:tcBorders>
              <w:top w:val="nil"/>
              <w:right w:val="single" w:sz="12" w:space="0" w:color="auto"/>
            </w:tcBorders>
            <w:shd w:val="clear" w:color="auto" w:fill="C0C0C0"/>
            <w:vAlign w:val="center"/>
          </w:tcPr>
          <w:p w:rsidR="001D41E2" w:rsidRPr="006C15BF" w:rsidRDefault="001D41E2" w:rsidP="009D5BB4">
            <w:pPr>
              <w:pStyle w:val="Tabletext"/>
              <w:keepNext w:val="0"/>
              <w:keepLines w:val="0"/>
              <w:spacing w:before="60" w:after="60"/>
              <w:ind w:left="307"/>
            </w:pPr>
            <w:r w:rsidRPr="006C15BF">
              <w:t>OECD, 2005</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PrCF</w:t>
            </w:r>
          </w:p>
        </w:tc>
        <w:tc>
          <w:tcPr>
            <w:tcW w:w="4230" w:type="dxa"/>
            <w:tcBorders>
              <w:bottom w:val="nil"/>
            </w:tcBorders>
            <w:vAlign w:val="center"/>
          </w:tcPr>
          <w:p w:rsidR="001D41E2" w:rsidRPr="006C15BF" w:rsidRDefault="001D41E2" w:rsidP="000C51E6">
            <w:pPr>
              <w:pStyle w:val="NormalWeb"/>
              <w:spacing w:before="60" w:beforeAutospacing="0" w:after="60" w:afterAutospacing="0"/>
              <w:jc w:val="center"/>
              <w:rPr>
                <w:sz w:val="20"/>
                <w:szCs w:val="20"/>
                <w:lang w:val="en-US"/>
              </w:rPr>
            </w:pPr>
            <w:r w:rsidRPr="0059086E">
              <w:rPr>
                <w:sz w:val="20"/>
                <w:szCs w:val="20"/>
                <w:lang w:val="en-GB"/>
              </w:rPr>
              <w:t xml:space="preserve">BCF = </w:t>
            </w:r>
            <w:r>
              <w:rPr>
                <w:sz w:val="20"/>
                <w:szCs w:val="20"/>
                <w:lang w:val="en-GB"/>
              </w:rPr>
              <w:t>2</w:t>
            </w:r>
            <w:r w:rsidRPr="0059086E">
              <w:rPr>
                <w:sz w:val="20"/>
                <w:szCs w:val="20"/>
                <w:lang w:val="en-GB"/>
              </w:rPr>
              <w:t>.</w:t>
            </w:r>
            <w:r>
              <w:rPr>
                <w:sz w:val="20"/>
                <w:szCs w:val="20"/>
                <w:lang w:val="en-GB"/>
              </w:rPr>
              <w:t>5</w:t>
            </w:r>
            <w:r w:rsidRPr="0059086E">
              <w:rPr>
                <w:sz w:val="20"/>
                <w:szCs w:val="20"/>
                <w:lang w:val="en-GB"/>
              </w:rPr>
              <w:t xml:space="preserve"> </w:t>
            </w:r>
            <w:r w:rsidRPr="0059086E">
              <w:rPr>
                <w:sz w:val="20"/>
                <w:szCs w:val="20"/>
                <w:vertAlign w:val="superscript"/>
                <w:lang w:val="en-GB"/>
              </w:rPr>
              <w:t>3</w:t>
            </w:r>
            <w:r w:rsidRPr="0059086E">
              <w:rPr>
                <w:sz w:val="20"/>
                <w:szCs w:val="20"/>
                <w:lang w:val="en-GB"/>
              </w:rPr>
              <w:t xml:space="preserve">; </w:t>
            </w:r>
            <w:r w:rsidRPr="0059086E">
              <w:rPr>
                <w:sz w:val="20"/>
                <w:szCs w:val="20"/>
                <w:lang w:val="en-GB"/>
              </w:rPr>
              <w:br/>
              <w:t>no bioaccumulation expected</w:t>
            </w:r>
          </w:p>
        </w:tc>
        <w:tc>
          <w:tcPr>
            <w:tcW w:w="3150" w:type="dxa"/>
            <w:tcBorders>
              <w:bottom w:val="nil"/>
              <w:right w:val="single" w:sz="12" w:space="0" w:color="auto"/>
            </w:tcBorders>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GB"/>
              </w:rPr>
              <w:t>US EPA, 20</w:t>
            </w:r>
            <w:r>
              <w:rPr>
                <w:sz w:val="20"/>
                <w:szCs w:val="20"/>
                <w:lang w:val="en-GB"/>
              </w:rPr>
              <w:t>10</w:t>
            </w:r>
            <w:r w:rsidRPr="006C15BF">
              <w:rPr>
                <w:sz w:val="20"/>
                <w:szCs w:val="20"/>
                <w:lang w:val="en-GB"/>
              </w:rPr>
              <w:t>c (EPISuite v</w:t>
            </w:r>
            <w:r>
              <w:rPr>
                <w:sz w:val="20"/>
                <w:szCs w:val="20"/>
                <w:lang w:val="en-GB"/>
              </w:rPr>
              <w:t>4.00</w:t>
            </w:r>
            <w:r w:rsidRPr="006C15BF">
              <w:rPr>
                <w:sz w:val="20"/>
                <w:szCs w:val="20"/>
                <w:lang w:val="en-GB"/>
              </w:rPr>
              <w:t>)</w:t>
            </w:r>
          </w:p>
        </w:tc>
      </w:tr>
      <w:tr w:rsidR="001D41E2" w:rsidRPr="006C15BF" w:rsidTr="009D5BB4">
        <w:trPr>
          <w:trHeight w:val="567"/>
        </w:trPr>
        <w:tc>
          <w:tcPr>
            <w:tcW w:w="2268" w:type="dxa"/>
            <w:tcBorders>
              <w:top w:val="nil"/>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Pr</w:t>
            </w:r>
          </w:p>
        </w:tc>
        <w:tc>
          <w:tcPr>
            <w:tcW w:w="4230" w:type="dxa"/>
            <w:tcBorders>
              <w:top w:val="nil"/>
            </w:tcBorders>
            <w:shd w:val="clear" w:color="auto" w:fill="C0C0C0"/>
            <w:vAlign w:val="center"/>
          </w:tcPr>
          <w:p w:rsidR="001D41E2" w:rsidRPr="006C15BF" w:rsidRDefault="001D41E2" w:rsidP="000C51E6">
            <w:pPr>
              <w:pStyle w:val="NormalWeb"/>
              <w:spacing w:before="60" w:beforeAutospacing="0" w:after="60" w:afterAutospacing="0"/>
              <w:jc w:val="center"/>
              <w:rPr>
                <w:sz w:val="20"/>
                <w:szCs w:val="20"/>
                <w:lang w:val="en-US"/>
              </w:rPr>
            </w:pPr>
            <w:r w:rsidRPr="006C15BF">
              <w:rPr>
                <w:sz w:val="20"/>
                <w:szCs w:val="20"/>
                <w:lang w:val="en-US"/>
              </w:rPr>
              <w:t>No bioaccumulation expected</w:t>
            </w:r>
          </w:p>
        </w:tc>
        <w:tc>
          <w:tcPr>
            <w:tcW w:w="3150" w:type="dxa"/>
            <w:tcBorders>
              <w:top w:val="nil"/>
              <w:right w:val="single" w:sz="12" w:space="0" w:color="auto"/>
            </w:tcBorders>
            <w:shd w:val="clear" w:color="auto" w:fill="C0C0C0"/>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US"/>
              </w:rPr>
              <w:t>EC, 2008</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IpCF</w:t>
            </w:r>
          </w:p>
        </w:tc>
        <w:tc>
          <w:tcPr>
            <w:tcW w:w="4230" w:type="dxa"/>
            <w:tcBorders>
              <w:bottom w:val="nil"/>
            </w:tcBorders>
            <w:vAlign w:val="center"/>
          </w:tcPr>
          <w:p w:rsidR="001D41E2" w:rsidRPr="006C15BF" w:rsidRDefault="001D41E2" w:rsidP="000C51E6">
            <w:pPr>
              <w:spacing w:before="60" w:after="60"/>
              <w:jc w:val="center"/>
              <w:rPr>
                <w:sz w:val="20"/>
                <w:szCs w:val="20"/>
              </w:rPr>
            </w:pPr>
            <w:r w:rsidRPr="006C15BF">
              <w:rPr>
                <w:sz w:val="20"/>
                <w:szCs w:val="20"/>
              </w:rPr>
              <w:t xml:space="preserve">BCF = </w:t>
            </w:r>
            <w:r>
              <w:rPr>
                <w:sz w:val="20"/>
                <w:szCs w:val="20"/>
              </w:rPr>
              <w:t>2.3</w:t>
            </w:r>
            <w:r w:rsidRPr="006C15BF">
              <w:rPr>
                <w:sz w:val="20"/>
                <w:szCs w:val="20"/>
              </w:rPr>
              <w:t xml:space="preserve">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bottom w:val="nil"/>
              <w:right w:val="single" w:sz="12" w:space="0" w:color="auto"/>
            </w:tcBorders>
            <w:vAlign w:val="center"/>
          </w:tcPr>
          <w:p w:rsidR="001D41E2" w:rsidRPr="006C15BF" w:rsidRDefault="001D41E2" w:rsidP="009D5BB4">
            <w:pPr>
              <w:spacing w:before="60" w:after="60"/>
              <w:ind w:left="307"/>
              <w:rPr>
                <w:sz w:val="20"/>
                <w:szCs w:val="20"/>
              </w:rPr>
            </w:pPr>
            <w:r w:rsidRPr="006C15BF">
              <w:rPr>
                <w:sz w:val="20"/>
                <w:szCs w:val="20"/>
              </w:rPr>
              <w:t>US EPA, 20</w:t>
            </w:r>
            <w:r>
              <w:rPr>
                <w:sz w:val="20"/>
                <w:szCs w:val="20"/>
              </w:rPr>
              <w:t>10</w:t>
            </w:r>
            <w:r w:rsidRPr="006C15BF">
              <w:rPr>
                <w:sz w:val="20"/>
                <w:szCs w:val="20"/>
              </w:rPr>
              <w:t>d (EPISuite v</w:t>
            </w:r>
            <w:r>
              <w:rPr>
                <w:sz w:val="20"/>
                <w:szCs w:val="20"/>
              </w:rPr>
              <w:t>4.0</w:t>
            </w:r>
            <w:r w:rsidRPr="006C15BF">
              <w:rPr>
                <w:sz w:val="20"/>
                <w:szCs w:val="20"/>
              </w:rPr>
              <w:t>0)</w:t>
            </w:r>
          </w:p>
        </w:tc>
      </w:tr>
      <w:tr w:rsidR="001D41E2" w:rsidRPr="006C15BF" w:rsidTr="009D5BB4">
        <w:trPr>
          <w:trHeight w:val="567"/>
        </w:trPr>
        <w:tc>
          <w:tcPr>
            <w:tcW w:w="2268" w:type="dxa"/>
            <w:tcBorders>
              <w:top w:val="nil"/>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Ip</w:t>
            </w:r>
          </w:p>
        </w:tc>
        <w:tc>
          <w:tcPr>
            <w:tcW w:w="4230" w:type="dxa"/>
            <w:tcBorders>
              <w:top w:val="nil"/>
            </w:tcBorders>
            <w:shd w:val="clear" w:color="auto" w:fill="C0C0C0"/>
            <w:vAlign w:val="center"/>
          </w:tcPr>
          <w:p w:rsidR="001D41E2" w:rsidRPr="006C15BF" w:rsidRDefault="001D41E2" w:rsidP="000C51E6">
            <w:pPr>
              <w:spacing w:before="60" w:after="60"/>
              <w:jc w:val="center"/>
              <w:rPr>
                <w:sz w:val="20"/>
                <w:szCs w:val="20"/>
              </w:rPr>
            </w:pPr>
            <w:r w:rsidRPr="006C15BF">
              <w:rPr>
                <w:sz w:val="20"/>
                <w:szCs w:val="20"/>
              </w:rPr>
              <w:t xml:space="preserve">BCF = 1 </w:t>
            </w:r>
            <w:r w:rsidRPr="006C15BF">
              <w:rPr>
                <w:sz w:val="20"/>
                <w:szCs w:val="20"/>
                <w:vertAlign w:val="superscript"/>
              </w:rPr>
              <w:t>2</w:t>
            </w:r>
            <w:r w:rsidRPr="006C15BF">
              <w:rPr>
                <w:sz w:val="20"/>
                <w:szCs w:val="20"/>
              </w:rPr>
              <w:t xml:space="preserve">; </w:t>
            </w:r>
            <w:r w:rsidRPr="006C15BF">
              <w:rPr>
                <w:sz w:val="20"/>
                <w:szCs w:val="20"/>
              </w:rPr>
              <w:br/>
              <w:t xml:space="preserve">no bioaccumulation expected </w:t>
            </w:r>
          </w:p>
        </w:tc>
        <w:tc>
          <w:tcPr>
            <w:tcW w:w="3150" w:type="dxa"/>
            <w:tcBorders>
              <w:top w:val="nil"/>
              <w:right w:val="single" w:sz="12" w:space="0" w:color="auto"/>
            </w:tcBorders>
            <w:shd w:val="clear" w:color="auto" w:fill="C0C0C0"/>
            <w:vAlign w:val="center"/>
          </w:tcPr>
          <w:p w:rsidR="001D41E2" w:rsidRPr="006C15BF" w:rsidRDefault="001D41E2" w:rsidP="009D5BB4">
            <w:pPr>
              <w:spacing w:before="60" w:after="60"/>
              <w:ind w:left="307"/>
              <w:rPr>
                <w:sz w:val="20"/>
                <w:szCs w:val="20"/>
              </w:rPr>
            </w:pPr>
            <w:r w:rsidRPr="006C15BF">
              <w:rPr>
                <w:sz w:val="20"/>
                <w:szCs w:val="20"/>
              </w:rPr>
              <w:t>OECD, 2000</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SbCF</w:t>
            </w:r>
          </w:p>
        </w:tc>
        <w:tc>
          <w:tcPr>
            <w:tcW w:w="4230" w:type="dxa"/>
            <w:tcBorders>
              <w:bottom w:val="nil"/>
            </w:tcBorders>
            <w:vAlign w:val="center"/>
          </w:tcPr>
          <w:p w:rsidR="001D41E2" w:rsidRPr="006C15BF" w:rsidRDefault="001D41E2" w:rsidP="009713F5">
            <w:pPr>
              <w:spacing w:before="60" w:after="60"/>
              <w:jc w:val="center"/>
              <w:rPr>
                <w:sz w:val="20"/>
                <w:szCs w:val="20"/>
              </w:rPr>
            </w:pPr>
            <w:r w:rsidRPr="006C15BF">
              <w:rPr>
                <w:sz w:val="20"/>
                <w:szCs w:val="20"/>
              </w:rPr>
              <w:t xml:space="preserve">BCF = </w:t>
            </w:r>
            <w:r>
              <w:rPr>
                <w:sz w:val="20"/>
                <w:szCs w:val="20"/>
              </w:rPr>
              <w:t>4.8</w:t>
            </w:r>
            <w:r w:rsidRPr="006C15BF">
              <w:rPr>
                <w:sz w:val="20"/>
                <w:szCs w:val="20"/>
              </w:rPr>
              <w:t xml:space="preserve">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bottom w:val="nil"/>
              <w:right w:val="single" w:sz="12" w:space="0" w:color="auto"/>
            </w:tcBorders>
            <w:vAlign w:val="center"/>
          </w:tcPr>
          <w:p w:rsidR="001D41E2" w:rsidRPr="006C15BF" w:rsidRDefault="001D41E2" w:rsidP="009D5BB4">
            <w:pPr>
              <w:spacing w:before="60" w:after="60"/>
              <w:ind w:left="307"/>
              <w:rPr>
                <w:sz w:val="20"/>
                <w:szCs w:val="20"/>
              </w:rPr>
            </w:pPr>
            <w:r w:rsidRPr="006C15BF">
              <w:rPr>
                <w:sz w:val="20"/>
                <w:szCs w:val="20"/>
              </w:rPr>
              <w:t>US EPA, 20</w:t>
            </w:r>
            <w:r>
              <w:rPr>
                <w:sz w:val="20"/>
                <w:szCs w:val="20"/>
              </w:rPr>
              <w:t xml:space="preserve">10e </w:t>
            </w:r>
            <w:r w:rsidRPr="006C15BF">
              <w:rPr>
                <w:sz w:val="20"/>
                <w:szCs w:val="20"/>
              </w:rPr>
              <w:t>(EPISuite v</w:t>
            </w:r>
            <w:r>
              <w:rPr>
                <w:sz w:val="20"/>
                <w:szCs w:val="20"/>
              </w:rPr>
              <w:t>4.0</w:t>
            </w:r>
            <w:r w:rsidRPr="006C15BF">
              <w:rPr>
                <w:sz w:val="20"/>
                <w:szCs w:val="20"/>
              </w:rPr>
              <w:t>0)</w:t>
            </w:r>
          </w:p>
        </w:tc>
      </w:tr>
      <w:tr w:rsidR="001D41E2" w:rsidRPr="006C15BF" w:rsidTr="009D5BB4">
        <w:trPr>
          <w:trHeight w:val="567"/>
        </w:trPr>
        <w:tc>
          <w:tcPr>
            <w:tcW w:w="2268" w:type="dxa"/>
            <w:tcBorders>
              <w:top w:val="nil"/>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Sb</w:t>
            </w:r>
          </w:p>
        </w:tc>
        <w:tc>
          <w:tcPr>
            <w:tcW w:w="4230" w:type="dxa"/>
            <w:tcBorders>
              <w:top w:val="nil"/>
            </w:tcBorders>
            <w:shd w:val="clear" w:color="auto" w:fill="C0C0C0"/>
            <w:vAlign w:val="center"/>
          </w:tcPr>
          <w:p w:rsidR="001D41E2" w:rsidRPr="006C15BF" w:rsidRDefault="001D41E2" w:rsidP="009713F5">
            <w:pPr>
              <w:spacing w:before="60" w:after="60"/>
              <w:jc w:val="center"/>
              <w:rPr>
                <w:sz w:val="20"/>
                <w:szCs w:val="20"/>
              </w:rPr>
            </w:pPr>
            <w:r w:rsidRPr="006C15BF">
              <w:rPr>
                <w:sz w:val="20"/>
                <w:szCs w:val="20"/>
              </w:rPr>
              <w:t xml:space="preserve">BCF = 1.7 </w:t>
            </w:r>
            <w:r w:rsidRPr="006C15BF">
              <w:rPr>
                <w:sz w:val="20"/>
                <w:szCs w:val="20"/>
                <w:vertAlign w:val="superscript"/>
              </w:rPr>
              <w:t>2</w:t>
            </w:r>
            <w:r w:rsidRPr="006C15BF">
              <w:rPr>
                <w:sz w:val="20"/>
                <w:szCs w:val="20"/>
              </w:rPr>
              <w:t xml:space="preserve">; </w:t>
            </w:r>
            <w:r w:rsidRPr="006C15BF">
              <w:rPr>
                <w:sz w:val="20"/>
                <w:szCs w:val="20"/>
              </w:rPr>
              <w:br/>
              <w:t xml:space="preserve">no bioaccumulation expected </w:t>
            </w:r>
          </w:p>
        </w:tc>
        <w:tc>
          <w:tcPr>
            <w:tcW w:w="3150" w:type="dxa"/>
            <w:tcBorders>
              <w:top w:val="nil"/>
              <w:right w:val="single" w:sz="12" w:space="0" w:color="auto"/>
            </w:tcBorders>
            <w:shd w:val="clear" w:color="auto" w:fill="C0C0C0"/>
            <w:vAlign w:val="center"/>
          </w:tcPr>
          <w:p w:rsidR="001D41E2" w:rsidRPr="006C15BF" w:rsidRDefault="001D41E2" w:rsidP="009D5BB4">
            <w:pPr>
              <w:spacing w:before="60" w:after="60"/>
              <w:ind w:left="307"/>
              <w:rPr>
                <w:sz w:val="20"/>
                <w:szCs w:val="20"/>
              </w:rPr>
            </w:pPr>
            <w:r w:rsidRPr="006C15BF">
              <w:rPr>
                <w:sz w:val="20"/>
                <w:szCs w:val="20"/>
              </w:rPr>
              <w:t>OECD, 2002b</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ObCF</w:t>
            </w:r>
          </w:p>
        </w:tc>
        <w:tc>
          <w:tcPr>
            <w:tcW w:w="4230" w:type="dxa"/>
            <w:tcBorders>
              <w:bottom w:val="nil"/>
            </w:tcBorders>
            <w:vAlign w:val="center"/>
          </w:tcPr>
          <w:p w:rsidR="001D41E2" w:rsidRPr="006C15BF" w:rsidRDefault="001D41E2" w:rsidP="000C51E6">
            <w:pPr>
              <w:spacing w:before="60" w:after="60"/>
              <w:jc w:val="center"/>
              <w:rPr>
                <w:sz w:val="20"/>
                <w:szCs w:val="20"/>
              </w:rPr>
            </w:pPr>
            <w:r w:rsidRPr="006C15BF">
              <w:rPr>
                <w:sz w:val="20"/>
                <w:szCs w:val="20"/>
              </w:rPr>
              <w:t xml:space="preserve">BCF = 3.2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bottom w:val="nil"/>
              <w:right w:val="single" w:sz="12" w:space="0" w:color="auto"/>
            </w:tcBorders>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GB"/>
              </w:rPr>
              <w:t>US EPA, 20</w:t>
            </w:r>
            <w:r>
              <w:rPr>
                <w:sz w:val="20"/>
                <w:szCs w:val="20"/>
                <w:lang w:val="en-GB"/>
              </w:rPr>
              <w:t xml:space="preserve">10f </w:t>
            </w:r>
            <w:r w:rsidRPr="006C15BF">
              <w:rPr>
                <w:sz w:val="20"/>
                <w:szCs w:val="20"/>
                <w:lang w:val="en-GB"/>
              </w:rPr>
              <w:t>(EPISuite v</w:t>
            </w:r>
            <w:r>
              <w:rPr>
                <w:sz w:val="20"/>
                <w:szCs w:val="20"/>
                <w:lang w:val="en-GB"/>
              </w:rPr>
              <w:t>4.0</w:t>
            </w:r>
            <w:r w:rsidRPr="006C15BF">
              <w:rPr>
                <w:sz w:val="20"/>
                <w:szCs w:val="20"/>
                <w:lang w:val="en-GB"/>
              </w:rPr>
              <w:t>0)</w:t>
            </w:r>
          </w:p>
        </w:tc>
      </w:tr>
      <w:tr w:rsidR="001D41E2" w:rsidRPr="006C15BF" w:rsidTr="009D5BB4">
        <w:trPr>
          <w:trHeight w:val="567"/>
        </w:trPr>
        <w:tc>
          <w:tcPr>
            <w:tcW w:w="2268" w:type="dxa"/>
            <w:tcBorders>
              <w:top w:val="nil"/>
              <w:left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DEG</w:t>
            </w:r>
          </w:p>
        </w:tc>
        <w:tc>
          <w:tcPr>
            <w:tcW w:w="4230" w:type="dxa"/>
            <w:tcBorders>
              <w:top w:val="nil"/>
            </w:tcBorders>
            <w:shd w:val="clear" w:color="auto" w:fill="C0C0C0"/>
            <w:vAlign w:val="center"/>
          </w:tcPr>
          <w:p w:rsidR="001D41E2" w:rsidRPr="006C15BF" w:rsidRDefault="001D41E2" w:rsidP="000C51E6">
            <w:pPr>
              <w:spacing w:before="60" w:after="60"/>
              <w:jc w:val="center"/>
              <w:rPr>
                <w:sz w:val="20"/>
                <w:szCs w:val="20"/>
              </w:rPr>
            </w:pPr>
            <w:r w:rsidRPr="006C15BF">
              <w:rPr>
                <w:sz w:val="20"/>
                <w:szCs w:val="20"/>
              </w:rPr>
              <w:t xml:space="preserve">BCF = 3.2 </w:t>
            </w:r>
            <w:r w:rsidRPr="006C15BF">
              <w:rPr>
                <w:sz w:val="20"/>
                <w:szCs w:val="20"/>
                <w:vertAlign w:val="superscript"/>
              </w:rPr>
              <w:t>3</w:t>
            </w:r>
            <w:r w:rsidRPr="006C15BF">
              <w:rPr>
                <w:sz w:val="20"/>
                <w:szCs w:val="20"/>
              </w:rPr>
              <w:t xml:space="preserve">; </w:t>
            </w:r>
            <w:r w:rsidRPr="006C15BF">
              <w:rPr>
                <w:sz w:val="20"/>
                <w:szCs w:val="20"/>
              </w:rPr>
              <w:br/>
              <w:t>no bioaccumulation expected</w:t>
            </w:r>
          </w:p>
        </w:tc>
        <w:tc>
          <w:tcPr>
            <w:tcW w:w="3150" w:type="dxa"/>
            <w:tcBorders>
              <w:top w:val="nil"/>
              <w:right w:val="single" w:sz="12" w:space="0" w:color="auto"/>
            </w:tcBorders>
            <w:shd w:val="clear" w:color="auto" w:fill="C0C0C0"/>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US"/>
              </w:rPr>
              <w:t>OECD, 2004b</w:t>
            </w:r>
          </w:p>
        </w:tc>
      </w:tr>
      <w:tr w:rsidR="001D41E2" w:rsidRPr="006C15BF" w:rsidTr="009D5BB4">
        <w:trPr>
          <w:trHeight w:val="567"/>
        </w:trPr>
        <w:tc>
          <w:tcPr>
            <w:tcW w:w="2268" w:type="dxa"/>
            <w:tcBorders>
              <w:left w:val="single" w:sz="12" w:space="0" w:color="auto"/>
              <w:bottom w:val="nil"/>
            </w:tcBorders>
            <w:vAlign w:val="center"/>
          </w:tcPr>
          <w:p w:rsidR="001D41E2" w:rsidRPr="006C15BF" w:rsidRDefault="001D41E2" w:rsidP="00680C0A">
            <w:pPr>
              <w:pStyle w:val="Tabletext"/>
              <w:keepNext w:val="0"/>
              <w:keepLines w:val="0"/>
              <w:spacing w:before="60" w:after="60"/>
              <w:jc w:val="center"/>
            </w:pPr>
            <w:r w:rsidRPr="006C15BF">
              <w:t>EhCF</w:t>
            </w:r>
          </w:p>
        </w:tc>
        <w:tc>
          <w:tcPr>
            <w:tcW w:w="4230" w:type="dxa"/>
            <w:tcBorders>
              <w:bottom w:val="nil"/>
            </w:tcBorders>
            <w:vAlign w:val="center"/>
          </w:tcPr>
          <w:p w:rsidR="001D41E2" w:rsidRPr="006C15BF" w:rsidRDefault="001D41E2" w:rsidP="000C51E6">
            <w:pPr>
              <w:pStyle w:val="NormalWeb"/>
              <w:spacing w:before="60" w:beforeAutospacing="0" w:after="60" w:afterAutospacing="0"/>
              <w:jc w:val="center"/>
              <w:rPr>
                <w:sz w:val="20"/>
                <w:szCs w:val="20"/>
                <w:lang w:val="en-US"/>
              </w:rPr>
            </w:pPr>
            <w:r w:rsidRPr="00B720F0">
              <w:rPr>
                <w:sz w:val="20"/>
                <w:szCs w:val="20"/>
                <w:lang w:val="en-GB"/>
              </w:rPr>
              <w:t xml:space="preserve">BCF = 95 </w:t>
            </w:r>
            <w:r w:rsidRPr="00B720F0">
              <w:rPr>
                <w:sz w:val="20"/>
                <w:szCs w:val="20"/>
                <w:vertAlign w:val="superscript"/>
                <w:lang w:val="en-GB"/>
              </w:rPr>
              <w:t>3</w:t>
            </w:r>
            <w:r w:rsidRPr="00B720F0">
              <w:rPr>
                <w:sz w:val="20"/>
                <w:szCs w:val="20"/>
                <w:lang w:val="en-GB"/>
              </w:rPr>
              <w:t xml:space="preserve">; </w:t>
            </w:r>
            <w:r w:rsidRPr="00B720F0">
              <w:rPr>
                <w:sz w:val="20"/>
                <w:szCs w:val="20"/>
                <w:lang w:val="en-GB"/>
              </w:rPr>
              <w:br/>
              <w:t>no bioacc</w:t>
            </w:r>
            <w:r w:rsidRPr="006C15BF">
              <w:rPr>
                <w:sz w:val="20"/>
                <w:szCs w:val="20"/>
              </w:rPr>
              <w:t>umulation expected</w:t>
            </w:r>
          </w:p>
        </w:tc>
        <w:tc>
          <w:tcPr>
            <w:tcW w:w="3150" w:type="dxa"/>
            <w:tcBorders>
              <w:bottom w:val="nil"/>
              <w:right w:val="single" w:sz="12" w:space="0" w:color="auto"/>
            </w:tcBorders>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US"/>
              </w:rPr>
              <w:t>US EPA, 20</w:t>
            </w:r>
            <w:r>
              <w:rPr>
                <w:sz w:val="20"/>
                <w:szCs w:val="20"/>
                <w:lang w:val="en-US"/>
              </w:rPr>
              <w:t xml:space="preserve">10g </w:t>
            </w:r>
            <w:r w:rsidRPr="006C15BF">
              <w:rPr>
                <w:sz w:val="20"/>
                <w:szCs w:val="20"/>
                <w:lang w:val="en-US"/>
              </w:rPr>
              <w:t>(EPISuite v</w:t>
            </w:r>
            <w:r>
              <w:rPr>
                <w:sz w:val="20"/>
                <w:szCs w:val="20"/>
                <w:lang w:val="en-US"/>
              </w:rPr>
              <w:t>4.0</w:t>
            </w:r>
            <w:r w:rsidRPr="006C15BF">
              <w:rPr>
                <w:sz w:val="20"/>
                <w:szCs w:val="20"/>
                <w:lang w:val="en-US"/>
              </w:rPr>
              <w:t>0)</w:t>
            </w:r>
          </w:p>
        </w:tc>
      </w:tr>
      <w:tr w:rsidR="001D41E2" w:rsidRPr="006C15BF" w:rsidTr="009D5BB4">
        <w:trPr>
          <w:trHeight w:val="567"/>
        </w:trPr>
        <w:tc>
          <w:tcPr>
            <w:tcW w:w="2268" w:type="dxa"/>
            <w:tcBorders>
              <w:top w:val="nil"/>
              <w:left w:val="single" w:sz="12" w:space="0" w:color="auto"/>
              <w:bottom w:val="single" w:sz="12" w:space="0" w:color="auto"/>
            </w:tcBorders>
            <w:shd w:val="clear" w:color="auto" w:fill="C0C0C0"/>
            <w:vAlign w:val="center"/>
          </w:tcPr>
          <w:p w:rsidR="001D41E2" w:rsidRPr="006C15BF" w:rsidRDefault="001D41E2" w:rsidP="00680C0A">
            <w:pPr>
              <w:pStyle w:val="Tabletext"/>
              <w:keepNext w:val="0"/>
              <w:keepLines w:val="0"/>
              <w:spacing w:before="60" w:after="60"/>
              <w:jc w:val="center"/>
            </w:pPr>
            <w:r w:rsidRPr="006C15BF">
              <w:t>Eh</w:t>
            </w:r>
          </w:p>
        </w:tc>
        <w:tc>
          <w:tcPr>
            <w:tcW w:w="4230" w:type="dxa"/>
            <w:tcBorders>
              <w:top w:val="nil"/>
              <w:bottom w:val="single" w:sz="12" w:space="0" w:color="auto"/>
            </w:tcBorders>
            <w:shd w:val="clear" w:color="auto" w:fill="C0C0C0"/>
            <w:vAlign w:val="center"/>
          </w:tcPr>
          <w:p w:rsidR="001D41E2" w:rsidRPr="006C15BF" w:rsidRDefault="001D41E2" w:rsidP="000C51E6">
            <w:pPr>
              <w:pStyle w:val="NormalWeb"/>
              <w:spacing w:before="60" w:beforeAutospacing="0" w:after="60" w:afterAutospacing="0"/>
              <w:jc w:val="center"/>
              <w:rPr>
                <w:sz w:val="20"/>
                <w:szCs w:val="20"/>
                <w:lang w:val="en-US"/>
              </w:rPr>
            </w:pPr>
            <w:r w:rsidRPr="006C15BF">
              <w:rPr>
                <w:sz w:val="20"/>
                <w:szCs w:val="20"/>
                <w:lang w:val="en-US"/>
              </w:rPr>
              <w:t xml:space="preserve">BCF = </w:t>
            </w:r>
            <w:r>
              <w:rPr>
                <w:sz w:val="20"/>
                <w:szCs w:val="20"/>
                <w:lang w:val="en-US"/>
              </w:rPr>
              <w:t>42</w:t>
            </w:r>
            <w:r w:rsidRPr="006C15BF">
              <w:rPr>
                <w:sz w:val="20"/>
                <w:szCs w:val="20"/>
                <w:lang w:val="en-US"/>
              </w:rPr>
              <w:t xml:space="preserve"> </w:t>
            </w:r>
            <w:r w:rsidRPr="006C15BF">
              <w:rPr>
                <w:sz w:val="20"/>
                <w:szCs w:val="20"/>
                <w:vertAlign w:val="superscript"/>
                <w:lang w:val="en-US"/>
              </w:rPr>
              <w:t>2</w:t>
            </w:r>
            <w:r w:rsidRPr="006C15BF">
              <w:rPr>
                <w:sz w:val="20"/>
                <w:szCs w:val="20"/>
                <w:lang w:val="en-US"/>
              </w:rPr>
              <w:t xml:space="preserve">; </w:t>
            </w:r>
            <w:r w:rsidRPr="006C15BF">
              <w:rPr>
                <w:sz w:val="20"/>
                <w:szCs w:val="20"/>
                <w:lang w:val="en-US"/>
              </w:rPr>
              <w:br/>
              <w:t>no bioaccumulation expected</w:t>
            </w:r>
          </w:p>
        </w:tc>
        <w:tc>
          <w:tcPr>
            <w:tcW w:w="3150" w:type="dxa"/>
            <w:tcBorders>
              <w:top w:val="nil"/>
              <w:bottom w:val="single" w:sz="12" w:space="0" w:color="auto"/>
              <w:right w:val="single" w:sz="12" w:space="0" w:color="auto"/>
            </w:tcBorders>
            <w:shd w:val="clear" w:color="auto" w:fill="C0C0C0"/>
            <w:vAlign w:val="center"/>
          </w:tcPr>
          <w:p w:rsidR="001D41E2" w:rsidRPr="006C15BF" w:rsidRDefault="001D41E2" w:rsidP="009D5BB4">
            <w:pPr>
              <w:pStyle w:val="NormalWeb"/>
              <w:spacing w:before="60" w:beforeAutospacing="0" w:after="60" w:afterAutospacing="0"/>
              <w:ind w:left="307"/>
              <w:rPr>
                <w:sz w:val="20"/>
                <w:szCs w:val="20"/>
                <w:lang w:val="en-US"/>
              </w:rPr>
            </w:pPr>
            <w:r w:rsidRPr="006C15BF">
              <w:rPr>
                <w:sz w:val="20"/>
                <w:szCs w:val="20"/>
                <w:lang w:val="en-US"/>
              </w:rPr>
              <w:t>US EPA, 20</w:t>
            </w:r>
            <w:r>
              <w:rPr>
                <w:sz w:val="20"/>
                <w:szCs w:val="20"/>
                <w:lang w:val="en-US"/>
              </w:rPr>
              <w:t>10h</w:t>
            </w:r>
            <w:r w:rsidRPr="006C15BF">
              <w:rPr>
                <w:sz w:val="20"/>
                <w:szCs w:val="20"/>
                <w:lang w:val="en-US"/>
              </w:rPr>
              <w:t xml:space="preserve"> (EPISuite v</w:t>
            </w:r>
            <w:r>
              <w:rPr>
                <w:sz w:val="20"/>
                <w:szCs w:val="20"/>
                <w:lang w:val="en-US"/>
              </w:rPr>
              <w:t>4.00</w:t>
            </w:r>
            <w:r w:rsidRPr="006C15BF">
              <w:rPr>
                <w:sz w:val="20"/>
                <w:szCs w:val="20"/>
                <w:lang w:val="en-US"/>
              </w:rPr>
              <w:t>)</w:t>
            </w:r>
          </w:p>
        </w:tc>
      </w:tr>
    </w:tbl>
    <w:p w:rsidR="001D41E2" w:rsidRPr="009D5BB4" w:rsidRDefault="001D41E2" w:rsidP="009D5BB4">
      <w:pPr>
        <w:ind w:left="567"/>
        <w:rPr>
          <w:sz w:val="20"/>
          <w:szCs w:val="16"/>
        </w:rPr>
      </w:pPr>
      <w:r w:rsidRPr="009D5BB4">
        <w:rPr>
          <w:sz w:val="20"/>
          <w:szCs w:val="16"/>
        </w:rPr>
        <w:t>1 = measured</w:t>
      </w:r>
      <w:r w:rsidRPr="009D5BB4">
        <w:rPr>
          <w:sz w:val="20"/>
          <w:szCs w:val="16"/>
        </w:rPr>
        <w:tab/>
        <w:t>2 = calculation based on measured log K</w:t>
      </w:r>
      <w:r w:rsidRPr="009D5BB4">
        <w:rPr>
          <w:sz w:val="20"/>
          <w:szCs w:val="16"/>
          <w:vertAlign w:val="subscript"/>
        </w:rPr>
        <w:t>OW</w:t>
      </w:r>
      <w:r w:rsidRPr="009D5BB4">
        <w:rPr>
          <w:sz w:val="20"/>
          <w:szCs w:val="16"/>
        </w:rPr>
        <w:tab/>
        <w:t>3 = calculation based on calculated log K</w:t>
      </w:r>
      <w:r w:rsidRPr="009D5BB4">
        <w:rPr>
          <w:sz w:val="20"/>
          <w:szCs w:val="16"/>
          <w:vertAlign w:val="subscript"/>
        </w:rPr>
        <w:t>OW</w:t>
      </w:r>
    </w:p>
    <w:p w:rsidR="001D41E2" w:rsidRPr="004B7EF4" w:rsidRDefault="001D41E2" w:rsidP="009D5BB4">
      <w:pPr>
        <w:pStyle w:val="BodyText"/>
        <w:spacing w:before="240"/>
        <w:rPr>
          <w:lang w:val="en-US"/>
        </w:rPr>
      </w:pPr>
      <w:r>
        <w:rPr>
          <w:lang w:val="en-US"/>
        </w:rPr>
        <w:t>T</w:t>
      </w:r>
      <w:r w:rsidRPr="004B7EF4">
        <w:rPr>
          <w:lang w:val="en-US"/>
        </w:rPr>
        <w:t xml:space="preserve">he </w:t>
      </w:r>
      <w:r>
        <w:rPr>
          <w:lang w:val="en-US"/>
        </w:rPr>
        <w:t xml:space="preserve">calculated </w:t>
      </w:r>
      <w:r w:rsidRPr="004B7EF4">
        <w:rPr>
          <w:lang w:val="en-US"/>
        </w:rPr>
        <w:t xml:space="preserve">BCF values </w:t>
      </w:r>
      <w:r>
        <w:rPr>
          <w:lang w:val="en-US"/>
        </w:rPr>
        <w:t>for the sponsored substances (2.3 to 95) indicate</w:t>
      </w:r>
      <w:r w:rsidRPr="004B7EF4">
        <w:rPr>
          <w:lang w:val="en-US"/>
        </w:rPr>
        <w:t xml:space="preserve"> </w:t>
      </w:r>
      <w:r>
        <w:rPr>
          <w:lang w:val="en-US"/>
        </w:rPr>
        <w:t>a low</w:t>
      </w:r>
      <w:r w:rsidR="003660EA">
        <w:rPr>
          <w:lang w:val="en-US"/>
        </w:rPr>
        <w:t xml:space="preserve"> </w:t>
      </w:r>
      <w:r>
        <w:rPr>
          <w:lang w:val="en-US"/>
        </w:rPr>
        <w:t>bioaccumulation potential. The (predominantly calculated) BCF values for the hydrolysis products (1 to 42) indicate a low potential for bioaccumulation.</w:t>
      </w:r>
    </w:p>
    <w:p w:rsidR="001D41E2" w:rsidRPr="004B7EF4" w:rsidRDefault="001D41E2" w:rsidP="000D5EB7">
      <w:pPr>
        <w:pStyle w:val="Heading2"/>
        <w:numPr>
          <w:ilvl w:val="1"/>
          <w:numId w:val="28"/>
        </w:numPr>
        <w:tabs>
          <w:tab w:val="clear" w:pos="1440"/>
        </w:tabs>
        <w:rPr>
          <w:lang w:val="en-US"/>
        </w:rPr>
      </w:pPr>
      <w:bookmarkStart w:id="46" w:name="_Toc264983258"/>
      <w:bookmarkStart w:id="47" w:name="_Toc32726024"/>
      <w:bookmarkStart w:id="48" w:name="_Toc32727207"/>
      <w:bookmarkStart w:id="49" w:name="_Toc43868655"/>
      <w:bookmarkStart w:id="50" w:name="_Toc200358243"/>
      <w:bookmarkStart w:id="51" w:name="_Toc32726038"/>
      <w:bookmarkStart w:id="52" w:name="_Toc32727221"/>
      <w:bookmarkStart w:id="53" w:name="_Toc43868669"/>
      <w:bookmarkStart w:id="54" w:name="_Toc200358256"/>
      <w:bookmarkEnd w:id="42"/>
      <w:bookmarkEnd w:id="43"/>
      <w:bookmarkEnd w:id="44"/>
      <w:bookmarkEnd w:id="45"/>
      <w:r w:rsidRPr="004B7EF4">
        <w:rPr>
          <w:lang w:val="en-US"/>
        </w:rPr>
        <w:t>Human Exposure</w:t>
      </w:r>
      <w:bookmarkEnd w:id="46"/>
    </w:p>
    <w:p w:rsidR="009D5214" w:rsidRDefault="001D41E2">
      <w:pPr>
        <w:pStyle w:val="Heading3"/>
        <w:numPr>
          <w:ilvl w:val="2"/>
          <w:numId w:val="28"/>
        </w:numPr>
        <w:tabs>
          <w:tab w:val="clear" w:pos="1077"/>
          <w:tab w:val="clear" w:pos="1440"/>
          <w:tab w:val="clear" w:pos="2160"/>
        </w:tabs>
        <w:ind w:left="839" w:hanging="839"/>
        <w:rPr>
          <w:lang w:val="en-US"/>
        </w:rPr>
      </w:pPr>
      <w:bookmarkStart w:id="55" w:name="_Toc264983259"/>
      <w:r w:rsidRPr="004B7EF4">
        <w:rPr>
          <w:lang w:val="en-US"/>
        </w:rPr>
        <w:t>Occupational Exposure</w:t>
      </w:r>
      <w:bookmarkEnd w:id="55"/>
    </w:p>
    <w:p w:rsidR="001D41E2" w:rsidRPr="004B7EF4" w:rsidRDefault="001D41E2" w:rsidP="00E45D20">
      <w:pPr>
        <w:pStyle w:val="BodyText"/>
        <w:rPr>
          <w:lang w:val="en-US"/>
        </w:rPr>
      </w:pPr>
      <w:r w:rsidRPr="004C2CEE">
        <w:rPr>
          <w:lang w:val="en-US"/>
        </w:rPr>
        <w:t>Chloroformates are manufactured within enclosed reactors and drums are filled using closed systems. Reactors are housed in enclosed buildings. Occupational exposure is expected to be low because engineering controls (such as room air exchange, local exhaust, automatic phosgene monitoring) and personal protective equipment (respirators, protective rubber suits) are used as standard industry practice to limit occupational exposures during maintenance, cleaning, etc.  Additionally, employees are trained on safe use and handling, as well as emergency procedures in the event of an accident.  Workers’ exposures</w:t>
      </w:r>
      <w:r>
        <w:rPr>
          <w:lang w:val="en-US"/>
        </w:rPr>
        <w:t xml:space="preserve"> at production sites are at or below the detection limit (Table </w:t>
      </w:r>
      <w:r w:rsidR="002F054D">
        <w:rPr>
          <w:lang w:val="en-US"/>
        </w:rPr>
        <w:t>11</w:t>
      </w:r>
      <w:r>
        <w:rPr>
          <w:lang w:val="en-US"/>
        </w:rPr>
        <w:t>).</w:t>
      </w:r>
    </w:p>
    <w:p w:rsidR="001D41E2" w:rsidRPr="004C2CEE" w:rsidRDefault="001D41E2" w:rsidP="00E45D20">
      <w:pPr>
        <w:pStyle w:val="BodyText"/>
        <w:rPr>
          <w:lang w:val="en-US"/>
        </w:rPr>
      </w:pPr>
      <w:r>
        <w:rPr>
          <w:lang w:val="en-US"/>
        </w:rPr>
        <w:t>Industrial c</w:t>
      </w:r>
      <w:r w:rsidRPr="004B7EF4">
        <w:rPr>
          <w:lang w:val="en-US"/>
        </w:rPr>
        <w:t xml:space="preserve">ustomers of these materials use chloroformates solely as chemical intermediates due to their high reactivity.  As first step intermediates, these materials are reacted with nucleophiles containing various functional groups such as oxygen, sulfur and nitrogen.  Available analytical information indicates the residue concentration of chloroformates in final products is expected to be extremely low due to their reactivity. As demonstrated for the nucleophile “water”, hydrolysis </w:t>
      </w:r>
      <w:r>
        <w:rPr>
          <w:lang w:val="en-US"/>
        </w:rPr>
        <w:t>should be</w:t>
      </w:r>
      <w:r w:rsidRPr="004B7EF4">
        <w:rPr>
          <w:lang w:val="en-US"/>
        </w:rPr>
        <w:t xml:space="preserve"> complete </w:t>
      </w:r>
      <w:r w:rsidRPr="004C2CEE">
        <w:rPr>
          <w:lang w:val="en-US"/>
        </w:rPr>
        <w:t>in less than 24 hours with remaining residual levels expected to be below the detection limit.</w:t>
      </w:r>
    </w:p>
    <w:p w:rsidR="001D41E2" w:rsidRPr="001D41E2" w:rsidRDefault="007D3E3E" w:rsidP="00F9565D">
      <w:pPr>
        <w:pStyle w:val="BodyText"/>
        <w:tabs>
          <w:tab w:val="left" w:pos="2750"/>
        </w:tabs>
        <w:rPr>
          <w:lang w:val="en-US"/>
        </w:rPr>
      </w:pPr>
      <w:r w:rsidRPr="007D3E3E">
        <w:rPr>
          <w:lang w:val="en-US"/>
        </w:rPr>
        <w:t>Chloroformates may be used in chromatographic analyses in laboratory settings (Husek, 1998), with some potential for exposure.  Once they are reacted during analysis, exposure is expected to be limited.</w:t>
      </w:r>
    </w:p>
    <w:p w:rsidR="001D41E2" w:rsidRDefault="001D41E2" w:rsidP="00E45D20">
      <w:pPr>
        <w:pStyle w:val="BodyText"/>
        <w:rPr>
          <w:b/>
          <w:bCs/>
          <w:lang w:val="en-US"/>
        </w:rPr>
      </w:pPr>
      <w:r w:rsidRPr="00636111">
        <w:rPr>
          <w:lang w:val="en-US"/>
        </w:rPr>
        <w:t xml:space="preserve">The following </w:t>
      </w:r>
      <w:r>
        <w:rPr>
          <w:lang w:val="en-US"/>
        </w:rPr>
        <w:t>workplace</w:t>
      </w:r>
      <w:r w:rsidRPr="00636111">
        <w:rPr>
          <w:lang w:val="en-US"/>
        </w:rPr>
        <w:t xml:space="preserve"> measurement data have been obtained for the time period from 1.1.2002</w:t>
      </w:r>
      <w:r>
        <w:rPr>
          <w:lang w:val="en-US"/>
        </w:rPr>
        <w:t xml:space="preserve"> </w:t>
      </w:r>
      <w:r w:rsidRPr="00636111">
        <w:rPr>
          <w:lang w:val="en-US"/>
        </w:rPr>
        <w:t xml:space="preserve">to 1.12.2007. Workplace exposure </w:t>
      </w:r>
      <w:r>
        <w:rPr>
          <w:lang w:val="en-US"/>
        </w:rPr>
        <w:t>for</w:t>
      </w:r>
      <w:r w:rsidRPr="00636111">
        <w:rPr>
          <w:lang w:val="en-US"/>
        </w:rPr>
        <w:t xml:space="preserve"> less volatile CF is expected to be significantly lower. Due to the low number of single values a statistical evaluation is not reasonable (BASF</w:t>
      </w:r>
      <w:r>
        <w:rPr>
          <w:lang w:val="en-US"/>
        </w:rPr>
        <w:t>,</w:t>
      </w:r>
      <w:r w:rsidRPr="00636111">
        <w:rPr>
          <w:lang w:val="en-US"/>
        </w:rPr>
        <w:t xml:space="preserve"> 2007c).</w:t>
      </w:r>
      <w:r w:rsidRPr="006A22BB">
        <w:rPr>
          <w:b/>
          <w:bCs/>
          <w:lang w:val="en-US"/>
        </w:rPr>
        <w:t xml:space="preserve"> </w:t>
      </w:r>
    </w:p>
    <w:p w:rsidR="001D41E2" w:rsidRPr="00685752" w:rsidRDefault="001D41E2" w:rsidP="009D5BB4">
      <w:pPr>
        <w:pStyle w:val="Caption"/>
        <w:ind w:left="0"/>
        <w:rPr>
          <w:rFonts w:ascii="Times New Roman" w:hAnsi="Times New Roman" w:cs="Times New Roman"/>
          <w:bCs w:val="0"/>
        </w:rPr>
      </w:pPr>
      <w:bookmarkStart w:id="56" w:name="_Toc264983287"/>
      <w:r w:rsidRPr="00685752">
        <w:t xml:space="preserve">Table </w:t>
      </w:r>
      <w:r w:rsidR="00685752">
        <w:t>11</w:t>
      </w:r>
      <w:r w:rsidR="007D3E3E" w:rsidRPr="007D3E3E">
        <w:rPr>
          <w:bCs w:val="0"/>
        </w:rPr>
        <w:t xml:space="preserve">   </w:t>
      </w:r>
      <w:r w:rsidR="009D5BB4">
        <w:rPr>
          <w:bCs w:val="0"/>
        </w:rPr>
        <w:t xml:space="preserve"> </w:t>
      </w:r>
      <w:r w:rsidR="007D3E3E" w:rsidRPr="007D3E3E">
        <w:rPr>
          <w:rFonts w:ascii="Times New Roman" w:hAnsi="Times New Roman" w:cs="Times New Roman"/>
          <w:bCs w:val="0"/>
        </w:rPr>
        <w:t>Workplace Measurement Data</w:t>
      </w:r>
      <w:bookmarkEnd w:id="56"/>
      <w:r w:rsidR="007D3E3E" w:rsidRPr="007D3E3E">
        <w:rPr>
          <w:rFonts w:ascii="Times New Roman" w:hAnsi="Times New Roman" w:cs="Times New Roman"/>
          <w:bCs w:val="0"/>
        </w:rPr>
        <w:t xml:space="preserve"> </w:t>
      </w:r>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49"/>
        <w:gridCol w:w="1826"/>
        <w:gridCol w:w="2888"/>
        <w:gridCol w:w="3192"/>
      </w:tblGrid>
      <w:tr w:rsidR="001D41E2" w:rsidRPr="009D5BB4" w:rsidTr="009D5BB4">
        <w:tc>
          <w:tcPr>
            <w:tcW w:w="1949" w:type="dxa"/>
            <w:tcBorders>
              <w:top w:val="single" w:sz="12" w:space="0" w:color="auto"/>
              <w:bottom w:val="single" w:sz="12" w:space="0" w:color="auto"/>
            </w:tcBorders>
            <w:vAlign w:val="center"/>
          </w:tcPr>
          <w:p w:rsidR="001D41E2" w:rsidRPr="009D5BB4" w:rsidRDefault="001D41E2" w:rsidP="009C4680">
            <w:pPr>
              <w:pStyle w:val="Tabletext"/>
              <w:jc w:val="center"/>
              <w:rPr>
                <w:b/>
              </w:rPr>
            </w:pPr>
          </w:p>
        </w:tc>
        <w:tc>
          <w:tcPr>
            <w:tcW w:w="1826" w:type="dxa"/>
            <w:tcBorders>
              <w:top w:val="single" w:sz="12" w:space="0" w:color="auto"/>
              <w:bottom w:val="single" w:sz="12" w:space="0" w:color="auto"/>
            </w:tcBorders>
            <w:vAlign w:val="center"/>
          </w:tcPr>
          <w:p w:rsidR="001D41E2" w:rsidRPr="009D5BB4" w:rsidRDefault="001D41E2" w:rsidP="009C4680">
            <w:pPr>
              <w:pStyle w:val="Tabletext"/>
              <w:jc w:val="center"/>
              <w:rPr>
                <w:b/>
              </w:rPr>
            </w:pPr>
            <w:r w:rsidRPr="009D5BB4">
              <w:rPr>
                <w:b/>
              </w:rPr>
              <w:t>Total number of samples</w:t>
            </w:r>
          </w:p>
        </w:tc>
        <w:tc>
          <w:tcPr>
            <w:tcW w:w="2888" w:type="dxa"/>
            <w:tcBorders>
              <w:top w:val="single" w:sz="12" w:space="0" w:color="auto"/>
              <w:bottom w:val="single" w:sz="12" w:space="0" w:color="auto"/>
            </w:tcBorders>
            <w:vAlign w:val="center"/>
          </w:tcPr>
          <w:p w:rsidR="001D41E2" w:rsidRPr="009D5BB4" w:rsidRDefault="001D41E2" w:rsidP="009C4680">
            <w:pPr>
              <w:pStyle w:val="Tabletext"/>
              <w:jc w:val="center"/>
              <w:rPr>
                <w:b/>
              </w:rPr>
            </w:pPr>
            <w:r w:rsidRPr="009D5BB4">
              <w:rPr>
                <w:b/>
              </w:rPr>
              <w:t>Range of values:</w:t>
            </w:r>
          </w:p>
        </w:tc>
        <w:tc>
          <w:tcPr>
            <w:tcW w:w="3192" w:type="dxa"/>
            <w:tcBorders>
              <w:top w:val="single" w:sz="12" w:space="0" w:color="auto"/>
              <w:bottom w:val="single" w:sz="12" w:space="0" w:color="auto"/>
            </w:tcBorders>
            <w:vAlign w:val="center"/>
          </w:tcPr>
          <w:p w:rsidR="001D41E2" w:rsidRPr="009D5BB4" w:rsidRDefault="001D41E2" w:rsidP="009C4680">
            <w:pPr>
              <w:pStyle w:val="Tabletext"/>
              <w:jc w:val="center"/>
              <w:rPr>
                <w:b/>
              </w:rPr>
            </w:pPr>
            <w:r w:rsidRPr="009D5BB4">
              <w:rPr>
                <w:b/>
              </w:rPr>
              <w:t>Remarks</w:t>
            </w:r>
          </w:p>
        </w:tc>
      </w:tr>
      <w:tr w:rsidR="001D41E2" w:rsidTr="009D5BB4">
        <w:tc>
          <w:tcPr>
            <w:tcW w:w="1949" w:type="dxa"/>
            <w:tcBorders>
              <w:top w:val="single" w:sz="12" w:space="0" w:color="auto"/>
            </w:tcBorders>
            <w:vAlign w:val="center"/>
          </w:tcPr>
          <w:p w:rsidR="001D41E2" w:rsidRPr="00CE2086" w:rsidRDefault="001D41E2" w:rsidP="009C4680">
            <w:pPr>
              <w:pStyle w:val="Tabletext"/>
              <w:jc w:val="center"/>
            </w:pPr>
            <w:r>
              <w:t>MeCF</w:t>
            </w:r>
          </w:p>
        </w:tc>
        <w:tc>
          <w:tcPr>
            <w:tcW w:w="1826" w:type="dxa"/>
            <w:tcBorders>
              <w:top w:val="single" w:sz="12" w:space="0" w:color="auto"/>
            </w:tcBorders>
            <w:vAlign w:val="center"/>
          </w:tcPr>
          <w:p w:rsidR="001D41E2" w:rsidRPr="00CE2086" w:rsidRDefault="001D41E2" w:rsidP="009C4680">
            <w:pPr>
              <w:pStyle w:val="Tabletext"/>
              <w:jc w:val="center"/>
            </w:pPr>
            <w:r w:rsidRPr="00CE2086">
              <w:t>9</w:t>
            </w:r>
          </w:p>
        </w:tc>
        <w:tc>
          <w:tcPr>
            <w:tcW w:w="2888" w:type="dxa"/>
            <w:tcBorders>
              <w:top w:val="single" w:sz="12" w:space="0" w:color="auto"/>
            </w:tcBorders>
            <w:vAlign w:val="center"/>
          </w:tcPr>
          <w:p w:rsidR="001D41E2" w:rsidRPr="00CE2086" w:rsidRDefault="001D41E2" w:rsidP="009C4680">
            <w:pPr>
              <w:pStyle w:val="Tabletext"/>
              <w:jc w:val="center"/>
            </w:pPr>
            <w:r>
              <w:t>&lt; 0.</w:t>
            </w:r>
            <w:r w:rsidRPr="00CE2086">
              <w:t>0036 to 0</w:t>
            </w:r>
            <w:r>
              <w:t>.</w:t>
            </w:r>
            <w:r w:rsidRPr="00CE2086">
              <w:t>27 mg/m3</w:t>
            </w:r>
          </w:p>
          <w:p w:rsidR="001D41E2" w:rsidRPr="00CE2086" w:rsidRDefault="001D41E2" w:rsidP="009C4680">
            <w:pPr>
              <w:pStyle w:val="Tabletext"/>
              <w:jc w:val="center"/>
            </w:pPr>
          </w:p>
        </w:tc>
        <w:tc>
          <w:tcPr>
            <w:tcW w:w="3192" w:type="dxa"/>
            <w:tcBorders>
              <w:top w:val="single" w:sz="12" w:space="0" w:color="auto"/>
            </w:tcBorders>
            <w:vAlign w:val="center"/>
          </w:tcPr>
          <w:p w:rsidR="001D41E2" w:rsidRPr="00CE2086" w:rsidRDefault="001D41E2" w:rsidP="009C4680">
            <w:pPr>
              <w:pStyle w:val="Tabletext"/>
            </w:pPr>
            <w:r w:rsidRPr="00CE2086">
              <w:t>Includes 6 8h shift average values and 3 short-term measurements.</w:t>
            </w:r>
          </w:p>
        </w:tc>
      </w:tr>
      <w:tr w:rsidR="001D41E2" w:rsidTr="009D5BB4">
        <w:tc>
          <w:tcPr>
            <w:tcW w:w="1949" w:type="dxa"/>
            <w:vAlign w:val="center"/>
          </w:tcPr>
          <w:p w:rsidR="001D41E2" w:rsidRPr="00CE2086" w:rsidRDefault="001D41E2" w:rsidP="009C4680">
            <w:pPr>
              <w:pStyle w:val="Tabletext"/>
              <w:jc w:val="center"/>
            </w:pPr>
            <w:r>
              <w:t>EtCF</w:t>
            </w:r>
          </w:p>
        </w:tc>
        <w:tc>
          <w:tcPr>
            <w:tcW w:w="1826" w:type="dxa"/>
            <w:vAlign w:val="center"/>
          </w:tcPr>
          <w:p w:rsidR="001D41E2" w:rsidRPr="00CE2086" w:rsidRDefault="001D41E2" w:rsidP="009C4680">
            <w:pPr>
              <w:pStyle w:val="Tabletext"/>
              <w:jc w:val="center"/>
            </w:pPr>
            <w:r w:rsidRPr="00CE2086">
              <w:t>12</w:t>
            </w:r>
          </w:p>
        </w:tc>
        <w:tc>
          <w:tcPr>
            <w:tcW w:w="2888" w:type="dxa"/>
            <w:vAlign w:val="center"/>
          </w:tcPr>
          <w:p w:rsidR="001D41E2" w:rsidRPr="00CE2086" w:rsidRDefault="001D41E2" w:rsidP="009C4680">
            <w:pPr>
              <w:pStyle w:val="Tabletext"/>
              <w:jc w:val="center"/>
            </w:pPr>
            <w:r>
              <w:t>&lt; 0.</w:t>
            </w:r>
            <w:r w:rsidRPr="00CE2086">
              <w:t>0013 to 0</w:t>
            </w:r>
            <w:r>
              <w:t>.</w:t>
            </w:r>
            <w:r w:rsidRPr="00CE2086">
              <w:t xml:space="preserve">6 mg/m3    </w:t>
            </w:r>
            <w:r>
              <w:t xml:space="preserve">    </w:t>
            </w:r>
            <w:r w:rsidRPr="00CE2086">
              <w:t>(all below detection limit)</w:t>
            </w:r>
          </w:p>
        </w:tc>
        <w:tc>
          <w:tcPr>
            <w:tcW w:w="3192" w:type="dxa"/>
            <w:vAlign w:val="center"/>
          </w:tcPr>
          <w:p w:rsidR="001D41E2" w:rsidRPr="00CE2086" w:rsidRDefault="001D41E2" w:rsidP="009C4680">
            <w:pPr>
              <w:pStyle w:val="Tabletext"/>
            </w:pPr>
            <w:r w:rsidRPr="00CE2086">
              <w:t>Includes 9 8h shift average values and 3 short-term measurements.</w:t>
            </w:r>
          </w:p>
        </w:tc>
      </w:tr>
      <w:tr w:rsidR="001D41E2" w:rsidTr="009D5BB4">
        <w:tc>
          <w:tcPr>
            <w:tcW w:w="1949" w:type="dxa"/>
            <w:vAlign w:val="center"/>
          </w:tcPr>
          <w:p w:rsidR="001D41E2" w:rsidRPr="00CE2086" w:rsidRDefault="001D41E2" w:rsidP="009C4680">
            <w:pPr>
              <w:pStyle w:val="Tabletext"/>
              <w:jc w:val="center"/>
            </w:pPr>
            <w:r>
              <w:t>PrCF</w:t>
            </w:r>
            <w:r w:rsidRPr="00CE2086">
              <w:t xml:space="preserve"> </w:t>
            </w:r>
          </w:p>
        </w:tc>
        <w:tc>
          <w:tcPr>
            <w:tcW w:w="1826" w:type="dxa"/>
            <w:vAlign w:val="center"/>
          </w:tcPr>
          <w:p w:rsidR="001D41E2" w:rsidRPr="00CE2086" w:rsidRDefault="001D41E2" w:rsidP="009C4680">
            <w:pPr>
              <w:pStyle w:val="Tabletext"/>
              <w:jc w:val="center"/>
            </w:pPr>
            <w:r w:rsidRPr="00CE2086">
              <w:t>8</w:t>
            </w:r>
          </w:p>
        </w:tc>
        <w:tc>
          <w:tcPr>
            <w:tcW w:w="2888" w:type="dxa"/>
            <w:vAlign w:val="center"/>
          </w:tcPr>
          <w:p w:rsidR="001D41E2" w:rsidRPr="00CE2086" w:rsidRDefault="001D41E2" w:rsidP="009C4680">
            <w:pPr>
              <w:pStyle w:val="Tabletext"/>
              <w:jc w:val="center"/>
            </w:pPr>
            <w:r>
              <w:t>&lt; 0.</w:t>
            </w:r>
            <w:r w:rsidRPr="00CE2086">
              <w:t>0022 to &lt; 0</w:t>
            </w:r>
            <w:r>
              <w:t>.</w:t>
            </w:r>
            <w:r w:rsidRPr="00CE2086">
              <w:t>012 mg/m3 (all below detection limit)</w:t>
            </w:r>
          </w:p>
        </w:tc>
        <w:tc>
          <w:tcPr>
            <w:tcW w:w="3192" w:type="dxa"/>
            <w:vAlign w:val="center"/>
          </w:tcPr>
          <w:p w:rsidR="001D41E2" w:rsidRPr="00CE2086" w:rsidRDefault="001D41E2" w:rsidP="009C4680">
            <w:pPr>
              <w:pStyle w:val="Tabletext"/>
            </w:pPr>
            <w:r w:rsidRPr="00CE2086">
              <w:t>Includes 5 8h shift average values and 3 short-term measurements.</w:t>
            </w:r>
          </w:p>
        </w:tc>
      </w:tr>
    </w:tbl>
    <w:p w:rsidR="009D5214" w:rsidRDefault="001D41E2">
      <w:pPr>
        <w:pStyle w:val="Heading3"/>
        <w:numPr>
          <w:ilvl w:val="2"/>
          <w:numId w:val="28"/>
        </w:numPr>
        <w:tabs>
          <w:tab w:val="clear" w:pos="1077"/>
          <w:tab w:val="clear" w:pos="1440"/>
          <w:tab w:val="clear" w:pos="2160"/>
        </w:tabs>
        <w:ind w:left="839" w:hanging="839"/>
        <w:rPr>
          <w:lang w:val="en-US"/>
        </w:rPr>
      </w:pPr>
      <w:bookmarkStart w:id="57" w:name="_Toc264983260"/>
      <w:r w:rsidRPr="004B7EF4">
        <w:rPr>
          <w:lang w:val="en-US"/>
        </w:rPr>
        <w:t>Consumer Exposure</w:t>
      </w:r>
      <w:bookmarkEnd w:id="57"/>
    </w:p>
    <w:p w:rsidR="001D41E2" w:rsidRPr="001D41E2" w:rsidRDefault="007D3E3E" w:rsidP="00F9565D">
      <w:pPr>
        <w:pStyle w:val="BodyText"/>
        <w:tabs>
          <w:tab w:val="left" w:pos="2750"/>
        </w:tabs>
        <w:rPr>
          <w:lang w:val="en-US"/>
        </w:rPr>
      </w:pPr>
      <w:r w:rsidRPr="007D3E3E">
        <w:rPr>
          <w:lang w:val="en-US"/>
        </w:rPr>
        <w:t>Chloroformates are not used in consumer products and therefore, exposure is not expected. Any residual content is expected to be very low.</w:t>
      </w:r>
    </w:p>
    <w:p w:rsidR="009D5214" w:rsidRDefault="001D41E2">
      <w:pPr>
        <w:pStyle w:val="Heading1"/>
        <w:numPr>
          <w:ilvl w:val="0"/>
          <w:numId w:val="28"/>
        </w:numPr>
        <w:tabs>
          <w:tab w:val="clear" w:pos="1077"/>
        </w:tabs>
        <w:ind w:left="839" w:hanging="839"/>
        <w:rPr>
          <w:lang w:val="en-US"/>
        </w:rPr>
      </w:pPr>
      <w:bookmarkStart w:id="58" w:name="_Toc264983261"/>
      <w:r w:rsidRPr="004B7EF4">
        <w:rPr>
          <w:lang w:val="en-US"/>
        </w:rPr>
        <w:t>human health hazards</w:t>
      </w:r>
      <w:bookmarkEnd w:id="58"/>
    </w:p>
    <w:p w:rsidR="001D41E2" w:rsidRDefault="001D41E2" w:rsidP="00F357B8">
      <w:pPr>
        <w:pStyle w:val="BodyText"/>
        <w:rPr>
          <w:lang w:val="en-US"/>
        </w:rPr>
      </w:pPr>
      <w:r>
        <w:rPr>
          <w:lang w:val="en-US"/>
        </w:rPr>
        <w:t>For human health,</w:t>
      </w:r>
      <w:r w:rsidRPr="004B7EF4">
        <w:rPr>
          <w:lang w:val="en-US"/>
        </w:rPr>
        <w:t xml:space="preserve"> the chloroformates MeCF, EtCF, PrCF, IpCF, sBCF, ObCF</w:t>
      </w:r>
      <w:r>
        <w:rPr>
          <w:lang w:val="en-US"/>
        </w:rPr>
        <w:t xml:space="preserve">, </w:t>
      </w:r>
      <w:r w:rsidRPr="004B7EF4">
        <w:rPr>
          <w:lang w:val="en-US"/>
        </w:rPr>
        <w:t xml:space="preserve">and EhCF react </w:t>
      </w:r>
      <w:r>
        <w:rPr>
          <w:lang w:val="en-US"/>
        </w:rPr>
        <w:t>and/or hydrolyze</w:t>
      </w:r>
      <w:r w:rsidRPr="004B7EF4">
        <w:rPr>
          <w:lang w:val="en-US"/>
        </w:rPr>
        <w:t xml:space="preserve"> human tissue at the port</w:t>
      </w:r>
      <w:r>
        <w:rPr>
          <w:lang w:val="en-US"/>
        </w:rPr>
        <w:t>al</w:t>
      </w:r>
      <w:r w:rsidRPr="004B7EF4">
        <w:rPr>
          <w:lang w:val="en-US"/>
        </w:rPr>
        <w:t xml:space="preserve"> of entry </w:t>
      </w:r>
      <w:r>
        <w:rPr>
          <w:lang w:val="en-US"/>
        </w:rPr>
        <w:t>resulting in localized injury</w:t>
      </w:r>
      <w:r w:rsidRPr="004B7EF4">
        <w:rPr>
          <w:lang w:val="en-US"/>
        </w:rPr>
        <w:t xml:space="preserve">.  </w:t>
      </w:r>
      <w:r>
        <w:rPr>
          <w:lang w:val="en-US"/>
        </w:rPr>
        <w:t>Systemic absorption is expected to be low.  However, d</w:t>
      </w:r>
      <w:r w:rsidRPr="004B7EF4">
        <w:rPr>
          <w:lang w:val="en-US"/>
        </w:rPr>
        <w:t xml:space="preserve">ata from </w:t>
      </w:r>
      <w:r>
        <w:rPr>
          <w:lang w:val="en-US"/>
        </w:rPr>
        <w:t>HCl and the corresponding alcohols are available to address potential systemic toxicity and</w:t>
      </w:r>
      <w:r w:rsidRPr="004B7EF4">
        <w:rPr>
          <w:lang w:val="en-US"/>
        </w:rPr>
        <w:t xml:space="preserve"> the</w:t>
      </w:r>
      <w:r>
        <w:rPr>
          <w:lang w:val="en-US"/>
        </w:rPr>
        <w:t xml:space="preserve"> reproductive toxicity endpoint for the chloroformates category.</w:t>
      </w:r>
    </w:p>
    <w:p w:rsidR="001D41E2" w:rsidRPr="004B7EF4" w:rsidRDefault="001D41E2" w:rsidP="00F357B8">
      <w:pPr>
        <w:pStyle w:val="Heading2"/>
        <w:numPr>
          <w:ilvl w:val="1"/>
          <w:numId w:val="28"/>
        </w:numPr>
        <w:tabs>
          <w:tab w:val="clear" w:pos="1440"/>
        </w:tabs>
        <w:rPr>
          <w:lang w:val="en-US"/>
        </w:rPr>
      </w:pPr>
      <w:bookmarkStart w:id="59" w:name="_Toc264983262"/>
      <w:r w:rsidRPr="004B7EF4">
        <w:rPr>
          <w:lang w:val="en-US"/>
        </w:rPr>
        <w:t>Effects on Human Health</w:t>
      </w:r>
      <w:bookmarkEnd w:id="59"/>
    </w:p>
    <w:p w:rsidR="009D5214" w:rsidRDefault="001D41E2">
      <w:pPr>
        <w:pStyle w:val="Heading3"/>
        <w:numPr>
          <w:ilvl w:val="2"/>
          <w:numId w:val="28"/>
        </w:numPr>
        <w:tabs>
          <w:tab w:val="clear" w:pos="1077"/>
          <w:tab w:val="clear" w:pos="1440"/>
          <w:tab w:val="clear" w:pos="2160"/>
        </w:tabs>
        <w:ind w:left="839" w:hanging="839"/>
        <w:rPr>
          <w:lang w:val="en-US"/>
        </w:rPr>
      </w:pPr>
      <w:bookmarkStart w:id="60" w:name="_Toc264983263"/>
      <w:r w:rsidRPr="004B7EF4">
        <w:rPr>
          <w:lang w:val="en-US"/>
        </w:rPr>
        <w:t>Toxicokinetics, Metabolism and Distribution</w:t>
      </w:r>
      <w:bookmarkEnd w:id="60"/>
    </w:p>
    <w:p w:rsidR="009D5214" w:rsidRDefault="001D41E2">
      <w:pPr>
        <w:pStyle w:val="BodyText"/>
        <w:spacing w:after="0"/>
        <w:rPr>
          <w:lang w:val="en-US"/>
        </w:rPr>
      </w:pPr>
      <w:r>
        <w:rPr>
          <w:lang w:val="en-US"/>
        </w:rPr>
        <w:t>No toxicokinetics data are available on the sponsored substances.  However</w:t>
      </w:r>
      <w:r w:rsidRPr="0063018D">
        <w:rPr>
          <w:lang w:val="en-US"/>
        </w:rPr>
        <w:t>,</w:t>
      </w:r>
      <w:r>
        <w:rPr>
          <w:lang w:val="en-US"/>
        </w:rPr>
        <w:t xml:space="preserve"> hydrolysis of</w:t>
      </w:r>
      <w:r w:rsidRPr="0063018D">
        <w:rPr>
          <w:lang w:val="en-US"/>
        </w:rPr>
        <w:t xml:space="preserve"> the</w:t>
      </w:r>
      <w:r>
        <w:rPr>
          <w:lang w:val="en-US"/>
        </w:rPr>
        <w:t>se</w:t>
      </w:r>
      <w:r w:rsidRPr="0063018D">
        <w:rPr>
          <w:lang w:val="en-US"/>
        </w:rPr>
        <w:t xml:space="preserve"> sponsored substances </w:t>
      </w:r>
      <w:r>
        <w:rPr>
          <w:lang w:val="en-US"/>
        </w:rPr>
        <w:t xml:space="preserve">is expected </w:t>
      </w:r>
      <w:r w:rsidRPr="0063018D">
        <w:rPr>
          <w:lang w:val="en-US"/>
        </w:rPr>
        <w:t xml:space="preserve">to </w:t>
      </w:r>
      <w:r>
        <w:rPr>
          <w:lang w:val="en-US"/>
        </w:rPr>
        <w:t>produce</w:t>
      </w:r>
      <w:r w:rsidRPr="0063018D">
        <w:rPr>
          <w:lang w:val="en-US"/>
        </w:rPr>
        <w:t xml:space="preserve"> hydrochloric acid (HCl), CO</w:t>
      </w:r>
      <w:r w:rsidRPr="0063018D">
        <w:rPr>
          <w:vertAlign w:val="subscript"/>
          <w:lang w:val="en-US"/>
        </w:rPr>
        <w:t>2</w:t>
      </w:r>
      <w:r w:rsidRPr="0063018D">
        <w:rPr>
          <w:lang w:val="en-US"/>
        </w:rPr>
        <w:t xml:space="preserve"> and the corresponding alcohol</w:t>
      </w:r>
      <w:r>
        <w:rPr>
          <w:lang w:val="en-US"/>
        </w:rPr>
        <w:t>s</w:t>
      </w:r>
      <w:r w:rsidRPr="0063018D">
        <w:rPr>
          <w:lang w:val="en-US"/>
        </w:rPr>
        <w:t>.</w:t>
      </w:r>
      <w:r>
        <w:rPr>
          <w:lang w:val="en-US"/>
        </w:rPr>
        <w:t xml:space="preserve">  </w:t>
      </w:r>
      <w:r w:rsidR="005A7522">
        <w:rPr>
          <w:lang w:val="en-US"/>
        </w:rPr>
        <w:t xml:space="preserve"> </w:t>
      </w:r>
    </w:p>
    <w:p w:rsidR="009D5214" w:rsidRDefault="009D5214">
      <w:pPr>
        <w:pStyle w:val="BodyText"/>
        <w:spacing w:after="0"/>
        <w:rPr>
          <w:lang w:val="en-US"/>
        </w:rPr>
      </w:pPr>
    </w:p>
    <w:p w:rsidR="001D41E2" w:rsidRPr="004B7EF4" w:rsidRDefault="001D41E2" w:rsidP="00F357B8">
      <w:pPr>
        <w:pStyle w:val="Heading8"/>
        <w:rPr>
          <w:lang w:val="en-US"/>
        </w:rPr>
      </w:pPr>
      <w:r w:rsidRPr="004B7EF4">
        <w:rPr>
          <w:lang w:val="en-US"/>
        </w:rPr>
        <w:t>Studies in Animals</w:t>
      </w:r>
    </w:p>
    <w:p w:rsidR="001D41E2" w:rsidRPr="004B7EF4" w:rsidRDefault="001D41E2" w:rsidP="00F357B8">
      <w:pPr>
        <w:pStyle w:val="BodyText"/>
        <w:rPr>
          <w:lang w:val="en-US"/>
        </w:rPr>
      </w:pPr>
      <w:r w:rsidRPr="004B7EF4">
        <w:rPr>
          <w:lang w:val="en-US"/>
        </w:rPr>
        <w:t>No data available.</w:t>
      </w:r>
    </w:p>
    <w:p w:rsidR="001D41E2" w:rsidRPr="004B7EF4" w:rsidRDefault="001D41E2" w:rsidP="00F357B8">
      <w:pPr>
        <w:pStyle w:val="Heading8"/>
        <w:rPr>
          <w:lang w:val="en-US"/>
        </w:rPr>
      </w:pPr>
      <w:r w:rsidRPr="004B7EF4">
        <w:rPr>
          <w:lang w:val="en-US"/>
        </w:rPr>
        <w:t>Studies in Humans</w:t>
      </w:r>
    </w:p>
    <w:p w:rsidR="001D41E2" w:rsidRDefault="001D41E2" w:rsidP="00F357B8">
      <w:pPr>
        <w:pStyle w:val="BodyText"/>
        <w:rPr>
          <w:lang w:val="en-US"/>
        </w:rPr>
      </w:pPr>
      <w:r w:rsidRPr="004B7EF4">
        <w:rPr>
          <w:lang w:val="en-US"/>
        </w:rPr>
        <w:t>No data available.</w:t>
      </w:r>
    </w:p>
    <w:p w:rsidR="009D5214" w:rsidRDefault="001D41E2">
      <w:pPr>
        <w:pStyle w:val="Heading3"/>
        <w:numPr>
          <w:ilvl w:val="2"/>
          <w:numId w:val="28"/>
        </w:numPr>
        <w:tabs>
          <w:tab w:val="clear" w:pos="1077"/>
          <w:tab w:val="clear" w:pos="1440"/>
          <w:tab w:val="clear" w:pos="2160"/>
        </w:tabs>
        <w:ind w:left="839" w:hanging="839"/>
        <w:rPr>
          <w:lang w:val="en-US"/>
        </w:rPr>
      </w:pPr>
      <w:bookmarkStart w:id="61" w:name="_GoBack"/>
      <w:bookmarkStart w:id="62" w:name="_Toc264983264"/>
      <w:bookmarkEnd w:id="61"/>
      <w:r w:rsidRPr="004B7EF4">
        <w:rPr>
          <w:lang w:val="en-US"/>
        </w:rPr>
        <w:t>Acute Toxicity</w:t>
      </w:r>
      <w:bookmarkEnd w:id="62"/>
    </w:p>
    <w:p w:rsidR="001D41E2" w:rsidRPr="00A62D0C" w:rsidRDefault="001D41E2" w:rsidP="00F357B8">
      <w:r w:rsidRPr="00A62D0C">
        <w:t>Acute toxicity data by the inhalation, dermal, and</w:t>
      </w:r>
      <w:r>
        <w:t>/or</w:t>
      </w:r>
      <w:r w:rsidRPr="00A62D0C">
        <w:t xml:space="preserve"> oral route of exposure are available for all category members. </w:t>
      </w:r>
    </w:p>
    <w:p w:rsidR="001D41E2" w:rsidRDefault="001D41E2" w:rsidP="00F357B8">
      <w:pPr>
        <w:pStyle w:val="Heading8"/>
        <w:rPr>
          <w:lang w:val="en-US"/>
        </w:rPr>
      </w:pPr>
    </w:p>
    <w:p w:rsidR="001D41E2" w:rsidRPr="004B7EF4" w:rsidRDefault="001D41E2" w:rsidP="00F357B8">
      <w:pPr>
        <w:pStyle w:val="Heading8"/>
        <w:rPr>
          <w:lang w:val="en-US"/>
        </w:rPr>
      </w:pPr>
      <w:r w:rsidRPr="004B7EF4">
        <w:rPr>
          <w:lang w:val="en-US"/>
        </w:rPr>
        <w:t>Studies in Animals</w:t>
      </w:r>
    </w:p>
    <w:p w:rsidR="001D41E2" w:rsidRDefault="001D41E2" w:rsidP="00F357B8">
      <w:pPr>
        <w:pStyle w:val="Heading9"/>
        <w:rPr>
          <w:lang w:val="en-US"/>
        </w:rPr>
      </w:pPr>
      <w:r w:rsidRPr="004B7EF4">
        <w:rPr>
          <w:lang w:val="en-US"/>
        </w:rPr>
        <w:t>Inhalation</w:t>
      </w:r>
    </w:p>
    <w:p w:rsidR="001D41E2" w:rsidRPr="004B7EF4" w:rsidRDefault="001D41E2" w:rsidP="00F357B8">
      <w:pPr>
        <w:pStyle w:val="BodyText"/>
        <w:rPr>
          <w:b/>
          <w:bCs/>
          <w:i/>
          <w:iCs/>
          <w:lang w:val="en-US"/>
        </w:rPr>
      </w:pPr>
      <w:r w:rsidRPr="004B7EF4">
        <w:rPr>
          <w:b/>
          <w:bCs/>
          <w:i/>
          <w:iCs/>
          <w:lang w:val="en-US"/>
        </w:rPr>
        <w:t>Sponsored substances</w:t>
      </w:r>
    </w:p>
    <w:p w:rsidR="001D41E2" w:rsidRPr="004B7EF4" w:rsidRDefault="001D41E2" w:rsidP="00F357B8">
      <w:pPr>
        <w:spacing w:after="240"/>
        <w:jc w:val="both"/>
      </w:pPr>
      <w:r w:rsidRPr="004B7EF4">
        <w:rPr>
          <w:b/>
          <w:bCs/>
          <w:i/>
          <w:iCs/>
          <w:lang w:eastAsia="de-DE"/>
        </w:rPr>
        <w:t xml:space="preserve">MeCF: </w:t>
      </w:r>
      <w:r w:rsidRPr="004B7EF4">
        <w:rPr>
          <w:lang w:eastAsia="de-DE"/>
        </w:rPr>
        <w:t xml:space="preserve">In an inhalation study comparable to OECD </w:t>
      </w:r>
      <w:r>
        <w:rPr>
          <w:lang w:eastAsia="de-DE"/>
        </w:rPr>
        <w:t>TG</w:t>
      </w:r>
      <w:r w:rsidRPr="004B7EF4">
        <w:rPr>
          <w:lang w:eastAsia="de-DE"/>
        </w:rPr>
        <w:t xml:space="preserve"> 403</w:t>
      </w:r>
      <w:r>
        <w:rPr>
          <w:lang w:eastAsia="de-DE"/>
        </w:rPr>
        <w:t>,</w:t>
      </w:r>
      <w:r w:rsidRPr="004B7EF4">
        <w:rPr>
          <w:lang w:eastAsia="de-DE"/>
        </w:rPr>
        <w:t xml:space="preserve"> </w:t>
      </w:r>
      <w:r w:rsidRPr="00E84865">
        <w:t>Sprague-Dawley</w:t>
      </w:r>
      <w:r>
        <w:t xml:space="preserve"> </w:t>
      </w:r>
      <w:r w:rsidRPr="004B7EF4">
        <w:t>rats</w:t>
      </w:r>
      <w:r>
        <w:t xml:space="preserve"> (10</w:t>
      </w:r>
      <w:r w:rsidRPr="004B7EF4">
        <w:t>/sex/dose</w:t>
      </w:r>
      <w:r>
        <w:t>)</w:t>
      </w:r>
      <w:r w:rsidRPr="004B7EF4">
        <w:t xml:space="preserve"> were exposed by</w:t>
      </w:r>
      <w:r>
        <w:t xml:space="preserve"> whole-body</w:t>
      </w:r>
      <w:r w:rsidRPr="004B7EF4">
        <w:t xml:space="preserve"> inhalation for 4 hours to 0.006, 0.053, 0.120 </w:t>
      </w:r>
      <w:r>
        <w:t xml:space="preserve">or </w:t>
      </w:r>
      <w:r w:rsidRPr="004B7EF4">
        <w:t xml:space="preserve">0.130 mg/L </w:t>
      </w:r>
      <w:r>
        <w:t xml:space="preserve">MeCF </w:t>
      </w:r>
      <w:r w:rsidRPr="004B7EF4">
        <w:t>vapor (analytical concentration). No mortality was observed at 0.006 mg/L. At 0.053 mg/L</w:t>
      </w:r>
      <w:r>
        <w:t>,</w:t>
      </w:r>
      <w:r w:rsidRPr="004B7EF4">
        <w:t xml:space="preserve"> 8/20 animals died. Bloody nasal discharge and dyspnoea were observed.  All animals exposed to 0.120</w:t>
      </w:r>
      <w:r>
        <w:t xml:space="preserve"> mg/L died and 17/20 exposed to 0.130 mg/L</w:t>
      </w:r>
      <w:r w:rsidRPr="004B7EF4">
        <w:t xml:space="preserve"> died.  At necropsy</w:t>
      </w:r>
      <w:r>
        <w:t>,</w:t>
      </w:r>
      <w:r w:rsidRPr="004B7EF4">
        <w:t xml:space="preserve"> </w:t>
      </w:r>
      <w:r>
        <w:t xml:space="preserve">edema was noted in the </w:t>
      </w:r>
      <w:r w:rsidRPr="004B7EF4">
        <w:t xml:space="preserve">lungs of the deceased animals. A hydrothorax was noted in several </w:t>
      </w:r>
      <w:r>
        <w:t xml:space="preserve">deceased </w:t>
      </w:r>
      <w:r w:rsidRPr="004B7EF4">
        <w:t>cases (BASF</w:t>
      </w:r>
      <w:r>
        <w:t>,</w:t>
      </w:r>
      <w:r w:rsidRPr="004B7EF4">
        <w:t xml:space="preserve"> 1980c).</w:t>
      </w:r>
      <w:r>
        <w:t xml:space="preserve"> The LC</w:t>
      </w:r>
      <w:r w:rsidRPr="00A318CD">
        <w:rPr>
          <w:vertAlign w:val="subscript"/>
        </w:rPr>
        <w:t>50</w:t>
      </w:r>
      <w:r>
        <w:t xml:space="preserve"> was determined to be 0.06 mg/L/4h.</w:t>
      </w:r>
    </w:p>
    <w:p w:rsidR="001D41E2" w:rsidRPr="004B7EF4" w:rsidRDefault="001D41E2" w:rsidP="00F357B8">
      <w:pPr>
        <w:spacing w:after="240"/>
        <w:jc w:val="both"/>
      </w:pPr>
      <w:r w:rsidRPr="004B7EF4">
        <w:t>In another</w:t>
      </w:r>
      <w:r>
        <w:t xml:space="preserve"> inhalation study</w:t>
      </w:r>
      <w:r w:rsidRPr="004B7EF4">
        <w:t xml:space="preserve"> </w:t>
      </w:r>
      <w:r>
        <w:t>[</w:t>
      </w:r>
      <w:r w:rsidRPr="004B7EF4">
        <w:t xml:space="preserve">OECD </w:t>
      </w:r>
      <w:r>
        <w:t>TG</w:t>
      </w:r>
      <w:r w:rsidRPr="004B7EF4">
        <w:t xml:space="preserve"> 403</w:t>
      </w:r>
      <w:r>
        <w:t>],</w:t>
      </w:r>
      <w:r w:rsidRPr="004B7EF4">
        <w:t xml:space="preserve"> </w:t>
      </w:r>
      <w:r w:rsidRPr="00E84865">
        <w:t>Fischer 344</w:t>
      </w:r>
      <w:r>
        <w:t xml:space="preserve"> </w:t>
      </w:r>
      <w:r w:rsidRPr="004B7EF4">
        <w:t>rats</w:t>
      </w:r>
      <w:r>
        <w:t xml:space="preserve"> (5</w:t>
      </w:r>
      <w:r w:rsidRPr="004B7EF4">
        <w:t>/sex/dose</w:t>
      </w:r>
      <w:r>
        <w:t>)</w:t>
      </w:r>
      <w:r w:rsidRPr="004B7EF4">
        <w:t xml:space="preserve"> were exposed by </w:t>
      </w:r>
      <w:r>
        <w:t xml:space="preserve">whole-body </w:t>
      </w:r>
      <w:r w:rsidRPr="004B7EF4">
        <w:t xml:space="preserve">inhalation for 1 hour to 0.07, 0.36, 0.48, 0.58 or 0.61 mg/L </w:t>
      </w:r>
      <w:r>
        <w:t xml:space="preserve">MeCF </w:t>
      </w:r>
      <w:r w:rsidRPr="004B7EF4">
        <w:t>vapor (analytical concentration). Rats exposed to 0.07 mg/L or 0.36 mg/L survived to study termination. At 0.48 mg/L</w:t>
      </w:r>
      <w:r>
        <w:t>,</w:t>
      </w:r>
      <w:r w:rsidRPr="004B7EF4">
        <w:t xml:space="preserve"> 7/10 animals died.</w:t>
      </w:r>
      <w:r>
        <w:t xml:space="preserve"> </w:t>
      </w:r>
      <w:r w:rsidRPr="004B7EF4">
        <w:t xml:space="preserve">All animals exposed </w:t>
      </w:r>
      <w:r>
        <w:t>to higher concentrations died.</w:t>
      </w:r>
      <w:r w:rsidRPr="004B7EF4">
        <w:t xml:space="preserve"> Bloody </w:t>
      </w:r>
      <w:r>
        <w:t>dis</w:t>
      </w:r>
      <w:r w:rsidRPr="004B7EF4">
        <w:t>charge from the ocular, oral and/or genital regions was noted in animals exposed to 0.36 mg/L or higher concentrations. D</w:t>
      </w:r>
      <w:r>
        <w:t>y</w:t>
      </w:r>
      <w:r w:rsidRPr="004B7EF4">
        <w:t>spnea was observed in all rats exposed to 0.48 mg/L or higher concentrations. Survivors were generally free of symptoms by day 6 after exposure.  At necropsy</w:t>
      </w:r>
      <w:r>
        <w:t>, hyperemia and edema were noted in the</w:t>
      </w:r>
      <w:r w:rsidRPr="004B7EF4">
        <w:t xml:space="preserve"> lungs of </w:t>
      </w:r>
      <w:r>
        <w:t xml:space="preserve">two of </w:t>
      </w:r>
      <w:r w:rsidRPr="004B7EF4">
        <w:t>the deceased animals (Fisher</w:t>
      </w:r>
      <w:r>
        <w:t>,</w:t>
      </w:r>
      <w:r w:rsidRPr="004B7EF4">
        <w:t xml:space="preserve"> 1981</w:t>
      </w:r>
      <w:r>
        <w:t>a</w:t>
      </w:r>
      <w:r w:rsidRPr="004B7EF4">
        <w:t xml:space="preserve">). </w:t>
      </w:r>
      <w:r>
        <w:t>The LC</w:t>
      </w:r>
      <w:r w:rsidRPr="00A318CD">
        <w:rPr>
          <w:vertAlign w:val="subscript"/>
        </w:rPr>
        <w:t>50</w:t>
      </w:r>
      <w:r>
        <w:t xml:space="preserve"> was calculated to be 0.46 mg/L/1h.</w:t>
      </w:r>
    </w:p>
    <w:p w:rsidR="001D41E2" w:rsidRDefault="001D41E2" w:rsidP="00F357B8">
      <w:pPr>
        <w:spacing w:after="240"/>
        <w:jc w:val="both"/>
      </w:pPr>
      <w:r>
        <w:t xml:space="preserve">In an OECD TG 403 study, </w:t>
      </w:r>
      <w:r w:rsidRPr="004B7EF4">
        <w:t>Wistar rats</w:t>
      </w:r>
      <w:r>
        <w:t xml:space="preserve"> (5</w:t>
      </w:r>
      <w:r w:rsidRPr="004B7EF4">
        <w:t>/sex/dose</w:t>
      </w:r>
      <w:r>
        <w:t>)</w:t>
      </w:r>
      <w:r w:rsidRPr="004B7EF4">
        <w:t xml:space="preserve"> were exposed by </w:t>
      </w:r>
      <w:r>
        <w:t xml:space="preserve">whole-body </w:t>
      </w:r>
      <w:r w:rsidRPr="004B7EF4">
        <w:t xml:space="preserve">inhalation for </w:t>
      </w:r>
      <w:r>
        <w:t>4</w:t>
      </w:r>
      <w:r w:rsidRPr="004B7EF4">
        <w:t xml:space="preserve"> hour</w:t>
      </w:r>
      <w:r>
        <w:t>s</w:t>
      </w:r>
      <w:r w:rsidRPr="004B7EF4">
        <w:t xml:space="preserve"> to 35</w:t>
      </w:r>
      <w:r w:rsidRPr="005F134A">
        <w:t>, 45, 57, or 73 ppm MeCF vapor (</w:t>
      </w:r>
      <w:r>
        <w:t>analytical concentration)</w:t>
      </w:r>
      <w:r w:rsidRPr="005F134A">
        <w:t xml:space="preserve"> (Hoechst, 1986). Mortality occurred at 57 ppm (8/10) and 73 ppm (10/10). No animals died at concentrations up to 45 ppm. Signs of respiratory irritation (gasping and accelerated, irregular and jerky respiration) were noted. Necropsy </w:t>
      </w:r>
      <w:r>
        <w:t xml:space="preserve">of deceased rats </w:t>
      </w:r>
      <w:r w:rsidRPr="005F134A">
        <w:t xml:space="preserve">confirmed this observation with findings of dark red haemorrhagic lungs filled with liquid. Lungs with dark red foci were observed at necropsy in a few of the animals sacrificed at the end of the study. The </w:t>
      </w:r>
      <w:r>
        <w:t>4-hr</w:t>
      </w:r>
      <w:r w:rsidRPr="005F134A">
        <w:t xml:space="preserve"> LC</w:t>
      </w:r>
      <w:r w:rsidRPr="00EC7E4D">
        <w:rPr>
          <w:vertAlign w:val="subscript"/>
        </w:rPr>
        <w:t>50</w:t>
      </w:r>
      <w:r w:rsidRPr="005F134A">
        <w:t xml:space="preserve"> values for males and females were 51 ppm (0.2 mg/L) and </w:t>
      </w:r>
      <w:proofErr w:type="gramStart"/>
      <w:r w:rsidRPr="005F134A">
        <w:t>53 ppm (0.21 mg/L), respectively</w:t>
      </w:r>
      <w:proofErr w:type="gramEnd"/>
      <w:r w:rsidRPr="005F134A">
        <w:t>.</w:t>
      </w:r>
    </w:p>
    <w:p w:rsidR="001D41E2" w:rsidRDefault="001D41E2" w:rsidP="003D7919">
      <w:pPr>
        <w:spacing w:after="240"/>
        <w:jc w:val="both"/>
      </w:pPr>
      <w:r w:rsidRPr="004B7EF4">
        <w:rPr>
          <w:b/>
          <w:bCs/>
          <w:i/>
          <w:iCs/>
          <w:lang w:eastAsia="de-DE"/>
        </w:rPr>
        <w:t>EtCF:</w:t>
      </w:r>
      <w:r w:rsidRPr="004B7EF4">
        <w:t xml:space="preserve"> </w:t>
      </w:r>
      <w:r>
        <w:t xml:space="preserve">In a study comparable to OECD TG 403, </w:t>
      </w:r>
      <w:r w:rsidRPr="004B7EF4">
        <w:t>F</w:t>
      </w:r>
      <w:r>
        <w:t xml:space="preserve">ischer </w:t>
      </w:r>
      <w:r w:rsidRPr="004B7EF4">
        <w:t xml:space="preserve">344 rats </w:t>
      </w:r>
      <w:r>
        <w:t>(5/</w:t>
      </w:r>
      <w:r w:rsidRPr="004B7EF4">
        <w:t>sex/dose</w:t>
      </w:r>
      <w:r>
        <w:t>)</w:t>
      </w:r>
      <w:r w:rsidRPr="004B7EF4">
        <w:t xml:space="preserve"> were exposed by </w:t>
      </w:r>
      <w:r>
        <w:t xml:space="preserve">whole-body </w:t>
      </w:r>
      <w:r w:rsidRPr="004B7EF4">
        <w:t xml:space="preserve">inhalation to 0 (room air), 0.21, 0.68, 0.80, 1.09 or 1.20 mg/L EtCF </w:t>
      </w:r>
      <w:r>
        <w:t xml:space="preserve">vapor </w:t>
      </w:r>
      <w:r w:rsidRPr="004B7EF4">
        <w:t>for 1</w:t>
      </w:r>
      <w:r>
        <w:t xml:space="preserve"> hour.</w:t>
      </w:r>
      <w:r w:rsidRPr="004B7EF4">
        <w:t xml:space="preserve"> All rats exposed to 0.21</w:t>
      </w:r>
      <w:r>
        <w:t xml:space="preserve"> mg/L </w:t>
      </w:r>
      <w:r w:rsidRPr="004B7EF4">
        <w:t xml:space="preserve">or room air survived. All rats exposed to 1.09 and 1.20 mg/L died within 24 hours of </w:t>
      </w:r>
      <w:r>
        <w:t>exposure</w:t>
      </w:r>
      <w:r w:rsidRPr="004B7EF4">
        <w:t>.  Dyspnea</w:t>
      </w:r>
      <w:r>
        <w:t xml:space="preserve"> or g</w:t>
      </w:r>
      <w:r w:rsidRPr="004B7EF4">
        <w:t>asping, salivation</w:t>
      </w:r>
      <w:r>
        <w:t>,</w:t>
      </w:r>
      <w:r w:rsidRPr="004B7EF4">
        <w:t xml:space="preserve"> ocular and nasal discharge</w:t>
      </w:r>
      <w:r>
        <w:t>,</w:t>
      </w:r>
      <w:r w:rsidRPr="004B7EF4">
        <w:t xml:space="preserve"> and inactivity were seen in rats exposed to more than 0.21 mg/L. </w:t>
      </w:r>
      <w:r>
        <w:t xml:space="preserve">For the affected dose groups, most rats recovered by day 6 or 7.  At necropsy, </w:t>
      </w:r>
      <w:r w:rsidRPr="004B7EF4">
        <w:t>red discoloration of the lung</w:t>
      </w:r>
      <w:r>
        <w:t>s was noted i</w:t>
      </w:r>
      <w:r w:rsidRPr="004B7EF4">
        <w:t xml:space="preserve">n </w:t>
      </w:r>
      <w:r>
        <w:t xml:space="preserve">several </w:t>
      </w:r>
      <w:r w:rsidRPr="004B7EF4">
        <w:t>rats that died a</w:t>
      </w:r>
      <w:r>
        <w:t xml:space="preserve">s well as in two </w:t>
      </w:r>
      <w:r w:rsidRPr="004B7EF4">
        <w:t xml:space="preserve">females </w:t>
      </w:r>
      <w:r>
        <w:t>sacrificed at the end of the study</w:t>
      </w:r>
      <w:r w:rsidRPr="004B7EF4">
        <w:t>.</w:t>
      </w:r>
      <w:r>
        <w:t xml:space="preserve"> Hydrothorax was observed in deceased animals in the two highest dose groups</w:t>
      </w:r>
      <w:r w:rsidRPr="004B7EF4">
        <w:t xml:space="preserve">. No lesions were observed in tissues of rats exposed to 0.21 mg/L or </w:t>
      </w:r>
      <w:r>
        <w:t xml:space="preserve">in </w:t>
      </w:r>
      <w:r w:rsidRPr="004B7EF4">
        <w:t>control</w:t>
      </w:r>
      <w:r>
        <w:t xml:space="preserve"> animal</w:t>
      </w:r>
      <w:r w:rsidRPr="004B7EF4">
        <w:t xml:space="preserve">s. There was no mention of lesions in tissues other than the lungs or thoracic cavity The </w:t>
      </w:r>
      <w:r w:rsidR="000956A9">
        <w:t>1</w:t>
      </w:r>
      <w:r>
        <w:t>-hr</w:t>
      </w:r>
      <w:r w:rsidRPr="004B7EF4">
        <w:t xml:space="preserve"> LC</w:t>
      </w:r>
      <w:r w:rsidRPr="00EC7E4D">
        <w:rPr>
          <w:vertAlign w:val="subscript"/>
        </w:rPr>
        <w:t>50</w:t>
      </w:r>
      <w:r w:rsidRPr="004B7EF4">
        <w:t xml:space="preserve"> values (</w:t>
      </w:r>
      <w:r>
        <w:t xml:space="preserve">analytical </w:t>
      </w:r>
      <w:r w:rsidRPr="004B7EF4">
        <w:t>with 95% confidence intervals) for males and female</w:t>
      </w:r>
      <w:r>
        <w:t xml:space="preserve">s were 0.84 (0.73 - 0.96) mg/L and </w:t>
      </w:r>
      <w:r w:rsidRPr="004B7EF4">
        <w:t>0.89 (0.77 - 1.03) m</w:t>
      </w:r>
      <w:r>
        <w:t>g/L, respectively (Fisher 1981b</w:t>
      </w:r>
      <w:r w:rsidRPr="004B7EF4">
        <w:t>).</w:t>
      </w:r>
    </w:p>
    <w:p w:rsidR="001D41E2" w:rsidRPr="004B7EF4" w:rsidRDefault="001D41E2" w:rsidP="00F357B8">
      <w:pPr>
        <w:spacing w:after="240"/>
        <w:jc w:val="both"/>
      </w:pPr>
      <w:r w:rsidRPr="004B7EF4">
        <w:rPr>
          <w:b/>
          <w:bCs/>
          <w:i/>
          <w:iCs/>
          <w:lang w:eastAsia="de-DE"/>
        </w:rPr>
        <w:t>PrCF:</w:t>
      </w:r>
      <w:r w:rsidRPr="004B7EF4">
        <w:rPr>
          <w:lang w:eastAsia="de-DE"/>
        </w:rPr>
        <w:t xml:space="preserve"> </w:t>
      </w:r>
    </w:p>
    <w:p w:rsidR="001D41E2" w:rsidRPr="004B7EF4" w:rsidRDefault="001D41E2" w:rsidP="00F357B8">
      <w:pPr>
        <w:spacing w:after="240"/>
        <w:jc w:val="both"/>
        <w:rPr>
          <w:lang w:eastAsia="de-DE"/>
        </w:rPr>
      </w:pPr>
      <w:r>
        <w:rPr>
          <w:lang w:eastAsia="de-DE"/>
        </w:rPr>
        <w:t>One group of 6 rats</w:t>
      </w:r>
      <w:r w:rsidRPr="004B7EF4">
        <w:rPr>
          <w:lang w:eastAsia="de-DE"/>
        </w:rPr>
        <w:t xml:space="preserve"> </w:t>
      </w:r>
      <w:r>
        <w:t xml:space="preserve">(strain not reported) </w:t>
      </w:r>
      <w:r>
        <w:rPr>
          <w:lang w:eastAsia="de-DE"/>
        </w:rPr>
        <w:t>was</w:t>
      </w:r>
      <w:r w:rsidRPr="004B7EF4">
        <w:rPr>
          <w:lang w:eastAsia="de-DE"/>
        </w:rPr>
        <w:t xml:space="preserve"> exposed for 3 min to a vapor saturated atmosphere of PrCF. </w:t>
      </w:r>
      <w:r>
        <w:rPr>
          <w:lang w:eastAsia="de-DE"/>
        </w:rPr>
        <w:t xml:space="preserve"> A </w:t>
      </w:r>
      <w:r w:rsidRPr="004B7EF4">
        <w:rPr>
          <w:lang w:eastAsia="de-DE"/>
        </w:rPr>
        <w:t xml:space="preserve">second </w:t>
      </w:r>
      <w:r>
        <w:rPr>
          <w:lang w:eastAsia="de-DE"/>
        </w:rPr>
        <w:t>group</w:t>
      </w:r>
      <w:r w:rsidRPr="004B7EF4">
        <w:rPr>
          <w:lang w:eastAsia="de-DE"/>
        </w:rPr>
        <w:t xml:space="preserve"> of </w:t>
      </w:r>
      <w:r>
        <w:rPr>
          <w:lang w:eastAsia="de-DE"/>
        </w:rPr>
        <w:t xml:space="preserve">10 </w:t>
      </w:r>
      <w:r w:rsidRPr="004B7EF4">
        <w:rPr>
          <w:lang w:eastAsia="de-DE"/>
        </w:rPr>
        <w:t xml:space="preserve">rats </w:t>
      </w:r>
      <w:r>
        <w:rPr>
          <w:lang w:eastAsia="de-DE"/>
        </w:rPr>
        <w:t>was</w:t>
      </w:r>
      <w:r w:rsidRPr="004B7EF4">
        <w:rPr>
          <w:lang w:eastAsia="de-DE"/>
        </w:rPr>
        <w:t xml:space="preserve"> exposed to an atmosphere </w:t>
      </w:r>
      <w:r>
        <w:rPr>
          <w:lang w:eastAsia="de-DE"/>
        </w:rPr>
        <w:t>of about 200 ppm PrCF for 1 h. The c</w:t>
      </w:r>
      <w:r w:rsidRPr="004B7EF4">
        <w:rPr>
          <w:lang w:eastAsia="de-DE"/>
        </w:rPr>
        <w:t xml:space="preserve">oncentration was stated in the raw data to be 1.385 mg/L in the case of the 3 min exposure and 1.019 mg/L in case of the 1 h exposure. </w:t>
      </w:r>
      <w:r>
        <w:rPr>
          <w:lang w:eastAsia="de-DE"/>
        </w:rPr>
        <w:t>All of the</w:t>
      </w:r>
      <w:r w:rsidRPr="004B7EF4">
        <w:rPr>
          <w:lang w:eastAsia="de-DE"/>
        </w:rPr>
        <w:t xml:space="preserve"> animals died within 2 h after </w:t>
      </w:r>
      <w:r>
        <w:rPr>
          <w:lang w:eastAsia="de-DE"/>
        </w:rPr>
        <w:t xml:space="preserve">the </w:t>
      </w:r>
      <w:r w:rsidRPr="004B7EF4">
        <w:rPr>
          <w:lang w:eastAsia="de-DE"/>
        </w:rPr>
        <w:t xml:space="preserve">3 min exposure to 1.385 mg/L; 3/10 animals died within 6 d after </w:t>
      </w:r>
      <w:r>
        <w:rPr>
          <w:lang w:eastAsia="de-DE"/>
        </w:rPr>
        <w:t xml:space="preserve">a </w:t>
      </w:r>
      <w:r w:rsidRPr="004B7EF4">
        <w:rPr>
          <w:lang w:eastAsia="de-DE"/>
        </w:rPr>
        <w:t xml:space="preserve">1 h exposure to 1.019 mg/L. </w:t>
      </w:r>
      <w:r>
        <w:rPr>
          <w:lang w:eastAsia="de-DE"/>
        </w:rPr>
        <w:t xml:space="preserve">At 1.109 mg/L, dyspnea and mucosal irritation were observed (number animals, surviving/deceased unspecified).  </w:t>
      </w:r>
      <w:r w:rsidRPr="004B7EF4">
        <w:rPr>
          <w:lang w:eastAsia="de-DE"/>
        </w:rPr>
        <w:t xml:space="preserve">Necropsy findings </w:t>
      </w:r>
      <w:r>
        <w:rPr>
          <w:lang w:eastAsia="de-DE"/>
        </w:rPr>
        <w:t>of deceased rats exposed to 1.385 mg/L included</w:t>
      </w:r>
      <w:r w:rsidRPr="004B7EF4">
        <w:rPr>
          <w:lang w:eastAsia="de-DE"/>
        </w:rPr>
        <w:t xml:space="preserve"> congestion</w:t>
      </w:r>
      <w:r>
        <w:rPr>
          <w:lang w:eastAsia="de-DE"/>
        </w:rPr>
        <w:t>,</w:t>
      </w:r>
      <w:r w:rsidRPr="004B7EF4">
        <w:rPr>
          <w:lang w:eastAsia="de-DE"/>
        </w:rPr>
        <w:t xml:space="preserve"> edema</w:t>
      </w:r>
      <w:r>
        <w:rPr>
          <w:lang w:eastAsia="de-DE"/>
        </w:rPr>
        <w:t>, and pulmonary emphysema</w:t>
      </w:r>
      <w:r w:rsidRPr="004B7EF4">
        <w:t xml:space="preserve"> (BASF 1970</w:t>
      </w:r>
      <w:r>
        <w:t>a</w:t>
      </w:r>
      <w:r w:rsidRPr="004B7EF4">
        <w:t>)</w:t>
      </w:r>
      <w:r w:rsidRPr="004B7EF4">
        <w:rPr>
          <w:lang w:eastAsia="de-DE"/>
        </w:rPr>
        <w:t>.</w:t>
      </w:r>
    </w:p>
    <w:p w:rsidR="001D41E2" w:rsidRPr="004B7EF4" w:rsidRDefault="001D41E2" w:rsidP="00F357B8">
      <w:pPr>
        <w:spacing w:after="240"/>
        <w:jc w:val="both"/>
        <w:rPr>
          <w:lang w:eastAsia="de-DE"/>
        </w:rPr>
      </w:pPr>
      <w:r w:rsidRPr="004B7EF4">
        <w:rPr>
          <w:b/>
          <w:bCs/>
          <w:i/>
          <w:iCs/>
          <w:lang w:eastAsia="de-DE"/>
        </w:rPr>
        <w:t>IpCF:</w:t>
      </w:r>
      <w:r w:rsidRPr="004B7EF4">
        <w:rPr>
          <w:lang w:eastAsia="de-DE"/>
        </w:rPr>
        <w:t xml:space="preserve"> </w:t>
      </w:r>
      <w:r>
        <w:rPr>
          <w:lang w:eastAsia="de-DE"/>
        </w:rPr>
        <w:t xml:space="preserve">No </w:t>
      </w:r>
      <w:r w:rsidR="00816912">
        <w:rPr>
          <w:lang w:eastAsia="de-DE"/>
        </w:rPr>
        <w:t xml:space="preserve">adequate </w:t>
      </w:r>
      <w:r>
        <w:rPr>
          <w:lang w:eastAsia="de-DE"/>
        </w:rPr>
        <w:t>acute inhalation toxicity data.</w:t>
      </w:r>
    </w:p>
    <w:p w:rsidR="001D41E2" w:rsidRDefault="001D41E2" w:rsidP="00F357B8">
      <w:pPr>
        <w:spacing w:after="240"/>
        <w:jc w:val="both"/>
      </w:pPr>
      <w:r w:rsidRPr="004B7EF4">
        <w:rPr>
          <w:b/>
          <w:bCs/>
          <w:i/>
          <w:iCs/>
          <w:lang w:eastAsia="de-DE"/>
        </w:rPr>
        <w:t xml:space="preserve">SbCF: </w:t>
      </w:r>
      <w:r>
        <w:rPr>
          <w:lang w:eastAsia="de-DE"/>
        </w:rPr>
        <w:t xml:space="preserve"> In an OECD TG 403 study, </w:t>
      </w:r>
      <w:r w:rsidRPr="004B7EF4">
        <w:t xml:space="preserve">Wistar rats </w:t>
      </w:r>
      <w:r>
        <w:t xml:space="preserve">(5/sex/concentration) </w:t>
      </w:r>
      <w:r w:rsidRPr="004B7EF4">
        <w:t xml:space="preserve">were exposed to 0.44 and 2.33 mg/L SbCF vapor </w:t>
      </w:r>
      <w:r>
        <w:t xml:space="preserve">(analytical) </w:t>
      </w:r>
      <w:r w:rsidRPr="004B7EF4">
        <w:t xml:space="preserve">for 4 h. </w:t>
      </w:r>
      <w:r>
        <w:t xml:space="preserve">  </w:t>
      </w:r>
      <w:r w:rsidRPr="004B7EF4">
        <w:t>No animal</w:t>
      </w:r>
      <w:r>
        <w:t>s died at 0.44 mg/L. A</w:t>
      </w:r>
      <w:r w:rsidRPr="004B7EF4">
        <w:t xml:space="preserve">ll animals </w:t>
      </w:r>
      <w:r>
        <w:t>exposed to 2.33 mg/L</w:t>
      </w:r>
      <w:r w:rsidRPr="004B7EF4">
        <w:t xml:space="preserve"> died within 24 h</w:t>
      </w:r>
      <w:r>
        <w:t>ours following exposure</w:t>
      </w:r>
      <w:r w:rsidRPr="004B7EF4">
        <w:t xml:space="preserve">. The acute </w:t>
      </w:r>
      <w:r>
        <w:t xml:space="preserve">4-hour </w:t>
      </w:r>
      <w:r w:rsidRPr="004B7EF4">
        <w:t>LC</w:t>
      </w:r>
      <w:r w:rsidRPr="0041323F">
        <w:rPr>
          <w:vertAlign w:val="subscript"/>
        </w:rPr>
        <w:t>50</w:t>
      </w:r>
      <w:r w:rsidRPr="004B7EF4">
        <w:t xml:space="preserve"> </w:t>
      </w:r>
      <w:r>
        <w:t>for SbCF is &gt;0.44 and &lt;</w:t>
      </w:r>
      <w:r w:rsidRPr="004B7EF4">
        <w:t xml:space="preserve">2.33 mg/L. </w:t>
      </w:r>
      <w:r>
        <w:t>Accelerated</w:t>
      </w:r>
      <w:r w:rsidRPr="004B7EF4">
        <w:t xml:space="preserve"> and </w:t>
      </w:r>
      <w:r>
        <w:t xml:space="preserve">then </w:t>
      </w:r>
      <w:r w:rsidRPr="004B7EF4">
        <w:t>irregular</w:t>
      </w:r>
      <w:r>
        <w:t>/intermittent</w:t>
      </w:r>
      <w:r w:rsidRPr="004B7EF4">
        <w:t xml:space="preserve"> respiration were seen even in the low </w:t>
      </w:r>
      <w:r>
        <w:t>exposure</w:t>
      </w:r>
      <w:r w:rsidRPr="004B7EF4">
        <w:t xml:space="preserve"> group, where no mortality </w:t>
      </w:r>
      <w:r>
        <w:t>occurred</w:t>
      </w:r>
      <w:r w:rsidRPr="004B7EF4">
        <w:t>. Necropsy revealed lung edema in all animals found dead. There w</w:t>
      </w:r>
      <w:r>
        <w:t>ere no exposure</w:t>
      </w:r>
      <w:r w:rsidRPr="004B7EF4">
        <w:t xml:space="preserve"> related finding</w:t>
      </w:r>
      <w:r>
        <w:t>s</w:t>
      </w:r>
      <w:r w:rsidRPr="004B7EF4">
        <w:t xml:space="preserve"> in the low dose group at necropsy (BASF</w:t>
      </w:r>
      <w:r>
        <w:t>,</w:t>
      </w:r>
      <w:r w:rsidRPr="004B7EF4">
        <w:t xml:space="preserve"> 198</w:t>
      </w:r>
      <w:r>
        <w:t>7c</w:t>
      </w:r>
      <w:r w:rsidRPr="004B7EF4">
        <w:t>).</w:t>
      </w:r>
    </w:p>
    <w:p w:rsidR="001D41E2" w:rsidRPr="004B7EF4" w:rsidRDefault="001D41E2" w:rsidP="009D5BB4">
      <w:pPr>
        <w:pStyle w:val="Caption"/>
        <w:ind w:left="0"/>
      </w:pPr>
      <w:bookmarkStart w:id="63" w:name="_Toc264983288"/>
      <w:r w:rsidRPr="003B6BD4">
        <w:t>Ta</w:t>
      </w:r>
      <w:r w:rsidRPr="004B7EF4">
        <w:t>ble</w:t>
      </w:r>
      <w:r w:rsidR="009D5BB4">
        <w:t xml:space="preserve"> </w:t>
      </w:r>
      <w:r>
        <w:t>1</w:t>
      </w:r>
      <w:r w:rsidR="002F054D">
        <w:t>2</w:t>
      </w:r>
      <w:r w:rsidR="009D5BB4">
        <w:t xml:space="preserve">    </w:t>
      </w:r>
      <w:r w:rsidRPr="003B6BD4">
        <w:t xml:space="preserve"> </w:t>
      </w:r>
      <w:r>
        <w:t>Summary of A</w:t>
      </w:r>
      <w:r w:rsidRPr="004B7EF4">
        <w:t xml:space="preserve">cute </w:t>
      </w:r>
      <w:r>
        <w:t>Inhalation</w:t>
      </w:r>
      <w:r w:rsidRPr="004B7EF4">
        <w:t xml:space="preserve"> </w:t>
      </w:r>
      <w:r>
        <w:t>T</w:t>
      </w:r>
      <w:r w:rsidRPr="004B7EF4">
        <w:t>oxicity</w:t>
      </w:r>
      <w:bookmarkEnd w:id="63"/>
      <w:r>
        <w:t xml:space="preserve"> </w:t>
      </w:r>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6"/>
        <w:gridCol w:w="1340"/>
        <w:gridCol w:w="3655"/>
        <w:gridCol w:w="2924"/>
      </w:tblGrid>
      <w:tr w:rsidR="001D41E2" w:rsidRPr="004B7EF4" w:rsidTr="00142E86">
        <w:trPr>
          <w:tblHeader/>
        </w:trPr>
        <w:tc>
          <w:tcPr>
            <w:tcW w:w="1936" w:type="dxa"/>
            <w:tcBorders>
              <w:top w:val="single" w:sz="12" w:space="0" w:color="auto"/>
              <w:bottom w:val="single" w:sz="12" w:space="0" w:color="auto"/>
            </w:tcBorders>
            <w:vAlign w:val="center"/>
          </w:tcPr>
          <w:p w:rsidR="001D41E2" w:rsidRPr="004B7EF4" w:rsidRDefault="001D41E2" w:rsidP="00142E86">
            <w:pPr>
              <w:pStyle w:val="Tabletext"/>
              <w:ind w:left="140"/>
              <w:rPr>
                <w:b/>
                <w:bCs/>
              </w:rPr>
            </w:pPr>
            <w:r w:rsidRPr="004B7EF4">
              <w:rPr>
                <w:b/>
                <w:bCs/>
              </w:rPr>
              <w:t xml:space="preserve">Category member </w:t>
            </w:r>
          </w:p>
        </w:tc>
        <w:tc>
          <w:tcPr>
            <w:tcW w:w="1340"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Test species</w:t>
            </w:r>
          </w:p>
        </w:tc>
        <w:tc>
          <w:tcPr>
            <w:tcW w:w="3655"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Result (</w:t>
            </w:r>
            <w:r w:rsidRPr="004B7EF4">
              <w:t>LC</w:t>
            </w:r>
            <w:r w:rsidRPr="004B7EF4">
              <w:rPr>
                <w:vertAlign w:val="subscript"/>
              </w:rPr>
              <w:t>50</w:t>
            </w:r>
            <w:r w:rsidRPr="004B7EF4">
              <w:t>)</w:t>
            </w:r>
          </w:p>
        </w:tc>
        <w:tc>
          <w:tcPr>
            <w:tcW w:w="2924"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Reference</w:t>
            </w:r>
          </w:p>
        </w:tc>
      </w:tr>
      <w:tr w:rsidR="001D41E2" w:rsidRPr="004B7EF4" w:rsidTr="00142E86">
        <w:trPr>
          <w:trHeight w:val="397"/>
        </w:trPr>
        <w:tc>
          <w:tcPr>
            <w:tcW w:w="9855" w:type="dxa"/>
            <w:gridSpan w:val="4"/>
            <w:tcBorders>
              <w:top w:val="single" w:sz="12" w:space="0" w:color="auto"/>
            </w:tcBorders>
            <w:vAlign w:val="center"/>
          </w:tcPr>
          <w:p w:rsidR="001D41E2" w:rsidRPr="004B7EF4" w:rsidRDefault="001D41E2" w:rsidP="009D5BB4">
            <w:pPr>
              <w:pStyle w:val="Tabletext"/>
              <w:jc w:val="center"/>
            </w:pPr>
            <w:r w:rsidRPr="004B7EF4">
              <w:rPr>
                <w:b/>
                <w:bCs/>
              </w:rPr>
              <w:t xml:space="preserve">Acute </w:t>
            </w:r>
            <w:r>
              <w:rPr>
                <w:b/>
                <w:bCs/>
              </w:rPr>
              <w:t>Inhalation</w:t>
            </w:r>
            <w:r w:rsidRPr="004B7EF4">
              <w:rPr>
                <w:b/>
                <w:bCs/>
              </w:rPr>
              <w:t xml:space="preserve"> Toxicity</w:t>
            </w: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C2CEE">
              <w:t>Me</w:t>
            </w:r>
            <w:r w:rsidRPr="004B7EF4">
              <w:t>CF</w:t>
            </w:r>
          </w:p>
        </w:tc>
        <w:tc>
          <w:tcPr>
            <w:tcW w:w="1340" w:type="dxa"/>
            <w:vAlign w:val="center"/>
          </w:tcPr>
          <w:p w:rsidR="001D41E2" w:rsidRPr="009F18B8" w:rsidRDefault="001D41E2" w:rsidP="00883CB9">
            <w:pPr>
              <w:pStyle w:val="NormalWeb"/>
              <w:spacing w:before="120" w:after="120"/>
              <w:jc w:val="center"/>
              <w:rPr>
                <w:sz w:val="20"/>
                <w:szCs w:val="20"/>
                <w:lang w:val="en-US"/>
              </w:rPr>
            </w:pPr>
            <w:r w:rsidRPr="009F18B8">
              <w:rPr>
                <w:sz w:val="20"/>
                <w:szCs w:val="20"/>
                <w:lang w:val="en-US"/>
              </w:rPr>
              <w:t>rat</w:t>
            </w:r>
          </w:p>
        </w:tc>
        <w:tc>
          <w:tcPr>
            <w:tcW w:w="3655" w:type="dxa"/>
            <w:vAlign w:val="center"/>
          </w:tcPr>
          <w:p w:rsidR="001D41E2" w:rsidRPr="00FF6A3E" w:rsidRDefault="001D41E2" w:rsidP="00883CB9">
            <w:pPr>
              <w:pStyle w:val="Tabletext"/>
              <w:jc w:val="center"/>
              <w:rPr>
                <w:lang w:val="pt-PT"/>
              </w:rPr>
            </w:pPr>
            <w:r w:rsidRPr="00FF6A3E">
              <w:rPr>
                <w:lang w:val="pt-PT"/>
              </w:rPr>
              <w:t xml:space="preserve">0.46 </w:t>
            </w:r>
            <w:proofErr w:type="gramStart"/>
            <w:r w:rsidRPr="00FF6A3E">
              <w:rPr>
                <w:lang w:val="pt-PT"/>
              </w:rPr>
              <w:t>mg</w:t>
            </w:r>
            <w:proofErr w:type="gramEnd"/>
            <w:r w:rsidRPr="00FF6A3E">
              <w:rPr>
                <w:lang w:val="pt-PT"/>
              </w:rPr>
              <w:t>/L/1h (vapor)</w:t>
            </w:r>
          </w:p>
          <w:p w:rsidR="001D41E2" w:rsidRPr="00FF6A3E" w:rsidRDefault="001D41E2" w:rsidP="00883CB9">
            <w:pPr>
              <w:pStyle w:val="Tabletext"/>
              <w:jc w:val="center"/>
              <w:rPr>
                <w:lang w:val="pt-PT"/>
              </w:rPr>
            </w:pPr>
            <w:r w:rsidRPr="00FF6A3E">
              <w:rPr>
                <w:lang w:val="pt-PT"/>
              </w:rPr>
              <w:t xml:space="preserve">0.06 </w:t>
            </w:r>
            <w:proofErr w:type="gramStart"/>
            <w:r w:rsidRPr="00FF6A3E">
              <w:rPr>
                <w:lang w:val="pt-PT"/>
              </w:rPr>
              <w:t>mg</w:t>
            </w:r>
            <w:proofErr w:type="gramEnd"/>
            <w:r w:rsidRPr="00FF6A3E">
              <w:rPr>
                <w:lang w:val="pt-PT"/>
              </w:rPr>
              <w:t>/L/4 h (vapor)</w:t>
            </w:r>
          </w:p>
          <w:p w:rsidR="001D41E2" w:rsidRPr="004B7EF4" w:rsidRDefault="001D41E2" w:rsidP="00883CB9">
            <w:pPr>
              <w:pStyle w:val="Tabletext"/>
              <w:jc w:val="center"/>
            </w:pPr>
            <w:r w:rsidRPr="004B7EF4">
              <w:t>0.21 mg/L/4h (vapor)</w:t>
            </w:r>
          </w:p>
        </w:tc>
        <w:tc>
          <w:tcPr>
            <w:tcW w:w="2924" w:type="dxa"/>
            <w:vAlign w:val="center"/>
          </w:tcPr>
          <w:p w:rsidR="001D41E2" w:rsidRPr="004B7EF4" w:rsidRDefault="001D41E2" w:rsidP="009D5BB4">
            <w:pPr>
              <w:pStyle w:val="Tabletext"/>
              <w:ind w:left="155"/>
            </w:pPr>
            <w:r w:rsidRPr="004B7EF4">
              <w:t>Fisher 1981a</w:t>
            </w:r>
          </w:p>
          <w:p w:rsidR="001D41E2" w:rsidRPr="004B7EF4" w:rsidRDefault="001D41E2" w:rsidP="009D5BB4">
            <w:pPr>
              <w:pStyle w:val="Tabletext"/>
              <w:ind w:left="155"/>
            </w:pPr>
            <w:r w:rsidRPr="004B7EF4">
              <w:t>BASF, 1980c</w:t>
            </w:r>
          </w:p>
          <w:p w:rsidR="001D41E2" w:rsidRPr="004B7EF4" w:rsidRDefault="001D41E2" w:rsidP="009D5BB4">
            <w:pPr>
              <w:pStyle w:val="Tabletext"/>
              <w:ind w:left="155"/>
            </w:pPr>
            <w:r w:rsidRPr="004B7EF4">
              <w:t>Hoechst 1986</w:t>
            </w: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B7EF4">
              <w:t>EtCF</w:t>
            </w:r>
          </w:p>
        </w:tc>
        <w:tc>
          <w:tcPr>
            <w:tcW w:w="1340" w:type="dxa"/>
            <w:vAlign w:val="center"/>
          </w:tcPr>
          <w:p w:rsidR="001D41E2" w:rsidRPr="009F18B8" w:rsidRDefault="009D5BB4" w:rsidP="00883CB9">
            <w:pPr>
              <w:pStyle w:val="NormalWeb"/>
              <w:spacing w:before="120" w:after="120"/>
              <w:jc w:val="center"/>
              <w:rPr>
                <w:sz w:val="20"/>
                <w:szCs w:val="20"/>
                <w:lang w:val="en-US"/>
              </w:rPr>
            </w:pPr>
            <w:r>
              <w:rPr>
                <w:sz w:val="20"/>
                <w:szCs w:val="20"/>
                <w:lang w:val="en-US"/>
              </w:rPr>
              <w:t>r</w:t>
            </w:r>
            <w:r w:rsidR="001D41E2" w:rsidRPr="009F18B8">
              <w:rPr>
                <w:sz w:val="20"/>
                <w:szCs w:val="20"/>
                <w:lang w:val="en-US"/>
              </w:rPr>
              <w:t>at</w:t>
            </w:r>
          </w:p>
        </w:tc>
        <w:tc>
          <w:tcPr>
            <w:tcW w:w="3655" w:type="dxa"/>
            <w:vAlign w:val="center"/>
          </w:tcPr>
          <w:p w:rsidR="001D41E2" w:rsidRPr="004B7EF4" w:rsidRDefault="001D41E2" w:rsidP="00883CB9">
            <w:pPr>
              <w:pStyle w:val="Tabletext"/>
              <w:jc w:val="center"/>
            </w:pPr>
            <w:r w:rsidRPr="004B7EF4">
              <w:t>0.84 - 0.89 mg/L/1h (vapor)</w:t>
            </w:r>
          </w:p>
        </w:tc>
        <w:tc>
          <w:tcPr>
            <w:tcW w:w="2924" w:type="dxa"/>
            <w:vAlign w:val="center"/>
          </w:tcPr>
          <w:p w:rsidR="001D41E2" w:rsidRPr="004B7EF4" w:rsidRDefault="001D41E2" w:rsidP="009D5BB4">
            <w:pPr>
              <w:pStyle w:val="Tabletext"/>
              <w:ind w:left="155"/>
            </w:pPr>
            <w:r w:rsidRPr="004B7EF4">
              <w:t>Fisher 1981b</w:t>
            </w: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B7EF4">
              <w:t>PrCF</w:t>
            </w:r>
          </w:p>
        </w:tc>
        <w:tc>
          <w:tcPr>
            <w:tcW w:w="1340" w:type="dxa"/>
            <w:vAlign w:val="center"/>
          </w:tcPr>
          <w:p w:rsidR="001D41E2" w:rsidRPr="009F18B8" w:rsidRDefault="001D41E2" w:rsidP="00883CB9">
            <w:pPr>
              <w:pStyle w:val="NormalWeb"/>
              <w:spacing w:before="120" w:after="120"/>
              <w:jc w:val="center"/>
              <w:rPr>
                <w:sz w:val="20"/>
                <w:szCs w:val="20"/>
                <w:lang w:val="en-US"/>
              </w:rPr>
            </w:pPr>
            <w:r w:rsidRPr="009F18B8">
              <w:rPr>
                <w:sz w:val="20"/>
                <w:szCs w:val="20"/>
                <w:lang w:val="en-US"/>
              </w:rPr>
              <w:t>rat</w:t>
            </w:r>
          </w:p>
        </w:tc>
        <w:tc>
          <w:tcPr>
            <w:tcW w:w="3655" w:type="dxa"/>
            <w:vAlign w:val="center"/>
          </w:tcPr>
          <w:p w:rsidR="001D41E2" w:rsidRPr="00FF6A3E" w:rsidRDefault="001D41E2" w:rsidP="00883CB9">
            <w:pPr>
              <w:pStyle w:val="Tabletext"/>
              <w:jc w:val="center"/>
              <w:rPr>
                <w:lang w:val="pt-PT"/>
              </w:rPr>
            </w:pPr>
            <w:r w:rsidRPr="00FF6A3E">
              <w:rPr>
                <w:lang w:val="pt-PT"/>
              </w:rPr>
              <w:t xml:space="preserve">&gt;1.0 </w:t>
            </w:r>
            <w:proofErr w:type="gramStart"/>
            <w:r w:rsidRPr="00FF6A3E">
              <w:rPr>
                <w:lang w:val="pt-PT"/>
              </w:rPr>
              <w:t>mg</w:t>
            </w:r>
            <w:proofErr w:type="gramEnd"/>
            <w:r w:rsidRPr="00FF6A3E">
              <w:rPr>
                <w:lang w:val="pt-PT"/>
              </w:rPr>
              <w:t xml:space="preserve">/L/1h (vapor) </w:t>
            </w:r>
          </w:p>
          <w:p w:rsidR="001D41E2" w:rsidRPr="00FF6A3E" w:rsidRDefault="001D41E2" w:rsidP="00883CB9">
            <w:pPr>
              <w:pStyle w:val="Tabletext"/>
              <w:jc w:val="center"/>
              <w:rPr>
                <w:lang w:val="pt-PT"/>
              </w:rPr>
            </w:pPr>
          </w:p>
        </w:tc>
        <w:tc>
          <w:tcPr>
            <w:tcW w:w="2924" w:type="dxa"/>
            <w:vAlign w:val="center"/>
          </w:tcPr>
          <w:p w:rsidR="001D41E2" w:rsidRPr="004C2CEE" w:rsidRDefault="001D41E2" w:rsidP="009D5BB4">
            <w:pPr>
              <w:pStyle w:val="Tabletext"/>
              <w:ind w:left="155"/>
            </w:pPr>
            <w:r w:rsidRPr="004C2CEE">
              <w:rPr>
                <w:lang w:val="pt-PT"/>
              </w:rPr>
              <w:t> </w:t>
            </w:r>
            <w:r w:rsidRPr="004C2CEE">
              <w:t>BASF, 1970a</w:t>
            </w:r>
          </w:p>
          <w:p w:rsidR="001D41E2" w:rsidRPr="00B32D06" w:rsidRDefault="001D41E2" w:rsidP="009D5BB4">
            <w:pPr>
              <w:pStyle w:val="Tabletext"/>
              <w:ind w:left="155"/>
            </w:pP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B7EF4">
              <w:t>SbCF</w:t>
            </w:r>
          </w:p>
        </w:tc>
        <w:tc>
          <w:tcPr>
            <w:tcW w:w="1340" w:type="dxa"/>
            <w:vAlign w:val="center"/>
          </w:tcPr>
          <w:p w:rsidR="001D41E2" w:rsidRPr="009F18B8" w:rsidRDefault="001D41E2" w:rsidP="00883CB9">
            <w:pPr>
              <w:jc w:val="center"/>
              <w:rPr>
                <w:sz w:val="20"/>
                <w:szCs w:val="20"/>
              </w:rPr>
            </w:pPr>
            <w:r w:rsidRPr="009F18B8">
              <w:rPr>
                <w:sz w:val="20"/>
                <w:szCs w:val="20"/>
              </w:rPr>
              <w:t>rat</w:t>
            </w:r>
          </w:p>
        </w:tc>
        <w:tc>
          <w:tcPr>
            <w:tcW w:w="3655" w:type="dxa"/>
            <w:vAlign w:val="center"/>
          </w:tcPr>
          <w:p w:rsidR="001D41E2" w:rsidRPr="004B7EF4" w:rsidRDefault="001D41E2" w:rsidP="00883CB9">
            <w:pPr>
              <w:pStyle w:val="Tabletext"/>
              <w:jc w:val="center"/>
            </w:pPr>
            <w:r>
              <w:t>&gt; 0.44 and</w:t>
            </w:r>
            <w:r w:rsidRPr="004B7EF4">
              <w:t xml:space="preserve"> &lt; 2.33 mg/L/4h (vapor)</w:t>
            </w:r>
          </w:p>
        </w:tc>
        <w:tc>
          <w:tcPr>
            <w:tcW w:w="2924" w:type="dxa"/>
            <w:vAlign w:val="center"/>
          </w:tcPr>
          <w:p w:rsidR="001D41E2" w:rsidRPr="004B7EF4" w:rsidRDefault="001D41E2" w:rsidP="009D5BB4">
            <w:pPr>
              <w:pStyle w:val="Tabletext"/>
              <w:ind w:left="155"/>
            </w:pPr>
            <w:r w:rsidRPr="004B7EF4">
              <w:t>BASF, 19</w:t>
            </w:r>
            <w:r>
              <w:t>87c</w:t>
            </w: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C2CEE">
              <w:t>ObCF</w:t>
            </w:r>
          </w:p>
        </w:tc>
        <w:tc>
          <w:tcPr>
            <w:tcW w:w="1340" w:type="dxa"/>
            <w:vAlign w:val="center"/>
          </w:tcPr>
          <w:p w:rsidR="001D41E2" w:rsidRPr="009F18B8" w:rsidRDefault="001D41E2" w:rsidP="00883CB9">
            <w:pPr>
              <w:jc w:val="center"/>
              <w:rPr>
                <w:sz w:val="20"/>
                <w:szCs w:val="20"/>
              </w:rPr>
            </w:pPr>
            <w:r w:rsidRPr="009F18B8">
              <w:rPr>
                <w:sz w:val="20"/>
                <w:szCs w:val="20"/>
              </w:rPr>
              <w:t>rat</w:t>
            </w:r>
          </w:p>
        </w:tc>
        <w:tc>
          <w:tcPr>
            <w:tcW w:w="3655" w:type="dxa"/>
            <w:vAlign w:val="center"/>
          </w:tcPr>
          <w:p w:rsidR="001D41E2" w:rsidRPr="004B7EF4" w:rsidRDefault="001D41E2" w:rsidP="00883CB9">
            <w:pPr>
              <w:pStyle w:val="Tabletext"/>
              <w:jc w:val="center"/>
            </w:pPr>
            <w:r w:rsidRPr="004B7EF4">
              <w:t>&gt;2.5 mg/L/1h (vapor)</w:t>
            </w:r>
          </w:p>
        </w:tc>
        <w:tc>
          <w:tcPr>
            <w:tcW w:w="2924" w:type="dxa"/>
            <w:vAlign w:val="center"/>
          </w:tcPr>
          <w:p w:rsidR="001D41E2" w:rsidRPr="004B7EF4" w:rsidRDefault="001D41E2" w:rsidP="009D5BB4">
            <w:pPr>
              <w:pStyle w:val="Tabletext"/>
              <w:ind w:left="155"/>
            </w:pPr>
            <w:r w:rsidRPr="004B7EF4">
              <w:t>W</w:t>
            </w:r>
            <w:r w:rsidR="00193E92">
              <w:t>i</w:t>
            </w:r>
            <w:r w:rsidRPr="004B7EF4">
              <w:t>norowski, 1991</w:t>
            </w:r>
          </w:p>
        </w:tc>
      </w:tr>
      <w:tr w:rsidR="001D41E2" w:rsidRPr="004B7EF4" w:rsidTr="00142E86">
        <w:trPr>
          <w:trHeight w:val="567"/>
        </w:trPr>
        <w:tc>
          <w:tcPr>
            <w:tcW w:w="1936" w:type="dxa"/>
            <w:vAlign w:val="center"/>
          </w:tcPr>
          <w:p w:rsidR="001D41E2" w:rsidRPr="004B7EF4" w:rsidRDefault="001D41E2" w:rsidP="00883CB9">
            <w:pPr>
              <w:pStyle w:val="Tabletext"/>
              <w:jc w:val="center"/>
            </w:pPr>
            <w:r w:rsidRPr="004B7EF4">
              <w:t>EhCF</w:t>
            </w:r>
          </w:p>
        </w:tc>
        <w:tc>
          <w:tcPr>
            <w:tcW w:w="1340" w:type="dxa"/>
            <w:vAlign w:val="center"/>
          </w:tcPr>
          <w:p w:rsidR="001D41E2" w:rsidRPr="009F18B8" w:rsidRDefault="001D41E2" w:rsidP="00883CB9">
            <w:pPr>
              <w:jc w:val="center"/>
              <w:rPr>
                <w:sz w:val="20"/>
                <w:szCs w:val="20"/>
              </w:rPr>
            </w:pPr>
            <w:r w:rsidRPr="009F18B8">
              <w:rPr>
                <w:sz w:val="20"/>
                <w:szCs w:val="20"/>
              </w:rPr>
              <w:t>rat</w:t>
            </w:r>
          </w:p>
        </w:tc>
        <w:tc>
          <w:tcPr>
            <w:tcW w:w="3655" w:type="dxa"/>
            <w:vAlign w:val="center"/>
          </w:tcPr>
          <w:p w:rsidR="001D41E2" w:rsidRPr="00FF6A3E" w:rsidRDefault="001D41E2" w:rsidP="00883CB9">
            <w:pPr>
              <w:pStyle w:val="Tabletext"/>
              <w:jc w:val="center"/>
              <w:rPr>
                <w:lang w:val="pt-PT"/>
              </w:rPr>
            </w:pPr>
            <w:r w:rsidRPr="00FF6A3E">
              <w:rPr>
                <w:lang w:val="pt-PT"/>
              </w:rPr>
              <w:t xml:space="preserve">0.38 </w:t>
            </w:r>
            <w:proofErr w:type="gramStart"/>
            <w:r w:rsidRPr="00FF6A3E">
              <w:rPr>
                <w:lang w:val="pt-PT"/>
              </w:rPr>
              <w:t>mg</w:t>
            </w:r>
            <w:proofErr w:type="gramEnd"/>
            <w:r w:rsidRPr="00FF6A3E">
              <w:rPr>
                <w:lang w:val="pt-PT"/>
              </w:rPr>
              <w:t>/L/4h (vapor)</w:t>
            </w:r>
          </w:p>
          <w:p w:rsidR="001D41E2" w:rsidRPr="00FF6A3E" w:rsidRDefault="001D41E2" w:rsidP="00883CB9">
            <w:pPr>
              <w:pStyle w:val="Tabletext"/>
              <w:jc w:val="center"/>
              <w:rPr>
                <w:lang w:val="pt-PT"/>
              </w:rPr>
            </w:pPr>
            <w:r w:rsidRPr="00FF6A3E">
              <w:rPr>
                <w:lang w:val="pt-PT"/>
              </w:rPr>
              <w:t xml:space="preserve">0.27 </w:t>
            </w:r>
            <w:proofErr w:type="gramStart"/>
            <w:r w:rsidRPr="00FF6A3E">
              <w:rPr>
                <w:lang w:val="pt-PT"/>
              </w:rPr>
              <w:t>mg</w:t>
            </w:r>
            <w:proofErr w:type="gramEnd"/>
            <w:r w:rsidRPr="00FF6A3E">
              <w:rPr>
                <w:lang w:val="pt-PT"/>
              </w:rPr>
              <w:t>/L/4h (vapor)</w:t>
            </w:r>
          </w:p>
        </w:tc>
        <w:tc>
          <w:tcPr>
            <w:tcW w:w="2924" w:type="dxa"/>
            <w:vAlign w:val="center"/>
          </w:tcPr>
          <w:p w:rsidR="001D41E2" w:rsidRPr="004B7EF4" w:rsidRDefault="001D41E2" w:rsidP="009D5BB4">
            <w:pPr>
              <w:pStyle w:val="Tabletext"/>
              <w:ind w:left="155"/>
            </w:pPr>
            <w:r w:rsidRPr="004B7EF4">
              <w:t>Henson 2002</w:t>
            </w:r>
          </w:p>
          <w:p w:rsidR="001D41E2" w:rsidRPr="004B7EF4" w:rsidRDefault="001D41E2" w:rsidP="009D5BB4">
            <w:pPr>
              <w:pStyle w:val="Tabletext"/>
              <w:ind w:left="155"/>
            </w:pPr>
            <w:r w:rsidRPr="004B7EF4">
              <w:t>BASF 1985</w:t>
            </w:r>
          </w:p>
        </w:tc>
      </w:tr>
    </w:tbl>
    <w:p w:rsidR="00E107C2" w:rsidRDefault="001D41E2" w:rsidP="009D5BB4">
      <w:pPr>
        <w:spacing w:before="240" w:after="240"/>
        <w:jc w:val="both"/>
      </w:pPr>
      <w:r w:rsidRPr="004B7EF4">
        <w:rPr>
          <w:b/>
          <w:bCs/>
          <w:i/>
          <w:iCs/>
          <w:lang w:eastAsia="de-DE"/>
        </w:rPr>
        <w:t>ObCF:</w:t>
      </w:r>
      <w:r w:rsidRPr="004B7EF4">
        <w:rPr>
          <w:lang w:eastAsia="de-DE"/>
        </w:rPr>
        <w:t xml:space="preserve"> </w:t>
      </w:r>
      <w:r w:rsidRPr="004B7EF4">
        <w:t xml:space="preserve">Sprague Dawley rats (5m/5f) were exposed for 1 hour to 2.53 mg/L (nominal concentration) </w:t>
      </w:r>
      <w:r>
        <w:t xml:space="preserve">of the </w:t>
      </w:r>
      <w:r w:rsidRPr="004B7EF4">
        <w:t xml:space="preserve">test material by inhalation. All animals survived and gained weight.  Clinical signs at exposure included reduced movement, hunched posture and irregular respiration.  Three females had a hunched posture after being removed from the chamber.  All animals recovered by 4 hours </w:t>
      </w:r>
      <w:r>
        <w:t xml:space="preserve">post-exposure </w:t>
      </w:r>
      <w:r w:rsidRPr="004B7EF4">
        <w:t>(W</w:t>
      </w:r>
      <w:r w:rsidR="00193E92">
        <w:t>i</w:t>
      </w:r>
      <w:r w:rsidRPr="004B7EF4">
        <w:t>norowski</w:t>
      </w:r>
      <w:r w:rsidR="00E107C2">
        <w:t>,</w:t>
      </w:r>
      <w:r w:rsidRPr="004B7EF4">
        <w:t xml:space="preserve"> 1991)</w:t>
      </w:r>
      <w:r>
        <w:t>. The LC</w:t>
      </w:r>
      <w:r w:rsidR="007D3E3E" w:rsidRPr="007D3E3E">
        <w:rPr>
          <w:vertAlign w:val="subscript"/>
        </w:rPr>
        <w:t>50</w:t>
      </w:r>
      <w:r>
        <w:t xml:space="preserve"> was &gt;2.5 mg/L/1 h.</w:t>
      </w:r>
    </w:p>
    <w:p w:rsidR="001D41E2" w:rsidRDefault="001D41E2" w:rsidP="004D3CC0">
      <w:pPr>
        <w:spacing w:after="240"/>
        <w:jc w:val="both"/>
      </w:pPr>
      <w:r w:rsidRPr="004B7EF4">
        <w:rPr>
          <w:lang w:eastAsia="de-DE"/>
        </w:rPr>
        <w:t xml:space="preserve">In a study comparable to OECD </w:t>
      </w:r>
      <w:r>
        <w:rPr>
          <w:lang w:eastAsia="de-DE"/>
        </w:rPr>
        <w:t>TG</w:t>
      </w:r>
      <w:r w:rsidRPr="004B7EF4">
        <w:rPr>
          <w:lang w:eastAsia="de-DE"/>
        </w:rPr>
        <w:t xml:space="preserve"> 403</w:t>
      </w:r>
      <w:r>
        <w:rPr>
          <w:lang w:eastAsia="de-DE"/>
        </w:rPr>
        <w:t>, six rats (strain not specified)/sex/dose were exposed to a saturated atmosphere of ObCF vapor for 8 hours (BASF, 1968). The nominal concentration was 0.0875 mg/L.  There were no deaths.  Signs of toxicity included slight irritation of the mucosa. Necropsy findings included chronic bronchitis (2/6 animals) and bronchiectasia (1/6 animals). An LC</w:t>
      </w:r>
      <w:r w:rsidRPr="003D7919">
        <w:rPr>
          <w:vertAlign w:val="subscript"/>
          <w:lang w:eastAsia="de-DE"/>
        </w:rPr>
        <w:t>50</w:t>
      </w:r>
      <w:r>
        <w:rPr>
          <w:lang w:eastAsia="de-DE"/>
        </w:rPr>
        <w:t xml:space="preserve"> was not determined.   </w:t>
      </w:r>
    </w:p>
    <w:p w:rsidR="001D41E2" w:rsidRPr="004B7EF4" w:rsidRDefault="001D41E2" w:rsidP="00F357B8">
      <w:pPr>
        <w:spacing w:after="240"/>
        <w:jc w:val="both"/>
      </w:pPr>
      <w:r w:rsidRPr="004B7EF4">
        <w:rPr>
          <w:b/>
          <w:bCs/>
          <w:i/>
          <w:iCs/>
          <w:lang w:eastAsia="de-DE"/>
        </w:rPr>
        <w:t xml:space="preserve">EhCF: </w:t>
      </w:r>
      <w:r w:rsidRPr="004B7EF4">
        <w:t xml:space="preserve">In an OECD </w:t>
      </w:r>
      <w:r>
        <w:t>TG</w:t>
      </w:r>
      <w:r w:rsidRPr="004B7EF4">
        <w:t xml:space="preserve"> 403 study</w:t>
      </w:r>
      <w:r>
        <w:t>,</w:t>
      </w:r>
      <w:r w:rsidRPr="004B7EF4">
        <w:t xml:space="preserve"> Crl</w:t>
      </w:r>
      <w:proofErr w:type="gramStart"/>
      <w:r w:rsidRPr="004B7EF4">
        <w:t>:CD</w:t>
      </w:r>
      <w:proofErr w:type="gramEnd"/>
      <w:r w:rsidRPr="004B7EF4">
        <w:t xml:space="preserve">(SD)IGS BR rats </w:t>
      </w:r>
      <w:r>
        <w:t xml:space="preserve">(5/sex/concentration) </w:t>
      </w:r>
      <w:r w:rsidRPr="004B7EF4">
        <w:t xml:space="preserve">were exposed (whole body) to </w:t>
      </w:r>
      <w:r>
        <w:t>(</w:t>
      </w:r>
      <w:r w:rsidRPr="004B7EF4">
        <w:t xml:space="preserve">23, 53, 96, 282 </w:t>
      </w:r>
      <w:r>
        <w:t xml:space="preserve">or </w:t>
      </w:r>
      <w:r w:rsidRPr="005F134A">
        <w:t>488 ppm</w:t>
      </w:r>
      <w:r>
        <w:t>) (approximately 0.18, 0.42, 0.76, 2.22, or 3.84 mg/L, respectively)</w:t>
      </w:r>
      <w:r w:rsidRPr="005F134A">
        <w:t xml:space="preserve"> EhCF</w:t>
      </w:r>
      <w:r w:rsidRPr="004B7EF4">
        <w:t xml:space="preserve"> (vapo</w:t>
      </w:r>
      <w:r>
        <w:t>u</w:t>
      </w:r>
      <w:r w:rsidRPr="004B7EF4">
        <w:t xml:space="preserve">r; analytical concentrations) for 4 hours. None of the animals exposed to </w:t>
      </w:r>
      <w:r>
        <w:t>0.18 mg/L</w:t>
      </w:r>
      <w:r w:rsidRPr="004B7EF4">
        <w:t xml:space="preserve"> died</w:t>
      </w:r>
      <w:r>
        <w:t>.</w:t>
      </w:r>
      <w:r w:rsidRPr="004B7EF4">
        <w:t xml:space="preserve"> </w:t>
      </w:r>
      <w:r>
        <w:t>At 0.42 mg/L</w:t>
      </w:r>
      <w:r w:rsidRPr="004B7EF4">
        <w:t xml:space="preserve">, 3 males died during exposure and 1 male and 3 </w:t>
      </w:r>
      <w:proofErr w:type="gramStart"/>
      <w:r w:rsidRPr="004B7EF4">
        <w:t>females</w:t>
      </w:r>
      <w:proofErr w:type="gramEnd"/>
      <w:r w:rsidRPr="004B7EF4">
        <w:t xml:space="preserve"> were found dead on Day 1. </w:t>
      </w:r>
      <w:r>
        <w:t>Mortality in this dose group was 4/5 males and 3/5 females. Nine of ten</w:t>
      </w:r>
      <w:r w:rsidRPr="004B7EF4">
        <w:t xml:space="preserve"> animals exposed to </w:t>
      </w:r>
      <w:r>
        <w:t>0.76 mg/L</w:t>
      </w:r>
      <w:r w:rsidRPr="004B7EF4">
        <w:t xml:space="preserve"> died during exposure</w:t>
      </w:r>
      <w:r>
        <w:t xml:space="preserve"> or</w:t>
      </w:r>
      <w:r w:rsidRPr="004B7EF4">
        <w:t xml:space="preserve"> within the first day</w:t>
      </w:r>
      <w:r>
        <w:t xml:space="preserve"> following exposure</w:t>
      </w:r>
      <w:r w:rsidRPr="004B7EF4">
        <w:t xml:space="preserve">. All animals in the </w:t>
      </w:r>
      <w:r>
        <w:t>2.22 and 3.84 mg/L</w:t>
      </w:r>
      <w:r w:rsidRPr="004B7EF4">
        <w:t xml:space="preserve"> groups died during exposure.  The </w:t>
      </w:r>
      <w:r>
        <w:t xml:space="preserve">4-hr </w:t>
      </w:r>
      <w:r w:rsidRPr="004B7EF4">
        <w:t>LC</w:t>
      </w:r>
      <w:r w:rsidRPr="004B7EF4">
        <w:rPr>
          <w:vertAlign w:val="subscript"/>
        </w:rPr>
        <w:t>50</w:t>
      </w:r>
      <w:r w:rsidRPr="004B7EF4">
        <w:t xml:space="preserve"> value was 0.38 mg/L.  </w:t>
      </w:r>
      <w:r>
        <w:t>A concentration-dependent increase in respiration rate (up to g</w:t>
      </w:r>
      <w:r w:rsidRPr="004B7EF4">
        <w:t>asping</w:t>
      </w:r>
      <w:r>
        <w:t>)</w:t>
      </w:r>
      <w:r w:rsidRPr="004B7EF4">
        <w:t xml:space="preserve"> </w:t>
      </w:r>
      <w:r>
        <w:t xml:space="preserve">during exposure </w:t>
      </w:r>
      <w:r w:rsidRPr="004B7EF4">
        <w:t xml:space="preserve">was observed in all animals. Animals in the </w:t>
      </w:r>
      <w:r>
        <w:t>0.18 mg/L</w:t>
      </w:r>
      <w:r w:rsidRPr="004B7EF4">
        <w:t xml:space="preserve"> group were normal by day 3.  The other surviving animals appeared normal by day 5. Gross findings in animals that died </w:t>
      </w:r>
      <w:r>
        <w:t>following</w:t>
      </w:r>
      <w:r w:rsidRPr="004B7EF4">
        <w:t xml:space="preserve"> exposure included dark red lungs, mottled lungs and/or ocular opacity.  At the scheduled necropsy, dark red lungs and mottled lungs were noted in </w:t>
      </w:r>
      <w:r>
        <w:t xml:space="preserve">some </w:t>
      </w:r>
      <w:r w:rsidRPr="004B7EF4">
        <w:t xml:space="preserve">females exposed to </w:t>
      </w:r>
      <w:r>
        <w:t>0.18 mg/L</w:t>
      </w:r>
      <w:r w:rsidRPr="004B7EF4">
        <w:t xml:space="preserve"> (Henson</w:t>
      </w:r>
      <w:r>
        <w:t>,</w:t>
      </w:r>
      <w:r w:rsidRPr="004B7EF4">
        <w:t xml:space="preserve"> 2002). </w:t>
      </w:r>
    </w:p>
    <w:p w:rsidR="001D41E2" w:rsidRPr="004B7EF4" w:rsidRDefault="001D41E2" w:rsidP="00F357B8">
      <w:pPr>
        <w:spacing w:after="240"/>
        <w:jc w:val="both"/>
      </w:pPr>
      <w:r w:rsidRPr="004B7EF4">
        <w:t>In another OECD TG 403 study</w:t>
      </w:r>
      <w:r>
        <w:t>,</w:t>
      </w:r>
      <w:r w:rsidRPr="004B7EF4">
        <w:t xml:space="preserve"> Wistar rats </w:t>
      </w:r>
      <w:r>
        <w:t>(10/sex/concentration)</w:t>
      </w:r>
      <w:r w:rsidRPr="004B7EF4">
        <w:t xml:space="preserve"> were exposed (whole body) to </w:t>
      </w:r>
      <w:r>
        <w:t xml:space="preserve">0.18, 0.21, 0.27, or </w:t>
      </w:r>
      <w:r w:rsidRPr="004B7EF4">
        <w:t xml:space="preserve">0.37 mg/L EhCF (vapor; </w:t>
      </w:r>
      <w:r>
        <w:t>measured</w:t>
      </w:r>
      <w:r w:rsidRPr="004B7EF4">
        <w:t>) for 4 hours. None of the animals exposed to 0.1</w:t>
      </w:r>
      <w:r>
        <w:t>8</w:t>
      </w:r>
      <w:r w:rsidRPr="004B7EF4">
        <w:t xml:space="preserve"> mg/L died. Mortality occurred at the higher concentrations as follows: 5/</w:t>
      </w:r>
      <w:r>
        <w:t>20</w:t>
      </w:r>
      <w:r w:rsidRPr="004B7EF4">
        <w:t xml:space="preserve"> (0.21</w:t>
      </w:r>
      <w:r>
        <w:t xml:space="preserve"> </w:t>
      </w:r>
      <w:r w:rsidRPr="004B7EF4">
        <w:t>mg/L), 9/</w:t>
      </w:r>
      <w:r>
        <w:t>20</w:t>
      </w:r>
      <w:r w:rsidRPr="004B7EF4">
        <w:t xml:space="preserve"> (0.27 mg/L), </w:t>
      </w:r>
      <w:r>
        <w:t>and 20</w:t>
      </w:r>
      <w:r w:rsidRPr="004B7EF4">
        <w:t>/</w:t>
      </w:r>
      <w:r>
        <w:t>20</w:t>
      </w:r>
      <w:r w:rsidRPr="004B7EF4">
        <w:t xml:space="preserve"> (0.37 mg/L). The overall </w:t>
      </w:r>
      <w:r>
        <w:t xml:space="preserve">4-hr </w:t>
      </w:r>
      <w:r w:rsidRPr="004B7EF4">
        <w:t>LC</w:t>
      </w:r>
      <w:r w:rsidRPr="004B7EF4">
        <w:rPr>
          <w:vertAlign w:val="subscript"/>
        </w:rPr>
        <w:t>50</w:t>
      </w:r>
      <w:r w:rsidRPr="004B7EF4">
        <w:t xml:space="preserve"> value was 0.27 mg/L.  </w:t>
      </w:r>
      <w:r>
        <w:t xml:space="preserve">No effects were noted at the two lower concentrations.  </w:t>
      </w:r>
      <w:r w:rsidRPr="004B7EF4">
        <w:t>After exposure</w:t>
      </w:r>
      <w:r>
        <w:t xml:space="preserve"> to 0.27 mg/L and/or higher,</w:t>
      </w:r>
      <w:r w:rsidRPr="004B7EF4">
        <w:t xml:space="preserve"> </w:t>
      </w:r>
      <w:r>
        <w:t>forced breathing/</w:t>
      </w:r>
      <w:r w:rsidRPr="004B7EF4">
        <w:t xml:space="preserve">gasping, reddish nasal discharge, </w:t>
      </w:r>
      <w:r>
        <w:t xml:space="preserve">nasal </w:t>
      </w:r>
      <w:r w:rsidRPr="004B7EF4">
        <w:t>encrustation</w:t>
      </w:r>
      <w:r>
        <w:t>,</w:t>
      </w:r>
      <w:r w:rsidRPr="004B7EF4">
        <w:t xml:space="preserve"> and staggering </w:t>
      </w:r>
      <w:r>
        <w:t xml:space="preserve">were </w:t>
      </w:r>
      <w:r w:rsidRPr="004B7EF4">
        <w:t xml:space="preserve">observed. Surviving animals recovered within 2-6 days. Gross pathology revealed pulmonary emphysema in all </w:t>
      </w:r>
      <w:r>
        <w:t xml:space="preserve">found </w:t>
      </w:r>
      <w:r w:rsidRPr="004B7EF4">
        <w:t>de</w:t>
      </w:r>
      <w:r>
        <w:t>a</w:t>
      </w:r>
      <w:r w:rsidRPr="004B7EF4">
        <w:t xml:space="preserve">d animals, and pneumonia in 2 females </w:t>
      </w:r>
      <w:r>
        <w:t>that were found dead</w:t>
      </w:r>
      <w:r w:rsidRPr="004B7EF4">
        <w:t>. There were no pathological findings in animals that were sacrificed (BASF</w:t>
      </w:r>
      <w:r>
        <w:t xml:space="preserve"> AG,</w:t>
      </w:r>
      <w:r w:rsidRPr="004B7EF4">
        <w:t xml:space="preserve"> 1985).</w:t>
      </w:r>
    </w:p>
    <w:p w:rsidR="001D41E2" w:rsidRPr="00DF36F5" w:rsidRDefault="001D41E2" w:rsidP="00F357B8">
      <w:pPr>
        <w:spacing w:after="240"/>
        <w:jc w:val="both"/>
        <w:rPr>
          <w:i/>
          <w:iCs/>
        </w:rPr>
      </w:pPr>
      <w:r w:rsidRPr="00DF36F5">
        <w:rPr>
          <w:i/>
          <w:iCs/>
        </w:rPr>
        <w:t>Dermal</w:t>
      </w:r>
    </w:p>
    <w:p w:rsidR="001D41E2" w:rsidRPr="004B7EF4" w:rsidRDefault="001D41E2" w:rsidP="00F357B8">
      <w:pPr>
        <w:pStyle w:val="BodyText"/>
        <w:rPr>
          <w:b/>
          <w:bCs/>
          <w:i/>
          <w:iCs/>
          <w:lang w:val="en-US"/>
        </w:rPr>
      </w:pPr>
      <w:r w:rsidRPr="004B7EF4">
        <w:rPr>
          <w:b/>
          <w:bCs/>
          <w:i/>
          <w:iCs/>
          <w:lang w:val="en-US"/>
        </w:rPr>
        <w:t>Sponsored substances</w:t>
      </w:r>
    </w:p>
    <w:p w:rsidR="001D41E2" w:rsidRPr="004B7EF4" w:rsidRDefault="001D41E2" w:rsidP="00F357B8">
      <w:pPr>
        <w:pStyle w:val="NormalWeb"/>
        <w:spacing w:before="0" w:beforeAutospacing="0"/>
        <w:jc w:val="both"/>
        <w:rPr>
          <w:lang w:val="en-US" w:eastAsia="en-US"/>
        </w:rPr>
      </w:pPr>
      <w:r w:rsidRPr="0041323F">
        <w:rPr>
          <w:b/>
          <w:bCs/>
          <w:i/>
          <w:iCs/>
          <w:lang w:val="en-US" w:eastAsia="en-US"/>
        </w:rPr>
        <w:t>MeCF:</w:t>
      </w:r>
      <w:r w:rsidRPr="004B7EF4">
        <w:rPr>
          <w:lang w:val="en-US" w:eastAsia="en-US"/>
        </w:rPr>
        <w:t xml:space="preserve"> </w:t>
      </w:r>
      <w:r>
        <w:rPr>
          <w:lang w:val="en-US" w:eastAsia="en-US"/>
        </w:rPr>
        <w:t xml:space="preserve"> No </w:t>
      </w:r>
      <w:r w:rsidR="005A7522">
        <w:rPr>
          <w:lang w:val="en-US" w:eastAsia="en-US"/>
        </w:rPr>
        <w:t xml:space="preserve">adequate </w:t>
      </w:r>
      <w:r>
        <w:rPr>
          <w:lang w:val="en-US" w:eastAsia="en-US"/>
        </w:rPr>
        <w:t>acute dermal toxicity data.</w:t>
      </w:r>
    </w:p>
    <w:p w:rsidR="001D41E2" w:rsidRPr="004B7EF4" w:rsidRDefault="001D41E2" w:rsidP="00F357B8">
      <w:pPr>
        <w:pStyle w:val="NormalWeb"/>
        <w:spacing w:before="0" w:beforeAutospacing="0"/>
        <w:jc w:val="both"/>
        <w:rPr>
          <w:lang w:val="en-US" w:eastAsia="en-US"/>
        </w:rPr>
      </w:pPr>
      <w:r w:rsidRPr="0041323F">
        <w:rPr>
          <w:b/>
          <w:bCs/>
          <w:i/>
          <w:iCs/>
          <w:lang w:val="en-US" w:eastAsia="en-US"/>
        </w:rPr>
        <w:t>EtCF:</w:t>
      </w:r>
      <w:r w:rsidRPr="004B7EF4">
        <w:rPr>
          <w:lang w:val="en-US" w:eastAsia="en-US"/>
        </w:rPr>
        <w:t xml:space="preserve"> In a study </w:t>
      </w:r>
      <w:r>
        <w:rPr>
          <w:lang w:val="en-US" w:eastAsia="en-US"/>
        </w:rPr>
        <w:t>comparable</w:t>
      </w:r>
      <w:r w:rsidRPr="004B7EF4">
        <w:rPr>
          <w:lang w:val="en-US" w:eastAsia="en-US"/>
        </w:rPr>
        <w:t xml:space="preserve"> to OECD </w:t>
      </w:r>
      <w:r>
        <w:rPr>
          <w:lang w:val="en-US" w:eastAsia="en-US"/>
        </w:rPr>
        <w:t xml:space="preserve">TG </w:t>
      </w:r>
      <w:r w:rsidRPr="004B7EF4">
        <w:rPr>
          <w:lang w:val="en-US" w:eastAsia="en-US"/>
        </w:rPr>
        <w:t>402</w:t>
      </w:r>
      <w:r>
        <w:rPr>
          <w:lang w:val="en-US" w:eastAsia="en-US"/>
        </w:rPr>
        <w:t>,</w:t>
      </w:r>
      <w:r w:rsidRPr="004B7EF4">
        <w:rPr>
          <w:lang w:val="en-US" w:eastAsia="en-US"/>
        </w:rPr>
        <w:t xml:space="preserve"> </w:t>
      </w:r>
      <w:r>
        <w:rPr>
          <w:lang w:val="en-US" w:eastAsia="en-US"/>
        </w:rPr>
        <w:t xml:space="preserve">male rabbits (strain not reported; 2/dose) were dermally treated with </w:t>
      </w:r>
      <w:r w:rsidRPr="004B7EF4">
        <w:rPr>
          <w:lang w:val="en-US" w:eastAsia="en-US"/>
        </w:rPr>
        <w:t xml:space="preserve">0.5, 1.0, </w:t>
      </w:r>
      <w:r>
        <w:rPr>
          <w:lang w:val="en-US" w:eastAsia="en-US"/>
        </w:rPr>
        <w:t xml:space="preserve">or </w:t>
      </w:r>
      <w:r w:rsidRPr="004B7EF4">
        <w:rPr>
          <w:lang w:val="en-US" w:eastAsia="en-US"/>
        </w:rPr>
        <w:t xml:space="preserve">2.0 ml/kg </w:t>
      </w:r>
      <w:proofErr w:type="gramStart"/>
      <w:r>
        <w:rPr>
          <w:lang w:val="en-US" w:eastAsia="en-US"/>
        </w:rPr>
        <w:t>bw</w:t>
      </w:r>
      <w:proofErr w:type="gramEnd"/>
      <w:r>
        <w:rPr>
          <w:lang w:val="en-US" w:eastAsia="en-US"/>
        </w:rPr>
        <w:t xml:space="preserve"> EtCF. </w:t>
      </w:r>
      <w:r w:rsidRPr="004B7EF4">
        <w:rPr>
          <w:lang w:val="en-US" w:eastAsia="en-US"/>
        </w:rPr>
        <w:t>No animal</w:t>
      </w:r>
      <w:r>
        <w:rPr>
          <w:lang w:val="en-US" w:eastAsia="en-US"/>
        </w:rPr>
        <w:t>s</w:t>
      </w:r>
      <w:r w:rsidRPr="004B7EF4">
        <w:rPr>
          <w:lang w:val="en-US" w:eastAsia="en-US"/>
        </w:rPr>
        <w:t xml:space="preserve"> died</w:t>
      </w:r>
      <w:r>
        <w:rPr>
          <w:lang w:val="en-US" w:eastAsia="en-US"/>
        </w:rPr>
        <w:t xml:space="preserve"> but the substance was corrosive at all doses</w:t>
      </w:r>
      <w:r w:rsidRPr="004B7EF4">
        <w:rPr>
          <w:lang w:val="en-US" w:eastAsia="en-US"/>
        </w:rPr>
        <w:t xml:space="preserve">. </w:t>
      </w:r>
      <w:r>
        <w:rPr>
          <w:lang w:val="en-US" w:eastAsia="en-US"/>
        </w:rPr>
        <w:t>The dermal</w:t>
      </w:r>
      <w:r w:rsidRPr="004B7EF4">
        <w:rPr>
          <w:lang w:val="en-US" w:eastAsia="en-US"/>
        </w:rPr>
        <w:t xml:space="preserve"> LD</w:t>
      </w:r>
      <w:r w:rsidRPr="000F6760">
        <w:rPr>
          <w:vertAlign w:val="subscript"/>
          <w:lang w:val="en-US" w:eastAsia="en-US"/>
        </w:rPr>
        <w:t>50</w:t>
      </w:r>
      <w:r w:rsidRPr="004B7EF4">
        <w:rPr>
          <w:lang w:val="en-US" w:eastAsia="en-US"/>
        </w:rPr>
        <w:t xml:space="preserve"> value </w:t>
      </w:r>
      <w:r>
        <w:rPr>
          <w:lang w:val="en-US" w:eastAsia="en-US"/>
        </w:rPr>
        <w:t xml:space="preserve">was greater than </w:t>
      </w:r>
      <w:r w:rsidRPr="004B7EF4">
        <w:rPr>
          <w:lang w:val="en-US" w:eastAsia="en-US"/>
        </w:rPr>
        <w:t xml:space="preserve">2280 mg/kg </w:t>
      </w:r>
      <w:proofErr w:type="gramStart"/>
      <w:r w:rsidRPr="004B7EF4">
        <w:rPr>
          <w:lang w:val="en-US" w:eastAsia="en-US"/>
        </w:rPr>
        <w:t>bw</w:t>
      </w:r>
      <w:proofErr w:type="gramEnd"/>
      <w:r w:rsidRPr="004B7EF4">
        <w:rPr>
          <w:lang w:val="en-US" w:eastAsia="en-US"/>
        </w:rPr>
        <w:t xml:space="preserve"> (Griscom</w:t>
      </w:r>
      <w:r>
        <w:rPr>
          <w:lang w:val="en-US" w:eastAsia="en-US"/>
        </w:rPr>
        <w:t>,</w:t>
      </w:r>
      <w:r w:rsidRPr="004B7EF4">
        <w:rPr>
          <w:lang w:val="en-US" w:eastAsia="en-US"/>
        </w:rPr>
        <w:t xml:space="preserve"> 1972).</w:t>
      </w:r>
    </w:p>
    <w:p w:rsidR="001D41E2" w:rsidRPr="004B7EF4" w:rsidRDefault="001D41E2" w:rsidP="00F357B8">
      <w:pPr>
        <w:pStyle w:val="NormalWeb"/>
        <w:spacing w:before="0" w:beforeAutospacing="0"/>
        <w:jc w:val="both"/>
        <w:rPr>
          <w:lang w:val="en-US" w:eastAsia="en-US"/>
        </w:rPr>
      </w:pPr>
      <w:r w:rsidRPr="0041323F">
        <w:rPr>
          <w:b/>
          <w:bCs/>
          <w:i/>
          <w:iCs/>
          <w:lang w:val="en-US" w:eastAsia="en-US"/>
        </w:rPr>
        <w:t>PrCF:</w:t>
      </w:r>
      <w:r w:rsidRPr="004B7EF4">
        <w:rPr>
          <w:lang w:val="en-US" w:eastAsia="en-US"/>
        </w:rPr>
        <w:t xml:space="preserve"> </w:t>
      </w:r>
      <w:r>
        <w:rPr>
          <w:lang w:val="en-US" w:eastAsia="en-US"/>
        </w:rPr>
        <w:t xml:space="preserve">No </w:t>
      </w:r>
      <w:r w:rsidR="00816912">
        <w:rPr>
          <w:lang w:val="en-US" w:eastAsia="en-US"/>
        </w:rPr>
        <w:t xml:space="preserve">adequate </w:t>
      </w:r>
      <w:r>
        <w:rPr>
          <w:lang w:val="en-US" w:eastAsia="en-US"/>
        </w:rPr>
        <w:t>acute dermal toxicity data.</w:t>
      </w:r>
    </w:p>
    <w:p w:rsidR="001D41E2" w:rsidRPr="0041323F" w:rsidRDefault="001D41E2" w:rsidP="00F357B8">
      <w:pPr>
        <w:pStyle w:val="NormalWeb"/>
        <w:spacing w:before="0" w:beforeAutospacing="0"/>
        <w:jc w:val="both"/>
        <w:rPr>
          <w:lang w:val="en-US" w:eastAsia="en-US"/>
        </w:rPr>
      </w:pPr>
      <w:r w:rsidRPr="0041323F">
        <w:rPr>
          <w:b/>
          <w:bCs/>
          <w:i/>
          <w:iCs/>
          <w:lang w:val="en-US" w:eastAsia="en-US"/>
        </w:rPr>
        <w:t>IpCF:</w:t>
      </w:r>
      <w:r w:rsidRPr="0041323F">
        <w:rPr>
          <w:lang w:val="en-US" w:eastAsia="en-US"/>
        </w:rPr>
        <w:t xml:space="preserve"> In a study comparable to OECD TG 402, 2000 mg/kg</w:t>
      </w:r>
      <w:r>
        <w:rPr>
          <w:lang w:val="en-US" w:eastAsia="en-US"/>
        </w:rPr>
        <w:t xml:space="preserve"> </w:t>
      </w:r>
      <w:proofErr w:type="gramStart"/>
      <w:r>
        <w:rPr>
          <w:lang w:val="en-US" w:eastAsia="en-US"/>
        </w:rPr>
        <w:t>bw</w:t>
      </w:r>
      <w:proofErr w:type="gramEnd"/>
      <w:r w:rsidRPr="0041323F">
        <w:rPr>
          <w:lang w:val="en-US" w:eastAsia="en-US"/>
        </w:rPr>
        <w:t xml:space="preserve"> IpCF was applied to the shaved dorsal flank </w:t>
      </w:r>
      <w:r>
        <w:rPr>
          <w:lang w:val="en-US" w:eastAsia="en-US"/>
        </w:rPr>
        <w:t xml:space="preserve">(semi-occlusive) </w:t>
      </w:r>
      <w:r w:rsidRPr="0041323F">
        <w:rPr>
          <w:lang w:val="en-US" w:eastAsia="en-US"/>
        </w:rPr>
        <w:t xml:space="preserve">of </w:t>
      </w:r>
      <w:r w:rsidRPr="0066757F">
        <w:rPr>
          <w:lang w:val="en-US" w:eastAsia="en-US"/>
        </w:rPr>
        <w:t xml:space="preserve">Vienna White </w:t>
      </w:r>
      <w:r w:rsidRPr="0041323F">
        <w:rPr>
          <w:lang w:val="en-US" w:eastAsia="en-US"/>
        </w:rPr>
        <w:t xml:space="preserve">rabbits </w:t>
      </w:r>
      <w:r>
        <w:rPr>
          <w:lang w:val="en-US" w:eastAsia="en-US"/>
        </w:rPr>
        <w:t>(5/sex)</w:t>
      </w:r>
      <w:r w:rsidRPr="0041323F">
        <w:rPr>
          <w:lang w:val="en-US" w:eastAsia="en-US"/>
        </w:rPr>
        <w:t xml:space="preserve">. None of the animals died within the 14-day observation period.  Therefore, the </w:t>
      </w:r>
      <w:r>
        <w:rPr>
          <w:lang w:val="en-US" w:eastAsia="en-US"/>
        </w:rPr>
        <w:t xml:space="preserve">dermal </w:t>
      </w:r>
      <w:r w:rsidRPr="0041323F">
        <w:rPr>
          <w:lang w:val="en-US" w:eastAsia="en-US"/>
        </w:rPr>
        <w:t>LD</w:t>
      </w:r>
      <w:r w:rsidRPr="000F6760">
        <w:rPr>
          <w:vertAlign w:val="subscript"/>
          <w:lang w:val="en-US" w:eastAsia="en-US"/>
        </w:rPr>
        <w:t>50</w:t>
      </w:r>
      <w:r w:rsidRPr="0041323F">
        <w:rPr>
          <w:lang w:val="en-US" w:eastAsia="en-US"/>
        </w:rPr>
        <w:t xml:space="preserve"> value was determined to be greater than 2000 mg/kg </w:t>
      </w:r>
      <w:proofErr w:type="gramStart"/>
      <w:r w:rsidRPr="0041323F">
        <w:rPr>
          <w:lang w:val="en-US" w:eastAsia="en-US"/>
        </w:rPr>
        <w:t>bw</w:t>
      </w:r>
      <w:proofErr w:type="gramEnd"/>
      <w:r w:rsidRPr="0041323F">
        <w:rPr>
          <w:lang w:val="en-US" w:eastAsia="en-US"/>
        </w:rPr>
        <w:t xml:space="preserve"> in males and females</w:t>
      </w:r>
      <w:r>
        <w:rPr>
          <w:lang w:val="en-US" w:eastAsia="en-US"/>
        </w:rPr>
        <w:t xml:space="preserve">. </w:t>
      </w:r>
      <w:r w:rsidRPr="0041323F">
        <w:rPr>
          <w:lang w:val="en-US" w:eastAsia="en-US"/>
        </w:rPr>
        <w:t xml:space="preserve">IpCF caused </w:t>
      </w:r>
      <w:r>
        <w:rPr>
          <w:lang w:val="en-US" w:eastAsia="en-US"/>
        </w:rPr>
        <w:t>local skin effects: erythema, edema, encrustation, thickening, and bleeding</w:t>
      </w:r>
      <w:r w:rsidRPr="0041323F">
        <w:rPr>
          <w:lang w:val="en-US" w:eastAsia="en-US"/>
        </w:rPr>
        <w:t xml:space="preserve"> (BASF</w:t>
      </w:r>
      <w:r>
        <w:rPr>
          <w:lang w:val="en-US" w:eastAsia="en-US"/>
        </w:rPr>
        <w:t xml:space="preserve"> AG,</w:t>
      </w:r>
      <w:r w:rsidRPr="0041323F">
        <w:rPr>
          <w:lang w:val="en-US" w:eastAsia="en-US"/>
        </w:rPr>
        <w:t xml:space="preserve"> 1984c).</w:t>
      </w:r>
    </w:p>
    <w:p w:rsidR="001D41E2" w:rsidRPr="0041323F" w:rsidRDefault="001D41E2" w:rsidP="00F357B8">
      <w:pPr>
        <w:pStyle w:val="NormalWeb"/>
        <w:spacing w:before="0" w:beforeAutospacing="0"/>
        <w:jc w:val="both"/>
        <w:rPr>
          <w:lang w:val="en-US" w:eastAsia="en-US"/>
        </w:rPr>
      </w:pPr>
      <w:r w:rsidRPr="0041323F">
        <w:rPr>
          <w:b/>
          <w:bCs/>
          <w:i/>
          <w:iCs/>
          <w:lang w:val="en-US" w:eastAsia="en-US"/>
        </w:rPr>
        <w:t>SbCF:</w:t>
      </w:r>
      <w:r w:rsidRPr="0041323F">
        <w:rPr>
          <w:lang w:val="en-US" w:eastAsia="en-US"/>
        </w:rPr>
        <w:t xml:space="preserve"> In a</w:t>
      </w:r>
      <w:r>
        <w:rPr>
          <w:lang w:val="en-US" w:eastAsia="en-US"/>
        </w:rPr>
        <w:t>n</w:t>
      </w:r>
      <w:r w:rsidRPr="0041323F">
        <w:rPr>
          <w:lang w:val="en-US" w:eastAsia="en-US"/>
        </w:rPr>
        <w:t xml:space="preserve"> OECD </w:t>
      </w:r>
      <w:r>
        <w:rPr>
          <w:lang w:val="en-US" w:eastAsia="en-US"/>
        </w:rPr>
        <w:t>TG</w:t>
      </w:r>
      <w:r w:rsidRPr="0041323F">
        <w:rPr>
          <w:lang w:val="en-US" w:eastAsia="en-US"/>
        </w:rPr>
        <w:t xml:space="preserve"> 402</w:t>
      </w:r>
      <w:r>
        <w:rPr>
          <w:lang w:val="en-US" w:eastAsia="en-US"/>
        </w:rPr>
        <w:t xml:space="preserve"> study</w:t>
      </w:r>
      <w:r w:rsidRPr="0041323F">
        <w:rPr>
          <w:lang w:val="en-US" w:eastAsia="en-US"/>
        </w:rPr>
        <w:t xml:space="preserve">, </w:t>
      </w:r>
      <w:r w:rsidRPr="001D1A38">
        <w:rPr>
          <w:lang w:val="en-US" w:eastAsia="en-US"/>
        </w:rPr>
        <w:t xml:space="preserve">Vienna White </w:t>
      </w:r>
      <w:r w:rsidRPr="0041323F">
        <w:rPr>
          <w:lang w:val="en-US" w:eastAsia="en-US"/>
        </w:rPr>
        <w:t xml:space="preserve">rabbits (5/sex) were </w:t>
      </w:r>
      <w:r>
        <w:rPr>
          <w:lang w:val="en-US" w:eastAsia="en-US"/>
        </w:rPr>
        <w:t xml:space="preserve">dermally </w:t>
      </w:r>
      <w:r w:rsidRPr="0041323F">
        <w:rPr>
          <w:lang w:val="en-US" w:eastAsia="en-US"/>
        </w:rPr>
        <w:t>treated with 2000 mg/kg</w:t>
      </w:r>
      <w:r>
        <w:rPr>
          <w:lang w:val="en-US" w:eastAsia="en-US"/>
        </w:rPr>
        <w:t xml:space="preserve"> </w:t>
      </w:r>
      <w:proofErr w:type="gramStart"/>
      <w:r>
        <w:rPr>
          <w:lang w:val="en-US" w:eastAsia="en-US"/>
        </w:rPr>
        <w:t>bw</w:t>
      </w:r>
      <w:proofErr w:type="gramEnd"/>
      <w:r w:rsidRPr="0041323F">
        <w:rPr>
          <w:lang w:val="en-US" w:eastAsia="en-US"/>
        </w:rPr>
        <w:t xml:space="preserve"> of SbCF for 24 hours under semi</w:t>
      </w:r>
      <w:r>
        <w:rPr>
          <w:lang w:val="en-US" w:eastAsia="en-US"/>
        </w:rPr>
        <w:t>-</w:t>
      </w:r>
      <w:r w:rsidRPr="0041323F">
        <w:rPr>
          <w:lang w:val="en-US" w:eastAsia="en-US"/>
        </w:rPr>
        <w:t>o</w:t>
      </w:r>
      <w:r>
        <w:rPr>
          <w:lang w:val="en-US" w:eastAsia="en-US"/>
        </w:rPr>
        <w:t>cclusive conditions. Mortality</w:t>
      </w:r>
      <w:r w:rsidRPr="0041323F">
        <w:rPr>
          <w:lang w:val="en-US" w:eastAsia="en-US"/>
        </w:rPr>
        <w:t xml:space="preserve"> and clinical signs were not observed except for </w:t>
      </w:r>
      <w:r>
        <w:rPr>
          <w:lang w:val="en-US" w:eastAsia="en-US"/>
        </w:rPr>
        <w:t xml:space="preserve">strong </w:t>
      </w:r>
      <w:r w:rsidRPr="0041323F">
        <w:rPr>
          <w:lang w:val="en-US" w:eastAsia="en-US"/>
        </w:rPr>
        <w:t>irritation</w:t>
      </w:r>
      <w:r>
        <w:rPr>
          <w:lang w:val="en-US" w:eastAsia="en-US"/>
        </w:rPr>
        <w:t>/corrosion</w:t>
      </w:r>
      <w:r w:rsidRPr="0041323F">
        <w:rPr>
          <w:lang w:val="en-US" w:eastAsia="en-US"/>
        </w:rPr>
        <w:t xml:space="preserve"> at the application site</w:t>
      </w:r>
      <w:r>
        <w:rPr>
          <w:lang w:val="en-US" w:eastAsia="en-US"/>
        </w:rPr>
        <w:t xml:space="preserve"> (</w:t>
      </w:r>
      <w:r w:rsidRPr="0078673C">
        <w:rPr>
          <w:lang w:val="en-US" w:eastAsia="en-US"/>
        </w:rPr>
        <w:t>severe erythema (partly haemorrhagic), edema, ulcer and scale formation</w:t>
      </w:r>
      <w:r>
        <w:rPr>
          <w:lang w:val="en-US" w:eastAsia="en-US"/>
        </w:rPr>
        <w:t>)</w:t>
      </w:r>
      <w:r w:rsidRPr="0041323F">
        <w:rPr>
          <w:lang w:val="en-US" w:eastAsia="en-US"/>
        </w:rPr>
        <w:t>. The acute LD</w:t>
      </w:r>
      <w:r w:rsidRPr="000F6760">
        <w:rPr>
          <w:vertAlign w:val="subscript"/>
          <w:lang w:val="en-US" w:eastAsia="en-US"/>
        </w:rPr>
        <w:t>50</w:t>
      </w:r>
      <w:r>
        <w:rPr>
          <w:lang w:val="en-US" w:eastAsia="en-US"/>
        </w:rPr>
        <w:t xml:space="preserve"> of SbCF in rabbits wa</w:t>
      </w:r>
      <w:r w:rsidRPr="0041323F">
        <w:rPr>
          <w:lang w:val="en-US" w:eastAsia="en-US"/>
        </w:rPr>
        <w:t>s greater than 2000 mg/kg</w:t>
      </w:r>
      <w:r>
        <w:rPr>
          <w:lang w:val="en-US" w:eastAsia="en-US"/>
        </w:rPr>
        <w:t xml:space="preserve"> </w:t>
      </w:r>
      <w:proofErr w:type="gramStart"/>
      <w:r>
        <w:rPr>
          <w:lang w:val="en-US" w:eastAsia="en-US"/>
        </w:rPr>
        <w:t>bw</w:t>
      </w:r>
      <w:proofErr w:type="gramEnd"/>
      <w:r w:rsidRPr="0041323F">
        <w:rPr>
          <w:lang w:val="en-US" w:eastAsia="en-US"/>
        </w:rPr>
        <w:t xml:space="preserve"> after dermal application (BASF</w:t>
      </w:r>
      <w:r>
        <w:rPr>
          <w:lang w:val="en-US" w:eastAsia="en-US"/>
        </w:rPr>
        <w:t xml:space="preserve"> AG,</w:t>
      </w:r>
      <w:r w:rsidRPr="0041323F">
        <w:rPr>
          <w:lang w:val="en-US" w:eastAsia="en-US"/>
        </w:rPr>
        <w:t xml:space="preserve"> 1984e).</w:t>
      </w:r>
    </w:p>
    <w:p w:rsidR="009D5BB4" w:rsidRDefault="001D41E2" w:rsidP="009D5BB4">
      <w:pPr>
        <w:jc w:val="both"/>
      </w:pPr>
      <w:r w:rsidRPr="004B7EF4">
        <w:rPr>
          <w:b/>
          <w:bCs/>
          <w:i/>
          <w:iCs/>
        </w:rPr>
        <w:t xml:space="preserve">ObCF: </w:t>
      </w:r>
      <w:r>
        <w:t xml:space="preserve">No </w:t>
      </w:r>
      <w:r w:rsidR="00816912">
        <w:t xml:space="preserve">adequate </w:t>
      </w:r>
      <w:r>
        <w:t>acute dermal toxicity data.</w:t>
      </w:r>
    </w:p>
    <w:p w:rsidR="009D5BB4" w:rsidRPr="009D5BB4" w:rsidRDefault="00816912" w:rsidP="009D5BB4">
      <w:pPr>
        <w:spacing w:before="240"/>
        <w:jc w:val="both"/>
      </w:pPr>
      <w:r w:rsidRPr="009D5BB4">
        <w:rPr>
          <w:b/>
          <w:i/>
          <w:iCs/>
        </w:rPr>
        <w:t>EhCF:</w:t>
      </w:r>
      <w:r>
        <w:rPr>
          <w:i/>
          <w:iCs/>
        </w:rPr>
        <w:t xml:space="preserve">  </w:t>
      </w:r>
      <w:r>
        <w:rPr>
          <w:iCs/>
        </w:rPr>
        <w:t xml:space="preserve">No adequate acute dermal toxicity data.  </w:t>
      </w:r>
      <w:bookmarkStart w:id="64" w:name="_Toc264983289"/>
    </w:p>
    <w:p w:rsidR="001D41E2" w:rsidRPr="004B7EF4" w:rsidRDefault="001D41E2" w:rsidP="009D5BB4">
      <w:pPr>
        <w:pStyle w:val="Caption"/>
        <w:ind w:left="0"/>
      </w:pPr>
      <w:r w:rsidRPr="004B7EF4">
        <w:t xml:space="preserve">Table </w:t>
      </w:r>
      <w:r>
        <w:t>1</w:t>
      </w:r>
      <w:r w:rsidR="002F054D">
        <w:t>3</w:t>
      </w:r>
      <w:r w:rsidR="009D5BB4">
        <w:t xml:space="preserve">    </w:t>
      </w:r>
      <w:r>
        <w:t xml:space="preserve"> </w:t>
      </w:r>
      <w:r w:rsidRPr="004B7EF4">
        <w:t>Summary of acute dermal toxicity</w:t>
      </w:r>
      <w:bookmarkEnd w:id="64"/>
      <w: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6"/>
        <w:gridCol w:w="1340"/>
        <w:gridCol w:w="3655"/>
        <w:gridCol w:w="2924"/>
      </w:tblGrid>
      <w:tr w:rsidR="001D41E2" w:rsidRPr="004B7EF4" w:rsidTr="00142E86">
        <w:trPr>
          <w:tblHeader/>
        </w:trPr>
        <w:tc>
          <w:tcPr>
            <w:tcW w:w="1936" w:type="dxa"/>
            <w:tcBorders>
              <w:top w:val="single" w:sz="12" w:space="0" w:color="auto"/>
              <w:left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 xml:space="preserve">Category member </w:t>
            </w:r>
          </w:p>
        </w:tc>
        <w:tc>
          <w:tcPr>
            <w:tcW w:w="1340"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Test species</w:t>
            </w:r>
          </w:p>
        </w:tc>
        <w:tc>
          <w:tcPr>
            <w:tcW w:w="3655"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 xml:space="preserve">Result </w:t>
            </w:r>
            <w:r w:rsidRPr="004B7EF4">
              <w:t>LD</w:t>
            </w:r>
            <w:r w:rsidRPr="004B7EF4">
              <w:rPr>
                <w:vertAlign w:val="subscript"/>
              </w:rPr>
              <w:t>50</w:t>
            </w:r>
          </w:p>
        </w:tc>
        <w:tc>
          <w:tcPr>
            <w:tcW w:w="2924" w:type="dxa"/>
            <w:tcBorders>
              <w:top w:val="single" w:sz="12" w:space="0" w:color="auto"/>
              <w:bottom w:val="single" w:sz="12" w:space="0" w:color="auto"/>
              <w:right w:val="single" w:sz="12" w:space="0" w:color="auto"/>
            </w:tcBorders>
            <w:vAlign w:val="center"/>
          </w:tcPr>
          <w:p w:rsidR="001D41E2" w:rsidRPr="004B7EF4" w:rsidRDefault="001D41E2" w:rsidP="00883CB9">
            <w:pPr>
              <w:pStyle w:val="Tabletext"/>
              <w:jc w:val="center"/>
              <w:rPr>
                <w:b/>
                <w:bCs/>
              </w:rPr>
            </w:pPr>
            <w:r w:rsidRPr="004B7EF4">
              <w:rPr>
                <w:b/>
                <w:bCs/>
              </w:rPr>
              <w:t>Reference</w:t>
            </w:r>
          </w:p>
        </w:tc>
      </w:tr>
      <w:tr w:rsidR="001D41E2" w:rsidRPr="004B7EF4" w:rsidTr="00142E86">
        <w:trPr>
          <w:trHeight w:val="397"/>
        </w:trPr>
        <w:tc>
          <w:tcPr>
            <w:tcW w:w="9855" w:type="dxa"/>
            <w:gridSpan w:val="4"/>
            <w:tcBorders>
              <w:top w:val="single" w:sz="12" w:space="0" w:color="auto"/>
              <w:left w:val="single" w:sz="12" w:space="0" w:color="auto"/>
              <w:right w:val="single" w:sz="12" w:space="0" w:color="auto"/>
            </w:tcBorders>
            <w:vAlign w:val="center"/>
          </w:tcPr>
          <w:p w:rsidR="001D41E2" w:rsidRPr="004B7EF4" w:rsidRDefault="001D41E2" w:rsidP="009D5BB4">
            <w:pPr>
              <w:pStyle w:val="Tabletext"/>
              <w:jc w:val="center"/>
            </w:pPr>
            <w:r w:rsidRPr="004B7EF4">
              <w:rPr>
                <w:b/>
                <w:bCs/>
              </w:rPr>
              <w:t>Acute dermal Toxicity</w:t>
            </w:r>
          </w:p>
        </w:tc>
      </w:tr>
      <w:tr w:rsidR="001D41E2" w:rsidRPr="004B7EF4" w:rsidTr="00142E86">
        <w:trPr>
          <w:trHeight w:val="567"/>
        </w:trPr>
        <w:tc>
          <w:tcPr>
            <w:tcW w:w="1936" w:type="dxa"/>
            <w:tcBorders>
              <w:left w:val="single" w:sz="12" w:space="0" w:color="auto"/>
              <w:bottom w:val="nil"/>
            </w:tcBorders>
            <w:vAlign w:val="center"/>
          </w:tcPr>
          <w:p w:rsidR="001D41E2" w:rsidRPr="000F6760" w:rsidRDefault="001D41E2" w:rsidP="00883CB9">
            <w:pPr>
              <w:pStyle w:val="Tabletext"/>
              <w:jc w:val="center"/>
            </w:pPr>
            <w:r w:rsidRPr="000F6760">
              <w:t>EtCF</w:t>
            </w:r>
          </w:p>
        </w:tc>
        <w:tc>
          <w:tcPr>
            <w:tcW w:w="1340" w:type="dxa"/>
            <w:tcBorders>
              <w:bottom w:val="nil"/>
            </w:tcBorders>
            <w:vAlign w:val="center"/>
          </w:tcPr>
          <w:p w:rsidR="001D41E2" w:rsidRPr="000F6760" w:rsidRDefault="001D41E2" w:rsidP="00883CB9">
            <w:pPr>
              <w:pStyle w:val="NormalWeb"/>
              <w:spacing w:before="120" w:after="120"/>
              <w:jc w:val="center"/>
              <w:rPr>
                <w:sz w:val="20"/>
                <w:szCs w:val="20"/>
                <w:lang w:val="en-US"/>
              </w:rPr>
            </w:pPr>
            <w:r w:rsidRPr="000F6760">
              <w:rPr>
                <w:sz w:val="20"/>
                <w:szCs w:val="20"/>
                <w:lang w:val="en-US"/>
              </w:rPr>
              <w:t>rabbit</w:t>
            </w:r>
          </w:p>
        </w:tc>
        <w:tc>
          <w:tcPr>
            <w:tcW w:w="3655" w:type="dxa"/>
            <w:tcBorders>
              <w:bottom w:val="nil"/>
            </w:tcBorders>
            <w:vAlign w:val="center"/>
          </w:tcPr>
          <w:p w:rsidR="001D41E2" w:rsidRPr="000F6760" w:rsidRDefault="001D41E2" w:rsidP="00883CB9">
            <w:pPr>
              <w:pStyle w:val="NormalWeb"/>
              <w:spacing w:before="120" w:after="120"/>
              <w:jc w:val="center"/>
              <w:rPr>
                <w:sz w:val="20"/>
                <w:szCs w:val="20"/>
                <w:lang w:val="en-US"/>
              </w:rPr>
            </w:pPr>
            <w:r w:rsidRPr="000F6760">
              <w:rPr>
                <w:sz w:val="20"/>
                <w:szCs w:val="20"/>
                <w:lang w:val="en-US"/>
              </w:rPr>
              <w:t>&gt; 2280 mg/kg bw</w:t>
            </w:r>
            <w:r>
              <w:rPr>
                <w:sz w:val="20"/>
                <w:szCs w:val="20"/>
                <w:lang w:val="en-US"/>
              </w:rPr>
              <w:t xml:space="preserve"> (male only)</w:t>
            </w:r>
          </w:p>
        </w:tc>
        <w:tc>
          <w:tcPr>
            <w:tcW w:w="2924" w:type="dxa"/>
            <w:tcBorders>
              <w:bottom w:val="nil"/>
              <w:right w:val="single" w:sz="12" w:space="0" w:color="auto"/>
            </w:tcBorders>
            <w:vAlign w:val="center"/>
          </w:tcPr>
          <w:p w:rsidR="001D41E2" w:rsidRPr="004C2CEE" w:rsidRDefault="001D41E2" w:rsidP="00883CB9">
            <w:pPr>
              <w:pStyle w:val="NormalWeb"/>
              <w:spacing w:before="120" w:after="120"/>
              <w:jc w:val="center"/>
              <w:rPr>
                <w:sz w:val="20"/>
                <w:szCs w:val="20"/>
                <w:lang w:val="en-US"/>
              </w:rPr>
            </w:pPr>
            <w:r w:rsidRPr="004C2CEE">
              <w:rPr>
                <w:sz w:val="20"/>
                <w:szCs w:val="20"/>
                <w:lang w:val="en-US"/>
              </w:rPr>
              <w:t>Griscom, 1972</w:t>
            </w:r>
          </w:p>
        </w:tc>
      </w:tr>
      <w:tr w:rsidR="001D41E2" w:rsidRPr="004B7EF4" w:rsidTr="00142E86">
        <w:trPr>
          <w:trHeight w:val="567"/>
        </w:trPr>
        <w:tc>
          <w:tcPr>
            <w:tcW w:w="1936" w:type="dxa"/>
            <w:tcBorders>
              <w:left w:val="single" w:sz="12" w:space="0" w:color="auto"/>
              <w:bottom w:val="single" w:sz="4" w:space="0" w:color="auto"/>
            </w:tcBorders>
            <w:vAlign w:val="center"/>
          </w:tcPr>
          <w:p w:rsidR="001D41E2" w:rsidRPr="000F6760" w:rsidRDefault="001D41E2" w:rsidP="00883CB9">
            <w:pPr>
              <w:pStyle w:val="Tabletext"/>
              <w:jc w:val="center"/>
            </w:pPr>
            <w:r w:rsidRPr="000F6760">
              <w:t>IpCF</w:t>
            </w:r>
          </w:p>
        </w:tc>
        <w:tc>
          <w:tcPr>
            <w:tcW w:w="1340" w:type="dxa"/>
            <w:tcBorders>
              <w:bottom w:val="single" w:sz="4" w:space="0" w:color="auto"/>
            </w:tcBorders>
            <w:vAlign w:val="center"/>
          </w:tcPr>
          <w:p w:rsidR="001D41E2" w:rsidRPr="000F6760" w:rsidRDefault="001D41E2" w:rsidP="00883CB9">
            <w:pPr>
              <w:jc w:val="center"/>
              <w:rPr>
                <w:sz w:val="20"/>
                <w:szCs w:val="20"/>
              </w:rPr>
            </w:pPr>
            <w:r w:rsidRPr="000F6760">
              <w:rPr>
                <w:sz w:val="20"/>
                <w:szCs w:val="20"/>
              </w:rPr>
              <w:t>rabbit</w:t>
            </w:r>
          </w:p>
        </w:tc>
        <w:tc>
          <w:tcPr>
            <w:tcW w:w="3655" w:type="dxa"/>
            <w:tcBorders>
              <w:bottom w:val="single" w:sz="4" w:space="0" w:color="auto"/>
            </w:tcBorders>
            <w:vAlign w:val="center"/>
          </w:tcPr>
          <w:p w:rsidR="001D41E2" w:rsidRPr="000F6760" w:rsidRDefault="001D41E2" w:rsidP="00883CB9">
            <w:pPr>
              <w:pStyle w:val="Tabletext"/>
              <w:jc w:val="center"/>
            </w:pPr>
            <w:r w:rsidRPr="000F6760">
              <w:t xml:space="preserve">&gt; 2000 mg/kg bw  </w:t>
            </w:r>
          </w:p>
        </w:tc>
        <w:tc>
          <w:tcPr>
            <w:tcW w:w="2924" w:type="dxa"/>
            <w:tcBorders>
              <w:bottom w:val="single" w:sz="4" w:space="0" w:color="auto"/>
              <w:right w:val="single" w:sz="12" w:space="0" w:color="auto"/>
            </w:tcBorders>
            <w:vAlign w:val="center"/>
          </w:tcPr>
          <w:p w:rsidR="001D41E2" w:rsidRPr="004C2CEE" w:rsidRDefault="001D41E2" w:rsidP="00883CB9">
            <w:pPr>
              <w:pStyle w:val="Tabletext"/>
              <w:jc w:val="center"/>
            </w:pPr>
            <w:r w:rsidRPr="004C2CEE">
              <w:t>BASF AG, 1984c</w:t>
            </w:r>
          </w:p>
        </w:tc>
      </w:tr>
      <w:tr w:rsidR="001D41E2" w:rsidRPr="004B7EF4" w:rsidTr="00142E86">
        <w:trPr>
          <w:trHeight w:val="567"/>
        </w:trPr>
        <w:tc>
          <w:tcPr>
            <w:tcW w:w="1936" w:type="dxa"/>
            <w:tcBorders>
              <w:left w:val="single" w:sz="12" w:space="0" w:color="auto"/>
              <w:bottom w:val="single" w:sz="12" w:space="0" w:color="auto"/>
            </w:tcBorders>
            <w:vAlign w:val="center"/>
          </w:tcPr>
          <w:p w:rsidR="001D41E2" w:rsidRPr="000F6760" w:rsidRDefault="001D41E2" w:rsidP="00883CB9">
            <w:pPr>
              <w:pStyle w:val="Tabletext"/>
              <w:jc w:val="center"/>
            </w:pPr>
            <w:r w:rsidRPr="000F6760">
              <w:t>SbCF</w:t>
            </w:r>
          </w:p>
        </w:tc>
        <w:tc>
          <w:tcPr>
            <w:tcW w:w="1340" w:type="dxa"/>
            <w:tcBorders>
              <w:bottom w:val="single" w:sz="12" w:space="0" w:color="auto"/>
            </w:tcBorders>
            <w:vAlign w:val="center"/>
          </w:tcPr>
          <w:p w:rsidR="001D41E2" w:rsidRPr="000F6760" w:rsidRDefault="001D41E2" w:rsidP="00883CB9">
            <w:pPr>
              <w:jc w:val="center"/>
              <w:rPr>
                <w:sz w:val="20"/>
                <w:szCs w:val="20"/>
              </w:rPr>
            </w:pPr>
            <w:r w:rsidRPr="000F6760">
              <w:rPr>
                <w:sz w:val="20"/>
                <w:szCs w:val="20"/>
              </w:rPr>
              <w:t>rabbit</w:t>
            </w:r>
          </w:p>
        </w:tc>
        <w:tc>
          <w:tcPr>
            <w:tcW w:w="3655" w:type="dxa"/>
            <w:tcBorders>
              <w:bottom w:val="single" w:sz="12" w:space="0" w:color="auto"/>
            </w:tcBorders>
            <w:vAlign w:val="center"/>
          </w:tcPr>
          <w:p w:rsidR="001D41E2" w:rsidRPr="000F6760" w:rsidRDefault="001D41E2" w:rsidP="00883CB9">
            <w:pPr>
              <w:pStyle w:val="Tabletext"/>
              <w:jc w:val="center"/>
            </w:pPr>
            <w:r w:rsidRPr="000F6760">
              <w:t>&gt; 2000 mg/kg bw</w:t>
            </w:r>
          </w:p>
        </w:tc>
        <w:tc>
          <w:tcPr>
            <w:tcW w:w="2924" w:type="dxa"/>
            <w:tcBorders>
              <w:bottom w:val="single" w:sz="12" w:space="0" w:color="auto"/>
              <w:right w:val="single" w:sz="12" w:space="0" w:color="auto"/>
            </w:tcBorders>
            <w:vAlign w:val="center"/>
          </w:tcPr>
          <w:p w:rsidR="001D41E2" w:rsidRPr="004C2CEE" w:rsidRDefault="001D41E2" w:rsidP="00883CB9">
            <w:pPr>
              <w:pStyle w:val="Tabletext"/>
              <w:jc w:val="center"/>
            </w:pPr>
            <w:r w:rsidRPr="004C2CEE">
              <w:t>BASF AG, 1984e</w:t>
            </w:r>
          </w:p>
        </w:tc>
      </w:tr>
    </w:tbl>
    <w:p w:rsidR="001D41E2" w:rsidRPr="00142E86" w:rsidRDefault="001D41E2" w:rsidP="00142E86">
      <w:pPr>
        <w:pStyle w:val="NormalWeb"/>
        <w:spacing w:before="240" w:beforeAutospacing="0"/>
        <w:jc w:val="both"/>
        <w:rPr>
          <w:i/>
          <w:lang w:val="en-US"/>
        </w:rPr>
      </w:pPr>
      <w:r w:rsidRPr="00142E86">
        <w:rPr>
          <w:i/>
          <w:lang w:val="en-US" w:eastAsia="en-US"/>
        </w:rPr>
        <w:t xml:space="preserve"> </w:t>
      </w:r>
      <w:r w:rsidRPr="00142E86">
        <w:rPr>
          <w:i/>
          <w:lang w:val="en-US"/>
        </w:rPr>
        <w:t>Oral</w:t>
      </w:r>
    </w:p>
    <w:p w:rsidR="001D41E2" w:rsidRPr="004B7EF4" w:rsidRDefault="001D41E2" w:rsidP="00F357B8">
      <w:pPr>
        <w:pStyle w:val="BodyText"/>
        <w:rPr>
          <w:b/>
          <w:bCs/>
          <w:i/>
          <w:iCs/>
          <w:lang w:val="en-US"/>
        </w:rPr>
      </w:pPr>
      <w:r w:rsidRPr="004B7EF4">
        <w:rPr>
          <w:b/>
          <w:bCs/>
          <w:i/>
          <w:iCs/>
          <w:lang w:val="en-US"/>
        </w:rPr>
        <w:t>Sponsored substances</w:t>
      </w:r>
    </w:p>
    <w:p w:rsidR="001D41E2" w:rsidRPr="004B7EF4" w:rsidRDefault="001D41E2" w:rsidP="00F357B8">
      <w:pPr>
        <w:spacing w:after="240"/>
        <w:jc w:val="both"/>
      </w:pPr>
      <w:r w:rsidRPr="004B7EF4">
        <w:rPr>
          <w:b/>
          <w:bCs/>
          <w:i/>
          <w:iCs/>
        </w:rPr>
        <w:t>MeCF</w:t>
      </w:r>
      <w:r w:rsidRPr="004B7EF4">
        <w:t xml:space="preserve">: In a study </w:t>
      </w:r>
      <w:r>
        <w:t xml:space="preserve">similar </w:t>
      </w:r>
      <w:r w:rsidRPr="004B7EF4">
        <w:t xml:space="preserve">to OECD </w:t>
      </w:r>
      <w:r w:rsidRPr="004C2CEE">
        <w:t xml:space="preserve">TG 423, three rats per sex (strain not reported) were administered 25 and 200 mg/kg </w:t>
      </w:r>
      <w:proofErr w:type="gramStart"/>
      <w:r w:rsidRPr="004C2CEE">
        <w:t>bw</w:t>
      </w:r>
      <w:proofErr w:type="gramEnd"/>
      <w:r w:rsidRPr="004C2CEE">
        <w:t xml:space="preserve"> MeCF </w:t>
      </w:r>
      <w:r w:rsidRPr="00E679B9">
        <w:t>(</w:t>
      </w:r>
      <w:r w:rsidR="007D3E3E" w:rsidRPr="007D3E3E">
        <w:t xml:space="preserve">information regarding </w:t>
      </w:r>
      <w:r w:rsidRPr="004C2CEE">
        <w:t>vehicle</w:t>
      </w:r>
      <w:r w:rsidR="007D3E3E" w:rsidRPr="007D3E3E">
        <w:t xml:space="preserve"> not available</w:t>
      </w:r>
      <w:r w:rsidRPr="004C2CEE">
        <w:t xml:space="preserve">) in a sequential test procedure. At 25 mg/kg </w:t>
      </w:r>
      <w:proofErr w:type="gramStart"/>
      <w:r w:rsidRPr="004C2CEE">
        <w:t>bw</w:t>
      </w:r>
      <w:proofErr w:type="gramEnd"/>
      <w:r w:rsidRPr="004C2CEE">
        <w:t>, n</w:t>
      </w:r>
      <w:r w:rsidRPr="00E679B9">
        <w:t>o clinical symptoms were observed and none</w:t>
      </w:r>
      <w:r w:rsidRPr="004B7EF4">
        <w:t xml:space="preserve"> of the animals died.  </w:t>
      </w:r>
      <w:r>
        <w:t>Two of three males</w:t>
      </w:r>
      <w:r w:rsidRPr="004B7EF4">
        <w:t xml:space="preserve"> died after receiving 200 mg/kg</w:t>
      </w:r>
      <w:r>
        <w:t xml:space="preserve"> </w:t>
      </w:r>
      <w:proofErr w:type="gramStart"/>
      <w:r>
        <w:t>bw</w:t>
      </w:r>
      <w:proofErr w:type="gramEnd"/>
      <w:r w:rsidRPr="004B7EF4">
        <w:t xml:space="preserve">. </w:t>
      </w:r>
      <w:r>
        <w:t xml:space="preserve">The oral </w:t>
      </w:r>
      <w:r w:rsidRPr="004B7EF4">
        <w:t>LD</w:t>
      </w:r>
      <w:r w:rsidRPr="004B7EF4">
        <w:rPr>
          <w:vertAlign w:val="subscript"/>
        </w:rPr>
        <w:t>50</w:t>
      </w:r>
      <w:r w:rsidRPr="004B7EF4">
        <w:t xml:space="preserve"> value was between 25 and 200 mg/kg</w:t>
      </w:r>
      <w:r>
        <w:t xml:space="preserve"> </w:t>
      </w:r>
      <w:proofErr w:type="gramStart"/>
      <w:r>
        <w:t>bw</w:t>
      </w:r>
      <w:proofErr w:type="gramEnd"/>
      <w:r w:rsidRPr="004B7EF4">
        <w:t>. Apathy</w:t>
      </w:r>
      <w:r>
        <w:t>,</w:t>
      </w:r>
      <w:r w:rsidRPr="004B7EF4">
        <w:t xml:space="preserve"> dyspnea</w:t>
      </w:r>
      <w:r>
        <w:t>,</w:t>
      </w:r>
      <w:r w:rsidRPr="004B7EF4">
        <w:t xml:space="preserve"> and hunched posture were observed. </w:t>
      </w:r>
      <w:r>
        <w:t>A</w:t>
      </w:r>
      <w:r w:rsidRPr="004B7EF4">
        <w:t xml:space="preserve">nimals </w:t>
      </w:r>
      <w:r>
        <w:t>found dead were observed to have</w:t>
      </w:r>
      <w:r w:rsidRPr="004B7EF4">
        <w:t xml:space="preserve"> injected gastric vessels and reddened intestinal mucosa (Schelde </w:t>
      </w:r>
      <w:r w:rsidRPr="00956920">
        <w:rPr>
          <w:i/>
          <w:iCs/>
        </w:rPr>
        <w:t>et al</w:t>
      </w:r>
      <w:r w:rsidRPr="004B7EF4">
        <w:t>.</w:t>
      </w:r>
      <w:r>
        <w:t>,</w:t>
      </w:r>
      <w:r w:rsidRPr="004B7EF4">
        <w:t xml:space="preserve"> 1992).  </w:t>
      </w:r>
    </w:p>
    <w:p w:rsidR="001D41E2" w:rsidRPr="004B7EF4" w:rsidRDefault="001D41E2" w:rsidP="00F357B8">
      <w:pPr>
        <w:spacing w:after="240"/>
        <w:jc w:val="both"/>
      </w:pPr>
      <w:r w:rsidRPr="004B7EF4">
        <w:t xml:space="preserve">In another study comparable to OECD </w:t>
      </w:r>
      <w:r>
        <w:t xml:space="preserve">TG </w:t>
      </w:r>
      <w:r w:rsidRPr="004B7EF4">
        <w:t>401</w:t>
      </w:r>
      <w:r>
        <w:t xml:space="preserve">, </w:t>
      </w:r>
      <w:r w:rsidRPr="001D1A38">
        <w:t>Sprague-Dawley</w:t>
      </w:r>
      <w:r w:rsidRPr="004B7EF4">
        <w:t xml:space="preserve"> rats (</w:t>
      </w:r>
      <w:r>
        <w:t>5</w:t>
      </w:r>
      <w:r w:rsidRPr="004B7EF4">
        <w:t xml:space="preserve">/sex/dose) were given 147, 215, 464, 681, </w:t>
      </w:r>
      <w:r>
        <w:t xml:space="preserve">or </w:t>
      </w:r>
      <w:r w:rsidRPr="004B7EF4">
        <w:t>2150 mg/kg</w:t>
      </w:r>
      <w:r>
        <w:t xml:space="preserve"> </w:t>
      </w:r>
      <w:proofErr w:type="gramStart"/>
      <w:r>
        <w:t>bw</w:t>
      </w:r>
      <w:proofErr w:type="gramEnd"/>
      <w:r w:rsidRPr="004B7EF4">
        <w:t xml:space="preserve"> MeCF in olive oil by gavage</w:t>
      </w:r>
      <w:r>
        <w:t xml:space="preserve"> (vehicle: olive oil)</w:t>
      </w:r>
      <w:r w:rsidRPr="004B7EF4">
        <w:t xml:space="preserve">. All animals receiving 681 or 2150 mg/kg </w:t>
      </w:r>
      <w:proofErr w:type="gramStart"/>
      <w:r w:rsidRPr="004B7EF4">
        <w:t>bw</w:t>
      </w:r>
      <w:proofErr w:type="gramEnd"/>
      <w:r w:rsidRPr="004B7EF4">
        <w:t xml:space="preserve"> died. Mortalities were 6/10</w:t>
      </w:r>
      <w:r>
        <w:t>,</w:t>
      </w:r>
      <w:r w:rsidRPr="004B7EF4">
        <w:t xml:space="preserve"> 3/10</w:t>
      </w:r>
      <w:r>
        <w:t>,</w:t>
      </w:r>
      <w:r w:rsidRPr="004B7EF4">
        <w:t xml:space="preserve"> </w:t>
      </w:r>
      <w:r>
        <w:t xml:space="preserve">and </w:t>
      </w:r>
      <w:r w:rsidRPr="004B7EF4">
        <w:t xml:space="preserve">1/10 after a dose of 464, 215 </w:t>
      </w:r>
      <w:r>
        <w:t>and</w:t>
      </w:r>
      <w:r w:rsidRPr="004B7EF4">
        <w:t xml:space="preserve"> 147 mg/kg</w:t>
      </w:r>
      <w:r>
        <w:t xml:space="preserve"> </w:t>
      </w:r>
      <w:proofErr w:type="gramStart"/>
      <w:r>
        <w:t>bw</w:t>
      </w:r>
      <w:proofErr w:type="gramEnd"/>
      <w:r w:rsidRPr="004B7EF4">
        <w:t>, respectively. The calculate</w:t>
      </w:r>
      <w:r>
        <w:t>d</w:t>
      </w:r>
      <w:r w:rsidRPr="004B7EF4">
        <w:t xml:space="preserve"> </w:t>
      </w:r>
      <w:r>
        <w:t xml:space="preserve">oral </w:t>
      </w:r>
      <w:r w:rsidRPr="004B7EF4">
        <w:t>LD</w:t>
      </w:r>
      <w:r w:rsidRPr="004B7EF4">
        <w:rPr>
          <w:vertAlign w:val="subscript"/>
        </w:rPr>
        <w:t>50</w:t>
      </w:r>
      <w:r w:rsidRPr="004B7EF4">
        <w:t xml:space="preserve"> value was 313 mg/kg</w:t>
      </w:r>
      <w:r>
        <w:t xml:space="preserve"> </w:t>
      </w:r>
      <w:proofErr w:type="gramStart"/>
      <w:r>
        <w:t>bw</w:t>
      </w:r>
      <w:proofErr w:type="gramEnd"/>
      <w:r>
        <w:t xml:space="preserve"> </w:t>
      </w:r>
      <w:r w:rsidRPr="004B7EF4">
        <w:t xml:space="preserve">(95 % CL </w:t>
      </w:r>
      <w:r>
        <w:t xml:space="preserve">= </w:t>
      </w:r>
      <w:r w:rsidRPr="004B7EF4">
        <w:t xml:space="preserve">229 – 427). </w:t>
      </w:r>
      <w:r w:rsidRPr="002B66E3">
        <w:t xml:space="preserve">Dyspnea, apathy, staggering, tremors, piloerection, </w:t>
      </w:r>
      <w:r>
        <w:t xml:space="preserve">and </w:t>
      </w:r>
      <w:r w:rsidRPr="002B66E3">
        <w:t xml:space="preserve">poor general state </w:t>
      </w:r>
      <w:r>
        <w:t xml:space="preserve">were observed </w:t>
      </w:r>
      <w:r w:rsidRPr="002B66E3">
        <w:t>at all dose levels</w:t>
      </w:r>
      <w:r>
        <w:t xml:space="preserve">. </w:t>
      </w:r>
      <w:r w:rsidRPr="004B7EF4">
        <w:t xml:space="preserve">Reddened </w:t>
      </w:r>
      <w:r>
        <w:t xml:space="preserve">intestinal </w:t>
      </w:r>
      <w:r w:rsidRPr="004B7EF4">
        <w:t xml:space="preserve">mucosa and </w:t>
      </w:r>
      <w:r>
        <w:t xml:space="preserve">gastric </w:t>
      </w:r>
      <w:r w:rsidRPr="004B7EF4">
        <w:t xml:space="preserve">hemorrhage were observed in </w:t>
      </w:r>
      <w:r>
        <w:t xml:space="preserve">several </w:t>
      </w:r>
      <w:r w:rsidRPr="004B7EF4">
        <w:t>animals that died. A thickened forestomach wall and abdominal adhesions were noted in the surviving animals at necropsy (BASF</w:t>
      </w:r>
      <w:r>
        <w:t xml:space="preserve"> AG,</w:t>
      </w:r>
      <w:r w:rsidRPr="004B7EF4">
        <w:t xml:space="preserve"> 1981).</w:t>
      </w:r>
    </w:p>
    <w:p w:rsidR="001D41E2" w:rsidRPr="004B7EF4" w:rsidRDefault="001D41E2" w:rsidP="00F357B8">
      <w:pPr>
        <w:spacing w:after="240"/>
        <w:jc w:val="both"/>
      </w:pPr>
      <w:r w:rsidRPr="004B7EF4">
        <w:rPr>
          <w:b/>
          <w:bCs/>
          <w:i/>
          <w:iCs/>
        </w:rPr>
        <w:t>EtCF:</w:t>
      </w:r>
      <w:r w:rsidRPr="004B7EF4">
        <w:t xml:space="preserve"> </w:t>
      </w:r>
      <w:r>
        <w:t xml:space="preserve">In a study comparable to OECD TG 401, Wistar rats (10/sex/dose) were administered </w:t>
      </w:r>
      <w:r w:rsidRPr="004B7EF4">
        <w:t xml:space="preserve">80, 100, 125, 160, 200, 250, 320 </w:t>
      </w:r>
      <w:r>
        <w:t>or</w:t>
      </w:r>
      <w:r w:rsidRPr="004B7EF4">
        <w:t xml:space="preserve"> 400 µl/kg</w:t>
      </w:r>
      <w:r>
        <w:t xml:space="preserve"> bw</w:t>
      </w:r>
      <w:r w:rsidRPr="004B7EF4">
        <w:t xml:space="preserve"> </w:t>
      </w:r>
      <w:r>
        <w:t>EtCF by gavage (</w:t>
      </w:r>
      <w:r w:rsidR="005A7522">
        <w:t xml:space="preserve">vehicle: </w:t>
      </w:r>
      <w:r>
        <w:t xml:space="preserve"> water)</w:t>
      </w:r>
      <w:r w:rsidRPr="004B7EF4">
        <w:t xml:space="preserve">. All animals </w:t>
      </w:r>
      <w:r>
        <w:t>at</w:t>
      </w:r>
      <w:r w:rsidRPr="004B7EF4">
        <w:t xml:space="preserve"> the two highest dose</w:t>
      </w:r>
      <w:r>
        <w:t>s</w:t>
      </w:r>
      <w:r w:rsidRPr="004B7EF4">
        <w:t xml:space="preserve"> died.  No </w:t>
      </w:r>
      <w:r>
        <w:t>m</w:t>
      </w:r>
      <w:r w:rsidRPr="004B7EF4">
        <w:t>ale</w:t>
      </w:r>
      <w:r>
        <w:t>s</w:t>
      </w:r>
      <w:r w:rsidRPr="004B7EF4">
        <w:t xml:space="preserve"> died receiving </w:t>
      </w:r>
      <w:r>
        <w:t xml:space="preserve">a dose of EtCF </w:t>
      </w:r>
      <w:r w:rsidRPr="004B7EF4">
        <w:t>up to 125 µl/kg</w:t>
      </w:r>
      <w:r>
        <w:t xml:space="preserve"> </w:t>
      </w:r>
      <w:proofErr w:type="gramStart"/>
      <w:r>
        <w:t>bw</w:t>
      </w:r>
      <w:proofErr w:type="gramEnd"/>
      <w:r w:rsidRPr="004B7EF4">
        <w:t>. However</w:t>
      </w:r>
      <w:r>
        <w:t>,</w:t>
      </w:r>
      <w:r w:rsidRPr="004B7EF4">
        <w:t xml:space="preserve"> 2/10 females died in the lowest dose group. The </w:t>
      </w:r>
      <w:r>
        <w:t xml:space="preserve">oral </w:t>
      </w:r>
      <w:r w:rsidRPr="004B7EF4">
        <w:t>LD</w:t>
      </w:r>
      <w:r w:rsidRPr="004B7EF4">
        <w:rPr>
          <w:vertAlign w:val="subscript"/>
        </w:rPr>
        <w:t>50</w:t>
      </w:r>
      <w:r w:rsidRPr="004B7EF4">
        <w:t xml:space="preserve"> value was estimated to be approx</w:t>
      </w:r>
      <w:r>
        <w:t>imately</w:t>
      </w:r>
      <w:r w:rsidRPr="004B7EF4">
        <w:t>180 µ</w:t>
      </w:r>
      <w:r>
        <w:t>L</w:t>
      </w:r>
      <w:r w:rsidRPr="004B7EF4">
        <w:t xml:space="preserve">/kg </w:t>
      </w:r>
      <w:r>
        <w:t>(</w:t>
      </w:r>
      <w:r w:rsidRPr="004B7EF4">
        <w:t>205 mg/kg</w:t>
      </w:r>
      <w:r>
        <w:t xml:space="preserve"> </w:t>
      </w:r>
      <w:proofErr w:type="gramStart"/>
      <w:r>
        <w:t>bw</w:t>
      </w:r>
      <w:proofErr w:type="gramEnd"/>
      <w:r w:rsidRPr="004B7EF4">
        <w:t xml:space="preserve"> </w:t>
      </w:r>
      <w:r>
        <w:t xml:space="preserve">based on a </w:t>
      </w:r>
      <w:r w:rsidRPr="004B7EF4">
        <w:t xml:space="preserve">density </w:t>
      </w:r>
      <w:r>
        <w:t xml:space="preserve">of </w:t>
      </w:r>
      <w:r w:rsidRPr="004B7EF4">
        <w:t>1.14 g/cm³ at 20°C). Animals that died exhibited hemorrhage of the stomach and the gastrointestinal tract. No gross pathologic changes were noted in animals that survived to study termination (BASF</w:t>
      </w:r>
      <w:r>
        <w:t xml:space="preserve"> AG,</w:t>
      </w:r>
      <w:r w:rsidRPr="004B7EF4">
        <w:t xml:space="preserve"> 1970b). </w:t>
      </w:r>
    </w:p>
    <w:p w:rsidR="001D41E2" w:rsidRDefault="001D41E2" w:rsidP="00F357B8">
      <w:pPr>
        <w:spacing w:after="240"/>
        <w:jc w:val="both"/>
      </w:pPr>
      <w:r w:rsidRPr="004C2CEE">
        <w:t xml:space="preserve">In a study comparable to OECD TG 401, </w:t>
      </w:r>
      <w:r w:rsidR="007D3E3E" w:rsidRPr="007D3E3E">
        <w:t>male Sprague-Dawley</w:t>
      </w:r>
      <w:r w:rsidRPr="004C2CEE">
        <w:t xml:space="preserve"> rats (10/dose) were given </w:t>
      </w:r>
      <w:r w:rsidR="007D3E3E" w:rsidRPr="007D3E3E">
        <w:t>25</w:t>
      </w:r>
      <w:r w:rsidRPr="004C2CEE">
        <w:t xml:space="preserve">0, </w:t>
      </w:r>
      <w:r w:rsidR="007D3E3E" w:rsidRPr="007D3E3E">
        <w:t>375</w:t>
      </w:r>
      <w:r w:rsidRPr="004C2CEE">
        <w:t xml:space="preserve">, or </w:t>
      </w:r>
      <w:r w:rsidR="007D3E3E" w:rsidRPr="007D3E3E">
        <w:t>5</w:t>
      </w:r>
      <w:r w:rsidRPr="004C2CEE">
        <w:t xml:space="preserve">00 mg/kg </w:t>
      </w:r>
      <w:proofErr w:type="gramStart"/>
      <w:r w:rsidRPr="004C2CEE">
        <w:t>bw</w:t>
      </w:r>
      <w:proofErr w:type="gramEnd"/>
      <w:r w:rsidRPr="004C2CEE">
        <w:t xml:space="preserve"> EtCF in </w:t>
      </w:r>
      <w:r w:rsidR="007D3E3E" w:rsidRPr="007D3E3E">
        <w:t>maize</w:t>
      </w:r>
      <w:r w:rsidRPr="004C2CEE">
        <w:t xml:space="preserve"> oil by gavage</w:t>
      </w:r>
      <w:r>
        <w:t xml:space="preserve"> (vehicle: maize oil)</w:t>
      </w:r>
      <w:r w:rsidRPr="004C2CEE">
        <w:t xml:space="preserve">. Mortalities were </w:t>
      </w:r>
      <w:r w:rsidR="007D3E3E" w:rsidRPr="007D3E3E">
        <w:t>1</w:t>
      </w:r>
      <w:r w:rsidRPr="004C2CEE">
        <w:t xml:space="preserve">/10, </w:t>
      </w:r>
      <w:r w:rsidR="007D3E3E" w:rsidRPr="007D3E3E">
        <w:t>4</w:t>
      </w:r>
      <w:r w:rsidRPr="004C2CEE">
        <w:t xml:space="preserve">/10, and 10/10 after a dose of </w:t>
      </w:r>
      <w:r w:rsidR="007D3E3E" w:rsidRPr="007D3E3E">
        <w:t xml:space="preserve">250, 375, and 500 </w:t>
      </w:r>
      <w:r w:rsidRPr="004C2CEE">
        <w:t xml:space="preserve">mg/kg </w:t>
      </w:r>
      <w:proofErr w:type="gramStart"/>
      <w:r w:rsidRPr="004C2CEE">
        <w:t>bw</w:t>
      </w:r>
      <w:proofErr w:type="gramEnd"/>
      <w:r w:rsidRPr="004C2CEE">
        <w:t>, respectively. The calculated oral LD</w:t>
      </w:r>
      <w:r w:rsidRPr="004C2CEE">
        <w:rPr>
          <w:vertAlign w:val="subscript"/>
        </w:rPr>
        <w:t>50</w:t>
      </w:r>
      <w:r w:rsidRPr="001D763B">
        <w:t xml:space="preserve"> value was 4</w:t>
      </w:r>
      <w:r>
        <w:t>11</w:t>
      </w:r>
      <w:r w:rsidRPr="004C2CEE">
        <w:t xml:space="preserve"> mg/kg </w:t>
      </w:r>
      <w:proofErr w:type="gramStart"/>
      <w:r w:rsidRPr="004C2CEE">
        <w:t>bw</w:t>
      </w:r>
      <w:proofErr w:type="gramEnd"/>
      <w:r w:rsidRPr="004C2CEE">
        <w:t xml:space="preserve">. Clinical signs </w:t>
      </w:r>
      <w:r w:rsidR="007D3E3E" w:rsidRPr="007D3E3E">
        <w:t xml:space="preserve">and necropsy findings </w:t>
      </w:r>
      <w:r w:rsidRPr="004C2CEE">
        <w:t>were not reported (</w:t>
      </w:r>
      <w:r w:rsidR="007D3E3E" w:rsidRPr="007D3E3E">
        <w:t>Griscom</w:t>
      </w:r>
      <w:r w:rsidRPr="004C2CEE">
        <w:t>, 197</w:t>
      </w:r>
      <w:r w:rsidR="007D3E3E" w:rsidRPr="007D3E3E">
        <w:t>2</w:t>
      </w:r>
      <w:r w:rsidRPr="004C2CEE">
        <w:t>).</w:t>
      </w:r>
    </w:p>
    <w:p w:rsidR="001D41E2" w:rsidRPr="004B7EF4" w:rsidRDefault="001D41E2" w:rsidP="00F357B8">
      <w:pPr>
        <w:spacing w:after="240"/>
        <w:jc w:val="both"/>
      </w:pPr>
      <w:r w:rsidRPr="004B7EF4">
        <w:t xml:space="preserve">In </w:t>
      </w:r>
      <w:r>
        <w:t>a</w:t>
      </w:r>
      <w:r w:rsidRPr="004B7EF4">
        <w:t xml:space="preserve">nother study comparable to OECD </w:t>
      </w:r>
      <w:r>
        <w:t xml:space="preserve">TG </w:t>
      </w:r>
      <w:r w:rsidRPr="004B7EF4">
        <w:t>401</w:t>
      </w:r>
      <w:r>
        <w:t>,</w:t>
      </w:r>
      <w:r w:rsidRPr="004B7EF4">
        <w:t xml:space="preserve"> </w:t>
      </w:r>
      <w:r w:rsidRPr="000E16CF">
        <w:t xml:space="preserve">Wistar </w:t>
      </w:r>
      <w:r w:rsidRPr="004B7EF4">
        <w:t xml:space="preserve">rats (10/sex/dose) were given 400, 600, 1000, </w:t>
      </w:r>
      <w:r>
        <w:t xml:space="preserve">or </w:t>
      </w:r>
      <w:r w:rsidRPr="004B7EF4">
        <w:t>1600 mg/kg</w:t>
      </w:r>
      <w:r>
        <w:t xml:space="preserve"> </w:t>
      </w:r>
      <w:proofErr w:type="gramStart"/>
      <w:r>
        <w:t>bw</w:t>
      </w:r>
      <w:proofErr w:type="gramEnd"/>
      <w:r w:rsidRPr="004B7EF4">
        <w:t xml:space="preserve"> EtCF in sesame oil by gavage</w:t>
      </w:r>
      <w:r>
        <w:t xml:space="preserve"> (vehicle: sesame oil)</w:t>
      </w:r>
      <w:r w:rsidRPr="004B7EF4">
        <w:t>. Mortalities were 7/10</w:t>
      </w:r>
      <w:r>
        <w:t>,</w:t>
      </w:r>
      <w:r w:rsidRPr="004B7EF4">
        <w:t xml:space="preserve"> 9/10</w:t>
      </w:r>
      <w:r>
        <w:t>,</w:t>
      </w:r>
      <w:r w:rsidRPr="004B7EF4">
        <w:t xml:space="preserve"> </w:t>
      </w:r>
      <w:r>
        <w:t xml:space="preserve">and </w:t>
      </w:r>
      <w:r w:rsidRPr="004B7EF4">
        <w:t xml:space="preserve">10/10 after a dose of 600, 1000 </w:t>
      </w:r>
      <w:r>
        <w:t>and</w:t>
      </w:r>
      <w:r w:rsidRPr="004B7EF4">
        <w:t xml:space="preserve"> 1600 mg/kg</w:t>
      </w:r>
      <w:r>
        <w:t xml:space="preserve"> </w:t>
      </w:r>
      <w:proofErr w:type="gramStart"/>
      <w:r>
        <w:t>bw</w:t>
      </w:r>
      <w:proofErr w:type="gramEnd"/>
      <w:r w:rsidRPr="004B7EF4">
        <w:t>, respectively. All animals in the lowest dose group survived. The calculate</w:t>
      </w:r>
      <w:r>
        <w:t>d</w:t>
      </w:r>
      <w:r w:rsidRPr="004B7EF4">
        <w:t xml:space="preserve"> </w:t>
      </w:r>
      <w:r>
        <w:t xml:space="preserve">oral </w:t>
      </w:r>
      <w:r w:rsidRPr="004B7EF4">
        <w:t>LD</w:t>
      </w:r>
      <w:r w:rsidRPr="000F6760">
        <w:rPr>
          <w:vertAlign w:val="subscript"/>
        </w:rPr>
        <w:t>50</w:t>
      </w:r>
      <w:r w:rsidRPr="004B7EF4">
        <w:t xml:space="preserve"> value was 614 mg/kg</w:t>
      </w:r>
      <w:r>
        <w:t xml:space="preserve"> </w:t>
      </w:r>
      <w:proofErr w:type="gramStart"/>
      <w:r>
        <w:t>bw</w:t>
      </w:r>
      <w:proofErr w:type="gramEnd"/>
      <w:r w:rsidRPr="004B7EF4">
        <w:t xml:space="preserve"> (95 % </w:t>
      </w:r>
      <w:r>
        <w:t xml:space="preserve">CL = </w:t>
      </w:r>
      <w:r w:rsidRPr="004B7EF4">
        <w:t>521</w:t>
      </w:r>
      <w:r>
        <w:t>-</w:t>
      </w:r>
      <w:r w:rsidRPr="004B7EF4">
        <w:t xml:space="preserve"> 724).</w:t>
      </w:r>
      <w:r>
        <w:t xml:space="preserve"> </w:t>
      </w:r>
      <w:r w:rsidRPr="004B7EF4">
        <w:t>Clinical sign</w:t>
      </w:r>
      <w:r>
        <w:t>s</w:t>
      </w:r>
      <w:r w:rsidRPr="004B7EF4">
        <w:t xml:space="preserve"> were not reported. There were no findings at </w:t>
      </w:r>
      <w:r>
        <w:t xml:space="preserve">the </w:t>
      </w:r>
      <w:r w:rsidRPr="004B7EF4">
        <w:t>nec</w:t>
      </w:r>
      <w:r>
        <w:t>r</w:t>
      </w:r>
      <w:r w:rsidRPr="004B7EF4">
        <w:t>opsy of the surviving animals</w:t>
      </w:r>
      <w:r>
        <w:t>;</w:t>
      </w:r>
      <w:r w:rsidRPr="004B7EF4">
        <w:t xml:space="preserve"> </w:t>
      </w:r>
      <w:r>
        <w:t>however, a</w:t>
      </w:r>
      <w:r w:rsidRPr="004B7EF4">
        <w:t xml:space="preserve"> </w:t>
      </w:r>
      <w:r>
        <w:t>reddened</w:t>
      </w:r>
      <w:r w:rsidRPr="004B7EF4">
        <w:t xml:space="preserve"> gastrointestinal tract was found in animals that died (Hoechst</w:t>
      </w:r>
      <w:r>
        <w:t>,</w:t>
      </w:r>
      <w:r w:rsidRPr="004B7EF4">
        <w:t xml:space="preserve"> 1975). </w:t>
      </w:r>
    </w:p>
    <w:p w:rsidR="001D41E2" w:rsidRPr="004B7EF4" w:rsidRDefault="001D41E2" w:rsidP="00F357B8">
      <w:pPr>
        <w:spacing w:after="240"/>
        <w:jc w:val="both"/>
      </w:pPr>
      <w:r w:rsidRPr="004B7EF4">
        <w:rPr>
          <w:b/>
          <w:bCs/>
          <w:i/>
          <w:iCs/>
        </w:rPr>
        <w:t>PrCF:</w:t>
      </w:r>
      <w:r w:rsidRPr="004B7EF4">
        <w:t xml:space="preserve"> </w:t>
      </w:r>
      <w:r>
        <w:t xml:space="preserve">In an </w:t>
      </w:r>
      <w:r w:rsidRPr="004B7EF4">
        <w:t xml:space="preserve">OECD TG 401 </w:t>
      </w:r>
      <w:r>
        <w:t>study,</w:t>
      </w:r>
      <w:r w:rsidRPr="004B7EF4">
        <w:t xml:space="preserve"> </w:t>
      </w:r>
      <w:r w:rsidRPr="000E16CF">
        <w:t xml:space="preserve">Sprague-Dawley </w:t>
      </w:r>
      <w:r>
        <w:t>r</w:t>
      </w:r>
      <w:r w:rsidRPr="004B7EF4">
        <w:t>ats</w:t>
      </w:r>
      <w:r>
        <w:t xml:space="preserve"> (5/sex/dose)</w:t>
      </w:r>
      <w:r w:rsidRPr="004B7EF4">
        <w:t xml:space="preserve"> were administered 46</w:t>
      </w:r>
      <w:r>
        <w:t>.4</w:t>
      </w:r>
      <w:r w:rsidRPr="004B7EF4">
        <w:t xml:space="preserve">, 100, 147, 681, 1000, 1470, 2150 </w:t>
      </w:r>
      <w:r>
        <w:t>or</w:t>
      </w:r>
      <w:r w:rsidRPr="004B7EF4">
        <w:t xml:space="preserve"> 3160 mg/kg</w:t>
      </w:r>
      <w:r>
        <w:t xml:space="preserve"> bw</w:t>
      </w:r>
      <w:r w:rsidRPr="004B7EF4">
        <w:t xml:space="preserve"> PrCF </w:t>
      </w:r>
      <w:r>
        <w:t>by gavage (</w:t>
      </w:r>
      <w:r w:rsidR="005A7522">
        <w:t xml:space="preserve">vehicle: </w:t>
      </w:r>
      <w:r>
        <w:t xml:space="preserve"> olive oil)</w:t>
      </w:r>
      <w:r w:rsidRPr="004B7EF4">
        <w:t xml:space="preserve">. The acute </w:t>
      </w:r>
      <w:r>
        <w:t xml:space="preserve">oral </w:t>
      </w:r>
      <w:r w:rsidRPr="004B7EF4">
        <w:t>LD</w:t>
      </w:r>
      <w:r w:rsidRPr="004B7EF4">
        <w:rPr>
          <w:vertAlign w:val="subscript"/>
        </w:rPr>
        <w:t>50</w:t>
      </w:r>
      <w:r w:rsidRPr="004B7EF4">
        <w:t xml:space="preserve"> </w:t>
      </w:r>
      <w:r>
        <w:t>wa</w:t>
      </w:r>
      <w:r w:rsidRPr="004B7EF4">
        <w:t>s 1210 mg/kg</w:t>
      </w:r>
      <w:r>
        <w:t xml:space="preserve"> </w:t>
      </w:r>
      <w:proofErr w:type="gramStart"/>
      <w:r>
        <w:t>bw</w:t>
      </w:r>
      <w:proofErr w:type="gramEnd"/>
      <w:r w:rsidRPr="004B7EF4">
        <w:t xml:space="preserve"> (95% </w:t>
      </w:r>
      <w:r>
        <w:t>CL =</w:t>
      </w:r>
      <w:r w:rsidRPr="004B7EF4">
        <w:t>1055.4 - 1391.3 mg/kg</w:t>
      </w:r>
      <w:r>
        <w:t xml:space="preserve"> bw</w:t>
      </w:r>
      <w:r w:rsidRPr="004B7EF4">
        <w:t xml:space="preserve">). </w:t>
      </w:r>
      <w:r>
        <w:t>Except for aggressiveness at 147 mg/kg, no clinical effects or mortality were seen at first three doses.  Clinical signs of d</w:t>
      </w:r>
      <w:r w:rsidRPr="004B7EF4">
        <w:t xml:space="preserve">yspnoea, apathy, </w:t>
      </w:r>
      <w:r>
        <w:t xml:space="preserve">and </w:t>
      </w:r>
      <w:r w:rsidRPr="004B7EF4">
        <w:t>staggering were observed</w:t>
      </w:r>
      <w:r>
        <w:t xml:space="preserve"> at higher concentrations.</w:t>
      </w:r>
      <w:r w:rsidRPr="004B7EF4">
        <w:t xml:space="preserve"> </w:t>
      </w:r>
      <w:r>
        <w:t xml:space="preserve"> At 681 and 1000 mg/kg, 1/10 animals died. Mortality occurred in 9/10 animals at 1470 mg/kg. All animals died at higher doses. In animals that died, n</w:t>
      </w:r>
      <w:r w:rsidRPr="004B7EF4">
        <w:t xml:space="preserve">ecropsy revealed necrotic white mucosa in </w:t>
      </w:r>
      <w:r>
        <w:t xml:space="preserve">the </w:t>
      </w:r>
      <w:r w:rsidRPr="004B7EF4">
        <w:t>stomach and intestine (BASF</w:t>
      </w:r>
      <w:r>
        <w:t xml:space="preserve"> AG,</w:t>
      </w:r>
      <w:r w:rsidRPr="004B7EF4">
        <w:t xml:space="preserve"> 1980</w:t>
      </w:r>
      <w:r>
        <w:t>d</w:t>
      </w:r>
      <w:r w:rsidRPr="004B7EF4">
        <w:t xml:space="preserve">). </w:t>
      </w:r>
    </w:p>
    <w:p w:rsidR="001D41E2" w:rsidRPr="004B7EF4" w:rsidRDefault="001D41E2" w:rsidP="00F357B8">
      <w:pPr>
        <w:spacing w:after="240"/>
        <w:jc w:val="both"/>
      </w:pPr>
      <w:r w:rsidRPr="004B7EF4">
        <w:rPr>
          <w:b/>
          <w:bCs/>
          <w:i/>
          <w:iCs/>
        </w:rPr>
        <w:t xml:space="preserve">IpCF: </w:t>
      </w:r>
      <w:r>
        <w:t xml:space="preserve"> In a study comparable to OECD TG 401, </w:t>
      </w:r>
      <w:r w:rsidRPr="004B7EF4">
        <w:t>Wistar rats</w:t>
      </w:r>
      <w:r>
        <w:t xml:space="preserve"> (5</w:t>
      </w:r>
      <w:r w:rsidRPr="004B7EF4">
        <w:t>/sex</w:t>
      </w:r>
      <w:r>
        <w:t>/</w:t>
      </w:r>
      <w:r w:rsidRPr="004B7EF4">
        <w:t>dose</w:t>
      </w:r>
      <w:r>
        <w:t xml:space="preserve">) were administered </w:t>
      </w:r>
      <w:r w:rsidRPr="004B7EF4">
        <w:t>464, 681</w:t>
      </w:r>
      <w:r>
        <w:t xml:space="preserve"> or</w:t>
      </w:r>
      <w:r w:rsidRPr="004B7EF4">
        <w:t xml:space="preserve"> 1210 mg/kg</w:t>
      </w:r>
      <w:r>
        <w:t xml:space="preserve"> </w:t>
      </w:r>
      <w:proofErr w:type="gramStart"/>
      <w:r>
        <w:t>bw</w:t>
      </w:r>
      <w:proofErr w:type="gramEnd"/>
      <w:r w:rsidRPr="004B7EF4">
        <w:t xml:space="preserve"> </w:t>
      </w:r>
      <w:r>
        <w:t>IpCF by gavage (</w:t>
      </w:r>
      <w:r w:rsidR="005A7522">
        <w:t xml:space="preserve">vehicle: </w:t>
      </w:r>
      <w:r>
        <w:t xml:space="preserve"> olive oil)</w:t>
      </w:r>
      <w:r w:rsidRPr="004B7EF4">
        <w:t xml:space="preserve">. </w:t>
      </w:r>
      <w:r w:rsidR="00AB3C07">
        <w:t xml:space="preserve">The study, however, deviated from OECD TG 401 in that the animals were only observed for 7 days following exposure.  </w:t>
      </w:r>
      <w:r w:rsidRPr="004B7EF4">
        <w:t xml:space="preserve">No </w:t>
      </w:r>
      <w:r>
        <w:t xml:space="preserve">clinical signs </w:t>
      </w:r>
      <w:r w:rsidRPr="004B7EF4">
        <w:t>or mortality were noted at 464 and 681 mg/kg</w:t>
      </w:r>
      <w:r>
        <w:t xml:space="preserve"> </w:t>
      </w:r>
      <w:proofErr w:type="gramStart"/>
      <w:r>
        <w:t>bw</w:t>
      </w:r>
      <w:proofErr w:type="gramEnd"/>
      <w:r w:rsidRPr="004B7EF4">
        <w:t>. At 1210 mg/kg</w:t>
      </w:r>
      <w:r>
        <w:t xml:space="preserve"> </w:t>
      </w:r>
      <w:proofErr w:type="gramStart"/>
      <w:r>
        <w:t>bw</w:t>
      </w:r>
      <w:proofErr w:type="gramEnd"/>
      <w:r>
        <w:t>,</w:t>
      </w:r>
      <w:r w:rsidRPr="004B7EF4">
        <w:t xml:space="preserve"> </w:t>
      </w:r>
      <w:r>
        <w:t>nine out of ten</w:t>
      </w:r>
      <w:r w:rsidRPr="004B7EF4">
        <w:t xml:space="preserve"> animals died. </w:t>
      </w:r>
      <w:r w:rsidR="00AB3C07">
        <w:t xml:space="preserve"> </w:t>
      </w:r>
      <w:r>
        <w:t xml:space="preserve">Clinical signs </w:t>
      </w:r>
      <w:r w:rsidRPr="004B7EF4">
        <w:t>included apathy, dyspnoea, staggering, tremors, piloerection, diarrhea, salivation</w:t>
      </w:r>
      <w:r>
        <w:t>,</w:t>
      </w:r>
      <w:r w:rsidRPr="004B7EF4">
        <w:t xml:space="preserve"> and poor general state. Necropsy of the animals found dead revealed large haemorrhagic gastric ulcerations and necrotic mucosa in the small intestine. </w:t>
      </w:r>
      <w:r w:rsidR="00AB3C07">
        <w:t xml:space="preserve"> </w:t>
      </w:r>
      <w:r>
        <w:t xml:space="preserve">The oral </w:t>
      </w:r>
      <w:r w:rsidRPr="004B7EF4">
        <w:t>LD</w:t>
      </w:r>
      <w:r w:rsidRPr="004B7EF4">
        <w:rPr>
          <w:vertAlign w:val="subscript"/>
        </w:rPr>
        <w:t>50</w:t>
      </w:r>
      <w:r w:rsidRPr="004B7EF4">
        <w:t xml:space="preserve"> was determined to be between 681 </w:t>
      </w:r>
      <w:r>
        <w:t xml:space="preserve">- </w:t>
      </w:r>
      <w:r w:rsidRPr="004B7EF4">
        <w:t>1210 mg/kg</w:t>
      </w:r>
      <w:r>
        <w:t xml:space="preserve"> </w:t>
      </w:r>
      <w:proofErr w:type="gramStart"/>
      <w:r>
        <w:t>bw</w:t>
      </w:r>
      <w:proofErr w:type="gramEnd"/>
      <w:r w:rsidRPr="004B7EF4">
        <w:t xml:space="preserve"> (BASF</w:t>
      </w:r>
      <w:r>
        <w:t xml:space="preserve"> AG,</w:t>
      </w:r>
      <w:r w:rsidRPr="004B7EF4">
        <w:t xml:space="preserve"> 1984</w:t>
      </w:r>
      <w:r>
        <w:t>a</w:t>
      </w:r>
      <w:r w:rsidRPr="004B7EF4">
        <w:t>).</w:t>
      </w:r>
    </w:p>
    <w:p w:rsidR="001D41E2" w:rsidRPr="004B7EF4" w:rsidRDefault="001D41E2" w:rsidP="00F357B8">
      <w:pPr>
        <w:spacing w:after="240"/>
        <w:jc w:val="both"/>
      </w:pPr>
      <w:r>
        <w:t xml:space="preserve">Ten </w:t>
      </w:r>
      <w:r w:rsidRPr="004B7EF4">
        <w:t>rats/sex/dose</w:t>
      </w:r>
      <w:r>
        <w:t xml:space="preserve"> (strain not reported)</w:t>
      </w:r>
      <w:r w:rsidRPr="004B7EF4">
        <w:t xml:space="preserve"> were treated with 216, 431, 862</w:t>
      </w:r>
      <w:r>
        <w:t>, or</w:t>
      </w:r>
      <w:r w:rsidRPr="004B7EF4">
        <w:t xml:space="preserve"> 1725 mg/kg </w:t>
      </w:r>
      <w:proofErr w:type="gramStart"/>
      <w:r w:rsidRPr="004B7EF4">
        <w:t>bw</w:t>
      </w:r>
      <w:proofErr w:type="gramEnd"/>
      <w:r w:rsidRPr="004B7EF4">
        <w:t xml:space="preserve"> IpCF in olive oil</w:t>
      </w:r>
      <w:r>
        <w:t xml:space="preserve"> (vehicle: olive oil). The</w:t>
      </w:r>
      <w:r w:rsidRPr="004B7EF4">
        <w:t xml:space="preserve"> </w:t>
      </w:r>
      <w:r>
        <w:t xml:space="preserve">oral </w:t>
      </w:r>
      <w:r w:rsidRPr="004B7EF4">
        <w:t>LD</w:t>
      </w:r>
      <w:r w:rsidRPr="004B7EF4">
        <w:rPr>
          <w:vertAlign w:val="subscript"/>
        </w:rPr>
        <w:t>50</w:t>
      </w:r>
      <w:r w:rsidRPr="004B7EF4">
        <w:t xml:space="preserve"> was determined to be ca. 800 mg/kg </w:t>
      </w:r>
      <w:proofErr w:type="gramStart"/>
      <w:r w:rsidRPr="004B7EF4">
        <w:t>bw</w:t>
      </w:r>
      <w:proofErr w:type="gramEnd"/>
      <w:r w:rsidRPr="004B7EF4">
        <w:t xml:space="preserve">. At a dose </w:t>
      </w:r>
      <w:r>
        <w:t>of</w:t>
      </w:r>
      <w:r w:rsidRPr="004B7EF4">
        <w:t xml:space="preserve"> 431 mg/kg</w:t>
      </w:r>
      <w:r>
        <w:t xml:space="preserve"> </w:t>
      </w:r>
      <w:proofErr w:type="gramStart"/>
      <w:r>
        <w:t>bw</w:t>
      </w:r>
      <w:proofErr w:type="gramEnd"/>
      <w:r>
        <w:t>,</w:t>
      </w:r>
      <w:r w:rsidRPr="004B7EF4">
        <w:t xml:space="preserve"> 1/20 animals died</w:t>
      </w:r>
      <w:r>
        <w:t xml:space="preserve"> while</w:t>
      </w:r>
      <w:r w:rsidRPr="004B7EF4">
        <w:t xml:space="preserve"> 11/20 animals died after </w:t>
      </w:r>
      <w:r>
        <w:t>a dose</w:t>
      </w:r>
      <w:r w:rsidRPr="004B7EF4">
        <w:t xml:space="preserve"> of 862 mg/kg</w:t>
      </w:r>
      <w:r>
        <w:t xml:space="preserve"> bw</w:t>
      </w:r>
      <w:r w:rsidRPr="004B7EF4">
        <w:t xml:space="preserve">. </w:t>
      </w:r>
      <w:r>
        <w:t>The clinical signs</w:t>
      </w:r>
      <w:r w:rsidRPr="004B7EF4">
        <w:t xml:space="preserve"> observed and necropsy findings were practically identical to those described </w:t>
      </w:r>
      <w:r>
        <w:t xml:space="preserve">in the IpCF study </w:t>
      </w:r>
      <w:r w:rsidRPr="004B7EF4">
        <w:t>above (BASF</w:t>
      </w:r>
      <w:r>
        <w:t>,</w:t>
      </w:r>
      <w:r w:rsidRPr="004B7EF4">
        <w:t xml:space="preserve"> </w:t>
      </w:r>
      <w:r>
        <w:t>1968a</w:t>
      </w:r>
      <w:r w:rsidRPr="004B7EF4">
        <w:t xml:space="preserve">). </w:t>
      </w:r>
    </w:p>
    <w:p w:rsidR="001D41E2" w:rsidRPr="004B7EF4" w:rsidRDefault="001D41E2" w:rsidP="00F357B8">
      <w:pPr>
        <w:spacing w:after="240"/>
        <w:jc w:val="both"/>
      </w:pPr>
      <w:r w:rsidRPr="00AE2CB4">
        <w:rPr>
          <w:b/>
          <w:bCs/>
          <w:i/>
          <w:iCs/>
        </w:rPr>
        <w:t>SbCF:</w:t>
      </w:r>
      <w:r w:rsidRPr="00AE2CB4">
        <w:t xml:space="preserve"> </w:t>
      </w:r>
      <w:r>
        <w:t xml:space="preserve">In a study comparable to OECD TG 401, </w:t>
      </w:r>
      <w:r w:rsidRPr="00AE2CB4">
        <w:t xml:space="preserve">Wistar rats </w:t>
      </w:r>
      <w:r>
        <w:t xml:space="preserve">(5/sex/dose) </w:t>
      </w:r>
      <w:r w:rsidRPr="00AE2CB4">
        <w:t>were treated with 562, 1000 or 1780 mg/kg</w:t>
      </w:r>
      <w:r>
        <w:t xml:space="preserve"> </w:t>
      </w:r>
      <w:proofErr w:type="gramStart"/>
      <w:r>
        <w:t>bw</w:t>
      </w:r>
      <w:proofErr w:type="gramEnd"/>
      <w:r w:rsidRPr="00AE2CB4">
        <w:t xml:space="preserve"> SbCF by gavage </w:t>
      </w:r>
      <w:r>
        <w:t>(</w:t>
      </w:r>
      <w:r w:rsidR="005A7522">
        <w:t xml:space="preserve">vehicle: </w:t>
      </w:r>
      <w:r>
        <w:t xml:space="preserve"> olive oil)</w:t>
      </w:r>
      <w:r w:rsidRPr="00AE2CB4">
        <w:t>. No mortality was observed in doses up to 1000 mg/kg</w:t>
      </w:r>
      <w:r>
        <w:t xml:space="preserve"> </w:t>
      </w:r>
      <w:proofErr w:type="gramStart"/>
      <w:r>
        <w:t>bw</w:t>
      </w:r>
      <w:proofErr w:type="gramEnd"/>
      <w:r w:rsidRPr="00AE2CB4">
        <w:t>. In the 1780 mg/kg</w:t>
      </w:r>
      <w:r>
        <w:t xml:space="preserve"> </w:t>
      </w:r>
      <w:proofErr w:type="gramStart"/>
      <w:r>
        <w:t>bw</w:t>
      </w:r>
      <w:proofErr w:type="gramEnd"/>
      <w:r w:rsidRPr="00AE2CB4">
        <w:t xml:space="preserve"> dose group, </w:t>
      </w:r>
      <w:r>
        <w:t>8/10</w:t>
      </w:r>
      <w:r w:rsidRPr="00AE2CB4">
        <w:t xml:space="preserve"> </w:t>
      </w:r>
      <w:r>
        <w:t xml:space="preserve">animals </w:t>
      </w:r>
      <w:r w:rsidRPr="00AE2CB4">
        <w:t>died. The acute</w:t>
      </w:r>
      <w:r>
        <w:t xml:space="preserve"> oral</w:t>
      </w:r>
      <w:r w:rsidRPr="00AE2CB4">
        <w:t xml:space="preserve"> LD</w:t>
      </w:r>
      <w:r w:rsidRPr="00AE2CB4">
        <w:rPr>
          <w:vertAlign w:val="subscript"/>
        </w:rPr>
        <w:t>50</w:t>
      </w:r>
      <w:r w:rsidRPr="00AE2CB4">
        <w:t xml:space="preserve"> of SbCF in rats </w:t>
      </w:r>
      <w:r>
        <w:t>is</w:t>
      </w:r>
      <w:r w:rsidRPr="00AE2CB4">
        <w:t xml:space="preserve"> between 1000 - 1780 mg/kg</w:t>
      </w:r>
      <w:r>
        <w:t xml:space="preserve"> </w:t>
      </w:r>
      <w:proofErr w:type="gramStart"/>
      <w:r>
        <w:t>bw</w:t>
      </w:r>
      <w:proofErr w:type="gramEnd"/>
      <w:r w:rsidRPr="00AE2CB4">
        <w:t>. Haemorrhagic gastritis was observed in animals found dead and thickened gastric wall of the forestomach was noted in sacrificed animals at necropsy (BASF</w:t>
      </w:r>
      <w:r>
        <w:t xml:space="preserve"> AG,</w:t>
      </w:r>
      <w:r w:rsidRPr="00AE2CB4">
        <w:t xml:space="preserve"> 1984d).</w:t>
      </w:r>
    </w:p>
    <w:p w:rsidR="001D41E2" w:rsidRPr="004B7EF4" w:rsidRDefault="001D41E2" w:rsidP="00F357B8">
      <w:pPr>
        <w:spacing w:after="240"/>
        <w:jc w:val="both"/>
      </w:pPr>
      <w:r>
        <w:t>In a</w:t>
      </w:r>
      <w:r w:rsidRPr="004B7EF4">
        <w:t xml:space="preserve"> study comparable to OECD </w:t>
      </w:r>
      <w:r>
        <w:t xml:space="preserve">TG </w:t>
      </w:r>
      <w:r w:rsidRPr="004B7EF4">
        <w:t>401</w:t>
      </w:r>
      <w:r>
        <w:t xml:space="preserve">, </w:t>
      </w:r>
      <w:r w:rsidRPr="004B7EF4">
        <w:t>rats</w:t>
      </w:r>
      <w:r>
        <w:t xml:space="preserve"> (species not specified)</w:t>
      </w:r>
      <w:r w:rsidRPr="004B7EF4">
        <w:t xml:space="preserve"> </w:t>
      </w:r>
      <w:r>
        <w:t>(10/</w:t>
      </w:r>
      <w:r w:rsidRPr="004B7EF4">
        <w:t>sex</w:t>
      </w:r>
      <w:r>
        <w:t>/</w:t>
      </w:r>
      <w:r w:rsidRPr="004B7EF4">
        <w:t>dose</w:t>
      </w:r>
      <w:r>
        <w:t>)</w:t>
      </w:r>
      <w:r w:rsidRPr="004B7EF4">
        <w:t xml:space="preserve"> were administered 800, 1000, 1250, 1600, 3200 </w:t>
      </w:r>
      <w:r>
        <w:t>or</w:t>
      </w:r>
      <w:r w:rsidRPr="004B7EF4">
        <w:t xml:space="preserve"> 6400 mg/kg</w:t>
      </w:r>
      <w:r>
        <w:t xml:space="preserve"> </w:t>
      </w:r>
      <w:proofErr w:type="gramStart"/>
      <w:r>
        <w:t>bw</w:t>
      </w:r>
      <w:proofErr w:type="gramEnd"/>
      <w:r w:rsidRPr="004B7EF4">
        <w:t xml:space="preserve"> SbCF </w:t>
      </w:r>
      <w:r>
        <w:t>by</w:t>
      </w:r>
      <w:r w:rsidRPr="004B7EF4">
        <w:t xml:space="preserve"> gavage</w:t>
      </w:r>
      <w:r>
        <w:t xml:space="preserve"> (vehicle: olive oil)</w:t>
      </w:r>
      <w:r w:rsidRPr="004B7EF4">
        <w:t>. No mortality was observed in the 800 mg/kg</w:t>
      </w:r>
      <w:r>
        <w:t xml:space="preserve"> </w:t>
      </w:r>
      <w:proofErr w:type="gramStart"/>
      <w:r>
        <w:t>bw</w:t>
      </w:r>
      <w:proofErr w:type="gramEnd"/>
      <w:r w:rsidRPr="004B7EF4">
        <w:t xml:space="preserve"> dose group. </w:t>
      </w:r>
      <w:r>
        <w:t>Five of ten</w:t>
      </w:r>
      <w:r w:rsidRPr="004B7EF4">
        <w:t xml:space="preserve"> and </w:t>
      </w:r>
      <w:r>
        <w:t>six of ten</w:t>
      </w:r>
      <w:r w:rsidRPr="004B7EF4">
        <w:t xml:space="preserve"> animals died after administration of 1000</w:t>
      </w:r>
      <w:r>
        <w:t xml:space="preserve"> and</w:t>
      </w:r>
      <w:r w:rsidRPr="004B7EF4">
        <w:t xml:space="preserve"> 1250 mg/kg</w:t>
      </w:r>
      <w:r>
        <w:t xml:space="preserve"> </w:t>
      </w:r>
      <w:proofErr w:type="gramStart"/>
      <w:r>
        <w:t>bw</w:t>
      </w:r>
      <w:proofErr w:type="gramEnd"/>
      <w:r w:rsidRPr="004B7EF4">
        <w:t xml:space="preserve">, respectively. </w:t>
      </w:r>
      <w:r>
        <w:t>Nine of ten</w:t>
      </w:r>
      <w:r w:rsidRPr="004B7EF4">
        <w:t xml:space="preserve"> animals died in the 1600 mg/kg</w:t>
      </w:r>
      <w:r>
        <w:t xml:space="preserve"> </w:t>
      </w:r>
      <w:proofErr w:type="gramStart"/>
      <w:r>
        <w:t>bw</w:t>
      </w:r>
      <w:proofErr w:type="gramEnd"/>
      <w:r w:rsidRPr="004B7EF4">
        <w:t xml:space="preserve"> dose group. All animals receiving a dose of 3200 or 6400 mg/kg</w:t>
      </w:r>
      <w:r>
        <w:t xml:space="preserve"> </w:t>
      </w:r>
      <w:proofErr w:type="gramStart"/>
      <w:r>
        <w:t>bw</w:t>
      </w:r>
      <w:proofErr w:type="gramEnd"/>
      <w:r w:rsidRPr="004B7EF4">
        <w:t xml:space="preserve"> died within one day. Therefore</w:t>
      </w:r>
      <w:r>
        <w:t>,</w:t>
      </w:r>
      <w:r w:rsidRPr="004B7EF4">
        <w:t xml:space="preserve"> the acute </w:t>
      </w:r>
      <w:r>
        <w:t xml:space="preserve">oral </w:t>
      </w:r>
      <w:r w:rsidRPr="004B7EF4">
        <w:t>LD</w:t>
      </w:r>
      <w:r w:rsidRPr="004B7EF4">
        <w:rPr>
          <w:vertAlign w:val="subscript"/>
        </w:rPr>
        <w:t>50</w:t>
      </w:r>
      <w:r w:rsidRPr="004B7EF4">
        <w:t xml:space="preserve"> of SbCF in rats </w:t>
      </w:r>
      <w:r>
        <w:t>wa</w:t>
      </w:r>
      <w:r w:rsidRPr="004B7EF4">
        <w:t>s ca. 1000 mg/kg</w:t>
      </w:r>
      <w:r>
        <w:t xml:space="preserve"> </w:t>
      </w:r>
      <w:proofErr w:type="gramStart"/>
      <w:r>
        <w:t>bw</w:t>
      </w:r>
      <w:proofErr w:type="gramEnd"/>
      <w:r w:rsidRPr="004B7EF4">
        <w:t>. Squatting posture, irregular breathing</w:t>
      </w:r>
      <w:r>
        <w:t>,</w:t>
      </w:r>
      <w:r w:rsidRPr="004B7EF4">
        <w:t xml:space="preserve"> and aqueous discharge from the oral cavity was observed in all dose groups. There were no substance related findings </w:t>
      </w:r>
      <w:r>
        <w:t>for</w:t>
      </w:r>
      <w:r w:rsidRPr="004B7EF4">
        <w:t xml:space="preserve"> the sacrificed animals. </w:t>
      </w:r>
      <w:r>
        <w:t xml:space="preserve"> </w:t>
      </w:r>
      <w:r w:rsidRPr="004B7EF4">
        <w:t>Bloody erosion in the glandular stomach and gastroenterorrhagi</w:t>
      </w:r>
      <w:r>
        <w:t>c</w:t>
      </w:r>
      <w:r w:rsidRPr="004B7EF4">
        <w:t>, bloody discoloration of the stomach</w:t>
      </w:r>
      <w:r>
        <w:t>,</w:t>
      </w:r>
      <w:r w:rsidRPr="004B7EF4">
        <w:t xml:space="preserve"> and stomach with distinct vascular injections were observed for the animals found dead</w:t>
      </w:r>
      <w:r>
        <w:t xml:space="preserve"> (</w:t>
      </w:r>
      <w:r w:rsidRPr="00450873">
        <w:t>BASF, 1970</w:t>
      </w:r>
      <w:r>
        <w:t>b)</w:t>
      </w:r>
      <w:r w:rsidRPr="004B7EF4">
        <w:t>.</w:t>
      </w:r>
      <w:r>
        <w:t xml:space="preserve">  </w:t>
      </w:r>
    </w:p>
    <w:p w:rsidR="001D41E2" w:rsidRPr="004B7EF4" w:rsidRDefault="001D41E2" w:rsidP="00F357B8">
      <w:pPr>
        <w:spacing w:after="240"/>
        <w:jc w:val="both"/>
      </w:pPr>
      <w:r w:rsidRPr="004B7EF4">
        <w:rPr>
          <w:b/>
          <w:bCs/>
          <w:i/>
          <w:iCs/>
        </w:rPr>
        <w:t>ObCF:</w:t>
      </w:r>
      <w:r w:rsidRPr="004B7EF4">
        <w:t xml:space="preserve"> In an OECD TG 401</w:t>
      </w:r>
      <w:r>
        <w:t xml:space="preserve"> study,</w:t>
      </w:r>
      <w:r w:rsidRPr="004B7EF4">
        <w:t xml:space="preserve"> Sprague-Dawley rats</w:t>
      </w:r>
      <w:r>
        <w:t xml:space="preserve"> (5/</w:t>
      </w:r>
      <w:r w:rsidRPr="004B7EF4">
        <w:t>sex</w:t>
      </w:r>
      <w:r>
        <w:t>/</w:t>
      </w:r>
      <w:r w:rsidRPr="004B7EF4">
        <w:t>dose</w:t>
      </w:r>
      <w:r>
        <w:t>)</w:t>
      </w:r>
      <w:r w:rsidRPr="004B7EF4">
        <w:t xml:space="preserve"> were </w:t>
      </w:r>
      <w:r>
        <w:t xml:space="preserve">treated with </w:t>
      </w:r>
      <w:r w:rsidRPr="004B7EF4">
        <w:t>147,</w:t>
      </w:r>
      <w:r>
        <w:t xml:space="preserve"> </w:t>
      </w:r>
      <w:r w:rsidRPr="004B7EF4">
        <w:t>316</w:t>
      </w:r>
      <w:r>
        <w:t xml:space="preserve">, </w:t>
      </w:r>
      <w:r w:rsidRPr="004B7EF4">
        <w:t>1000,</w:t>
      </w:r>
      <w:r>
        <w:t xml:space="preserve"> </w:t>
      </w:r>
      <w:r w:rsidRPr="004B7EF4">
        <w:t>1470, 2150 or 3160 mg/kg</w:t>
      </w:r>
      <w:r>
        <w:t xml:space="preserve"> </w:t>
      </w:r>
      <w:proofErr w:type="gramStart"/>
      <w:r>
        <w:t>bw</w:t>
      </w:r>
      <w:proofErr w:type="gramEnd"/>
      <w:r w:rsidRPr="004B7EF4">
        <w:t xml:space="preserve"> ObCF </w:t>
      </w:r>
      <w:r>
        <w:t>by gavage (</w:t>
      </w:r>
      <w:r w:rsidR="005A7522">
        <w:t xml:space="preserve">vehicle: </w:t>
      </w:r>
      <w:r w:rsidRPr="004B7EF4">
        <w:t xml:space="preserve"> olive oil</w:t>
      </w:r>
      <w:r>
        <w:t>)</w:t>
      </w:r>
      <w:r w:rsidRPr="004B7EF4">
        <w:t xml:space="preserve">. No </w:t>
      </w:r>
      <w:r>
        <w:t xml:space="preserve">clinical signs </w:t>
      </w:r>
      <w:r w:rsidRPr="004B7EF4">
        <w:t xml:space="preserve">or mortality were noted </w:t>
      </w:r>
      <w:r>
        <w:t>for</w:t>
      </w:r>
      <w:r w:rsidRPr="004B7EF4">
        <w:t xml:space="preserve"> the animal groups </w:t>
      </w:r>
      <w:r>
        <w:t>dosed with</w:t>
      </w:r>
      <w:r w:rsidRPr="004B7EF4">
        <w:t xml:space="preserve"> 147 and 316 mg/kg</w:t>
      </w:r>
      <w:r>
        <w:t xml:space="preserve"> </w:t>
      </w:r>
      <w:proofErr w:type="gramStart"/>
      <w:r>
        <w:t>bw</w:t>
      </w:r>
      <w:proofErr w:type="gramEnd"/>
      <w:r w:rsidRPr="004B7EF4">
        <w:t xml:space="preserve">.  In animals </w:t>
      </w:r>
      <w:r>
        <w:t xml:space="preserve">dosed </w:t>
      </w:r>
      <w:r w:rsidRPr="004B7EF4">
        <w:t xml:space="preserve">at 1000 - 3160 mg/kg </w:t>
      </w:r>
      <w:proofErr w:type="gramStart"/>
      <w:r w:rsidRPr="004B7EF4">
        <w:t>bw</w:t>
      </w:r>
      <w:proofErr w:type="gramEnd"/>
      <w:r>
        <w:t>,</w:t>
      </w:r>
      <w:r w:rsidRPr="004B7EF4">
        <w:t xml:space="preserve"> signs of toxicity included apathy, dyspnea, restlessness, staggering, tremor, ruffled fur, salivation, and poor general state. Necropsy </w:t>
      </w:r>
      <w:r>
        <w:t xml:space="preserve">in deceased animals </w:t>
      </w:r>
      <w:r w:rsidRPr="004B7EF4">
        <w:t>revealed signs of gastrointestinal corrosion</w:t>
      </w:r>
      <w:r>
        <w:t>,</w:t>
      </w:r>
      <w:r w:rsidRPr="004B7EF4">
        <w:t xml:space="preserve"> bleeding ulcerations </w:t>
      </w:r>
      <w:r>
        <w:t xml:space="preserve">in the </w:t>
      </w:r>
      <w:r w:rsidRPr="004B7EF4">
        <w:t>stomach, red</w:t>
      </w:r>
      <w:r>
        <w:t xml:space="preserve">/necrotic </w:t>
      </w:r>
      <w:r w:rsidRPr="004B7EF4">
        <w:t>mucosa</w:t>
      </w:r>
      <w:r>
        <w:t xml:space="preserve"> </w:t>
      </w:r>
      <w:r w:rsidRPr="004B7EF4">
        <w:t>in</w:t>
      </w:r>
      <w:r>
        <w:t xml:space="preserve"> the </w:t>
      </w:r>
      <w:r w:rsidRPr="004B7EF4">
        <w:t>intestine</w:t>
      </w:r>
      <w:r>
        <w:t>, and</w:t>
      </w:r>
      <w:r w:rsidRPr="004B7EF4">
        <w:t xml:space="preserve"> distended lungs. The </w:t>
      </w:r>
      <w:r>
        <w:t xml:space="preserve">oral </w:t>
      </w:r>
      <w:r w:rsidRPr="004B7EF4">
        <w:t>LD</w:t>
      </w:r>
      <w:r w:rsidRPr="004B7EF4">
        <w:rPr>
          <w:vertAlign w:val="subscript"/>
        </w:rPr>
        <w:t>50</w:t>
      </w:r>
      <w:r w:rsidRPr="004B7EF4">
        <w:t xml:space="preserve"> was </w:t>
      </w:r>
      <w:r>
        <w:t>determined to be 1650</w:t>
      </w:r>
      <w:r w:rsidRPr="004B7EF4">
        <w:t xml:space="preserve"> mg/kg</w:t>
      </w:r>
      <w:r>
        <w:t xml:space="preserve"> </w:t>
      </w:r>
      <w:proofErr w:type="gramStart"/>
      <w:r>
        <w:t>bw</w:t>
      </w:r>
      <w:proofErr w:type="gramEnd"/>
      <w:r w:rsidRPr="004B7EF4">
        <w:t xml:space="preserve"> (95%</w:t>
      </w:r>
      <w:r>
        <w:t xml:space="preserve"> CL =</w:t>
      </w:r>
      <w:r w:rsidRPr="004B7EF4">
        <w:t xml:space="preserve"> 1290-2052 mg/kg</w:t>
      </w:r>
      <w:r>
        <w:t xml:space="preserve"> bw</w:t>
      </w:r>
      <w:r w:rsidRPr="004B7EF4">
        <w:t>) (BASF</w:t>
      </w:r>
      <w:r>
        <w:t xml:space="preserve"> AG,</w:t>
      </w:r>
      <w:r w:rsidRPr="004B7EF4">
        <w:t xml:space="preserve"> 1980a).</w:t>
      </w:r>
    </w:p>
    <w:p w:rsidR="001D41E2" w:rsidRPr="004B7EF4" w:rsidRDefault="001D41E2" w:rsidP="00142E86">
      <w:pPr>
        <w:pStyle w:val="Caption"/>
        <w:ind w:left="0"/>
      </w:pPr>
      <w:bookmarkStart w:id="65" w:name="_Toc264983290"/>
      <w:r w:rsidRPr="004B7EF4">
        <w:t xml:space="preserve">Table </w:t>
      </w:r>
      <w:r>
        <w:t>1</w:t>
      </w:r>
      <w:r w:rsidR="002F054D">
        <w:t>4</w:t>
      </w:r>
      <w:r w:rsidR="00142E86">
        <w:t xml:space="preserve">    </w:t>
      </w:r>
      <w:r>
        <w:t xml:space="preserve"> </w:t>
      </w:r>
      <w:r w:rsidRPr="004B7EF4">
        <w:t>Summary of acute oral toxicity</w:t>
      </w:r>
      <w:bookmarkEnd w:id="65"/>
      <w: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7"/>
        <w:gridCol w:w="1340"/>
        <w:gridCol w:w="4142"/>
        <w:gridCol w:w="2436"/>
      </w:tblGrid>
      <w:tr w:rsidR="001D41E2" w:rsidRPr="004B7EF4" w:rsidTr="00142E86">
        <w:trPr>
          <w:tblHeader/>
        </w:trPr>
        <w:tc>
          <w:tcPr>
            <w:tcW w:w="1908" w:type="dxa"/>
            <w:tcBorders>
              <w:top w:val="single" w:sz="12" w:space="0" w:color="auto"/>
              <w:left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 xml:space="preserve">Category member </w:t>
            </w:r>
          </w:p>
        </w:tc>
        <w:tc>
          <w:tcPr>
            <w:tcW w:w="1320"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Test species</w:t>
            </w:r>
          </w:p>
        </w:tc>
        <w:tc>
          <w:tcPr>
            <w:tcW w:w="4080" w:type="dxa"/>
            <w:tcBorders>
              <w:top w:val="single" w:sz="12" w:space="0" w:color="auto"/>
              <w:bottom w:val="single" w:sz="12" w:space="0" w:color="auto"/>
            </w:tcBorders>
            <w:vAlign w:val="center"/>
          </w:tcPr>
          <w:p w:rsidR="001D41E2" w:rsidRPr="004B7EF4" w:rsidRDefault="001D41E2" w:rsidP="00883CB9">
            <w:pPr>
              <w:pStyle w:val="Tabletext"/>
              <w:jc w:val="center"/>
              <w:rPr>
                <w:b/>
                <w:bCs/>
              </w:rPr>
            </w:pPr>
            <w:r w:rsidRPr="004B7EF4">
              <w:rPr>
                <w:b/>
                <w:bCs/>
              </w:rPr>
              <w:t>Result</w:t>
            </w:r>
          </w:p>
        </w:tc>
        <w:tc>
          <w:tcPr>
            <w:tcW w:w="2400" w:type="dxa"/>
            <w:tcBorders>
              <w:top w:val="single" w:sz="12" w:space="0" w:color="auto"/>
              <w:bottom w:val="single" w:sz="12" w:space="0" w:color="auto"/>
              <w:right w:val="single" w:sz="12" w:space="0" w:color="auto"/>
            </w:tcBorders>
            <w:vAlign w:val="center"/>
          </w:tcPr>
          <w:p w:rsidR="001D41E2" w:rsidRPr="004B7EF4" w:rsidRDefault="001D41E2" w:rsidP="00883CB9">
            <w:pPr>
              <w:pStyle w:val="Tabletext"/>
              <w:jc w:val="center"/>
              <w:rPr>
                <w:b/>
                <w:bCs/>
              </w:rPr>
            </w:pPr>
            <w:r w:rsidRPr="004B7EF4">
              <w:rPr>
                <w:b/>
                <w:bCs/>
              </w:rPr>
              <w:t>Reference</w:t>
            </w:r>
          </w:p>
        </w:tc>
      </w:tr>
      <w:tr w:rsidR="001D41E2" w:rsidRPr="004B7EF4" w:rsidTr="00142E86">
        <w:trPr>
          <w:trHeight w:val="397"/>
        </w:trPr>
        <w:tc>
          <w:tcPr>
            <w:tcW w:w="9708" w:type="dxa"/>
            <w:gridSpan w:val="4"/>
            <w:tcBorders>
              <w:top w:val="single" w:sz="12" w:space="0" w:color="auto"/>
              <w:left w:val="single" w:sz="12" w:space="0" w:color="auto"/>
              <w:right w:val="single" w:sz="12" w:space="0" w:color="auto"/>
            </w:tcBorders>
            <w:vAlign w:val="center"/>
          </w:tcPr>
          <w:p w:rsidR="001D41E2" w:rsidRPr="004B7EF4" w:rsidRDefault="001D41E2" w:rsidP="00883CB9">
            <w:pPr>
              <w:pStyle w:val="Tabletext"/>
            </w:pPr>
            <w:r w:rsidRPr="004B7EF4">
              <w:rPr>
                <w:b/>
                <w:bCs/>
              </w:rPr>
              <w:t>Acute oral Toxicity</w:t>
            </w:r>
          </w:p>
        </w:tc>
      </w:tr>
      <w:tr w:rsidR="001D41E2" w:rsidRPr="004B7EF4" w:rsidTr="00142E86">
        <w:trPr>
          <w:trHeight w:val="567"/>
        </w:trPr>
        <w:tc>
          <w:tcPr>
            <w:tcW w:w="1908" w:type="dxa"/>
            <w:tcBorders>
              <w:left w:val="single" w:sz="12" w:space="0" w:color="auto"/>
              <w:bottom w:val="nil"/>
            </w:tcBorders>
            <w:vAlign w:val="center"/>
          </w:tcPr>
          <w:p w:rsidR="001D41E2" w:rsidRPr="004B7EF4" w:rsidRDefault="001D41E2" w:rsidP="00883CB9">
            <w:pPr>
              <w:pStyle w:val="Tabletext"/>
              <w:jc w:val="center"/>
            </w:pPr>
            <w:r>
              <w:t>MeCF</w:t>
            </w:r>
          </w:p>
        </w:tc>
        <w:tc>
          <w:tcPr>
            <w:tcW w:w="1320" w:type="dxa"/>
            <w:tcBorders>
              <w:bottom w:val="nil"/>
            </w:tcBorders>
            <w:vAlign w:val="center"/>
          </w:tcPr>
          <w:p w:rsidR="001D41E2" w:rsidRPr="00450873" w:rsidRDefault="001D41E2" w:rsidP="00883CB9">
            <w:pPr>
              <w:pStyle w:val="NormalWeb"/>
              <w:spacing w:before="120" w:after="120"/>
              <w:jc w:val="center"/>
              <w:rPr>
                <w:sz w:val="20"/>
                <w:szCs w:val="20"/>
                <w:lang w:val="en-US"/>
              </w:rPr>
            </w:pPr>
            <w:r w:rsidRPr="00450873">
              <w:rPr>
                <w:sz w:val="20"/>
                <w:szCs w:val="20"/>
                <w:lang w:val="en-US"/>
              </w:rPr>
              <w:t>rat</w:t>
            </w:r>
          </w:p>
        </w:tc>
        <w:tc>
          <w:tcPr>
            <w:tcW w:w="4080" w:type="dxa"/>
            <w:tcBorders>
              <w:bottom w:val="nil"/>
            </w:tcBorders>
            <w:vAlign w:val="center"/>
          </w:tcPr>
          <w:p w:rsidR="001D41E2" w:rsidRPr="009D46B4" w:rsidRDefault="001D41E2" w:rsidP="00883CB9">
            <w:pPr>
              <w:pStyle w:val="Tabletext"/>
              <w:jc w:val="center"/>
            </w:pPr>
            <w:r w:rsidRPr="009D46B4">
              <w:t>LD</w:t>
            </w:r>
            <w:r w:rsidRPr="009D46B4">
              <w:rPr>
                <w:vertAlign w:val="subscript"/>
              </w:rPr>
              <w:t>50</w:t>
            </w:r>
            <w:r w:rsidRPr="009D46B4">
              <w:t xml:space="preserve">  = 313 mg/kg bw in olive oil</w:t>
            </w:r>
          </w:p>
          <w:p w:rsidR="001D41E2" w:rsidRPr="004C2CEE" w:rsidRDefault="001D41E2" w:rsidP="00883CB9">
            <w:pPr>
              <w:pStyle w:val="Tabletext"/>
              <w:jc w:val="center"/>
            </w:pPr>
            <w:r w:rsidRPr="009D46B4">
              <w:t>LD</w:t>
            </w:r>
            <w:r w:rsidRPr="009D46B4">
              <w:rPr>
                <w:vertAlign w:val="subscript"/>
              </w:rPr>
              <w:t>50</w:t>
            </w:r>
            <w:r w:rsidRPr="009D46B4">
              <w:t xml:space="preserve">  = 25 - 200 mg/kg bw (vehicle</w:t>
            </w:r>
            <w:r w:rsidR="007D3E3E" w:rsidRPr="007D3E3E">
              <w:t xml:space="preserve"> not stated</w:t>
            </w:r>
            <w:r w:rsidRPr="004C2CEE">
              <w:t>)</w:t>
            </w:r>
          </w:p>
        </w:tc>
        <w:tc>
          <w:tcPr>
            <w:tcW w:w="2400" w:type="dxa"/>
            <w:tcBorders>
              <w:bottom w:val="nil"/>
              <w:right w:val="single" w:sz="12" w:space="0" w:color="auto"/>
            </w:tcBorders>
            <w:vAlign w:val="center"/>
          </w:tcPr>
          <w:p w:rsidR="001D41E2" w:rsidRPr="009D46B4" w:rsidRDefault="001D41E2" w:rsidP="00883CB9">
            <w:pPr>
              <w:pStyle w:val="Tabletext"/>
              <w:jc w:val="center"/>
            </w:pPr>
            <w:r w:rsidRPr="009D46B4">
              <w:t>BASF AG, 1981</w:t>
            </w:r>
          </w:p>
          <w:p w:rsidR="001D41E2" w:rsidRPr="009D46B4" w:rsidRDefault="001D41E2" w:rsidP="00883CB9">
            <w:pPr>
              <w:pStyle w:val="Tabletext"/>
              <w:jc w:val="center"/>
            </w:pPr>
            <w:r w:rsidRPr="009D46B4">
              <w:t>Schelde, 1992</w:t>
            </w:r>
          </w:p>
        </w:tc>
      </w:tr>
      <w:tr w:rsidR="001D41E2" w:rsidRPr="00681851" w:rsidTr="00142E86">
        <w:trPr>
          <w:trHeight w:val="567"/>
        </w:trPr>
        <w:tc>
          <w:tcPr>
            <w:tcW w:w="1908" w:type="dxa"/>
            <w:tcBorders>
              <w:left w:val="single" w:sz="12" w:space="0" w:color="auto"/>
              <w:bottom w:val="nil"/>
            </w:tcBorders>
            <w:vAlign w:val="center"/>
          </w:tcPr>
          <w:p w:rsidR="001D41E2" w:rsidRPr="004B7EF4" w:rsidRDefault="001D41E2" w:rsidP="00883CB9">
            <w:pPr>
              <w:pStyle w:val="Tabletext"/>
              <w:jc w:val="center"/>
            </w:pPr>
            <w:r>
              <w:t>EtCF</w:t>
            </w:r>
          </w:p>
        </w:tc>
        <w:tc>
          <w:tcPr>
            <w:tcW w:w="1320" w:type="dxa"/>
            <w:tcBorders>
              <w:bottom w:val="nil"/>
            </w:tcBorders>
            <w:vAlign w:val="center"/>
          </w:tcPr>
          <w:p w:rsidR="001D41E2" w:rsidRPr="00450873" w:rsidRDefault="001D41E2" w:rsidP="00883CB9">
            <w:pPr>
              <w:pStyle w:val="NormalWeb"/>
              <w:spacing w:before="120" w:after="120"/>
              <w:jc w:val="center"/>
              <w:rPr>
                <w:sz w:val="20"/>
                <w:szCs w:val="20"/>
                <w:lang w:val="en-US"/>
              </w:rPr>
            </w:pPr>
            <w:r w:rsidRPr="00450873">
              <w:rPr>
                <w:sz w:val="20"/>
                <w:szCs w:val="20"/>
                <w:lang w:val="en-US"/>
              </w:rPr>
              <w:t>rat</w:t>
            </w:r>
          </w:p>
        </w:tc>
        <w:tc>
          <w:tcPr>
            <w:tcW w:w="4080" w:type="dxa"/>
            <w:tcBorders>
              <w:bottom w:val="nil"/>
            </w:tcBorders>
            <w:vAlign w:val="center"/>
          </w:tcPr>
          <w:p w:rsidR="001D41E2" w:rsidRPr="001D41E2" w:rsidRDefault="007D3E3E" w:rsidP="00883CB9">
            <w:pPr>
              <w:pStyle w:val="Tabletext"/>
              <w:jc w:val="center"/>
              <w:rPr>
                <w:lang w:val="nl-NL"/>
              </w:rPr>
            </w:pPr>
            <w:r w:rsidRPr="007D3E3E">
              <w:rPr>
                <w:lang w:val="nl-NL"/>
              </w:rPr>
              <w:t xml:space="preserve">LD50  = 205 mg/kg </w:t>
            </w:r>
            <w:proofErr w:type="gramStart"/>
            <w:r w:rsidRPr="007D3E3E">
              <w:rPr>
                <w:lang w:val="nl-NL"/>
              </w:rPr>
              <w:t>bw</w:t>
            </w:r>
            <w:proofErr w:type="gramEnd"/>
            <w:r w:rsidRPr="007D3E3E">
              <w:rPr>
                <w:lang w:val="nl-NL"/>
              </w:rPr>
              <w:t xml:space="preserve"> in water</w:t>
            </w:r>
          </w:p>
          <w:p w:rsidR="001D41E2" w:rsidRPr="004B7EF4" w:rsidRDefault="001D41E2" w:rsidP="00883CB9">
            <w:pPr>
              <w:pStyle w:val="Tabletext"/>
              <w:jc w:val="center"/>
            </w:pPr>
            <w:r>
              <w:t>LD50 = 411 mg/kg bw in maize oil</w:t>
            </w:r>
          </w:p>
          <w:p w:rsidR="001D41E2" w:rsidRPr="004B7EF4" w:rsidRDefault="001D41E2" w:rsidP="00883CB9">
            <w:pPr>
              <w:pStyle w:val="Tabletext"/>
              <w:jc w:val="center"/>
            </w:pPr>
            <w:r w:rsidRPr="004B7EF4">
              <w:t>LD50  = 614 mg/kg in sesame oil</w:t>
            </w:r>
          </w:p>
        </w:tc>
        <w:tc>
          <w:tcPr>
            <w:tcW w:w="2400" w:type="dxa"/>
            <w:tcBorders>
              <w:bottom w:val="nil"/>
              <w:right w:val="single" w:sz="12" w:space="0" w:color="auto"/>
            </w:tcBorders>
            <w:vAlign w:val="center"/>
          </w:tcPr>
          <w:p w:rsidR="001D41E2" w:rsidRPr="001D41E2" w:rsidRDefault="007D3E3E" w:rsidP="00883CB9">
            <w:pPr>
              <w:pStyle w:val="Tabletext"/>
              <w:jc w:val="center"/>
              <w:rPr>
                <w:lang w:val="de-DE"/>
              </w:rPr>
            </w:pPr>
            <w:r w:rsidRPr="007D3E3E">
              <w:rPr>
                <w:lang w:val="de-DE"/>
              </w:rPr>
              <w:t>BASF AG, 1970b</w:t>
            </w:r>
          </w:p>
          <w:p w:rsidR="001D41E2" w:rsidRPr="001D41E2" w:rsidRDefault="007D3E3E" w:rsidP="00883CB9">
            <w:pPr>
              <w:pStyle w:val="Tabletext"/>
              <w:jc w:val="center"/>
              <w:rPr>
                <w:lang w:val="de-DE"/>
              </w:rPr>
            </w:pPr>
            <w:r w:rsidRPr="007D3E3E">
              <w:rPr>
                <w:lang w:val="de-DE"/>
              </w:rPr>
              <w:t>Griscom, 1972</w:t>
            </w:r>
          </w:p>
          <w:p w:rsidR="001D41E2" w:rsidRPr="001D41E2" w:rsidRDefault="007D3E3E" w:rsidP="00883CB9">
            <w:pPr>
              <w:pStyle w:val="Tabletext"/>
              <w:jc w:val="center"/>
              <w:rPr>
                <w:lang w:val="de-DE"/>
              </w:rPr>
            </w:pPr>
            <w:r w:rsidRPr="007D3E3E">
              <w:rPr>
                <w:lang w:val="de-DE"/>
              </w:rPr>
              <w:t>Hoechst, 1975</w:t>
            </w:r>
          </w:p>
        </w:tc>
      </w:tr>
      <w:tr w:rsidR="001D41E2" w:rsidRPr="004B7EF4" w:rsidTr="00142E86">
        <w:trPr>
          <w:trHeight w:val="567"/>
        </w:trPr>
        <w:tc>
          <w:tcPr>
            <w:tcW w:w="1908" w:type="dxa"/>
            <w:tcBorders>
              <w:left w:val="single" w:sz="12" w:space="0" w:color="auto"/>
              <w:bottom w:val="nil"/>
            </w:tcBorders>
            <w:vAlign w:val="center"/>
          </w:tcPr>
          <w:p w:rsidR="001D41E2" w:rsidRPr="004B7EF4" w:rsidRDefault="001D41E2" w:rsidP="00883CB9">
            <w:pPr>
              <w:pStyle w:val="Tabletext"/>
              <w:jc w:val="center"/>
            </w:pPr>
            <w:r>
              <w:t>PrCF</w:t>
            </w:r>
          </w:p>
        </w:tc>
        <w:tc>
          <w:tcPr>
            <w:tcW w:w="1320" w:type="dxa"/>
            <w:tcBorders>
              <w:bottom w:val="nil"/>
            </w:tcBorders>
            <w:vAlign w:val="center"/>
          </w:tcPr>
          <w:p w:rsidR="001D41E2" w:rsidRPr="00450873" w:rsidRDefault="001D41E2" w:rsidP="00883CB9">
            <w:pPr>
              <w:pStyle w:val="NormalWeb"/>
              <w:spacing w:before="120" w:after="120"/>
              <w:jc w:val="center"/>
              <w:rPr>
                <w:sz w:val="20"/>
                <w:szCs w:val="20"/>
                <w:lang w:val="en-US"/>
              </w:rPr>
            </w:pPr>
            <w:r w:rsidRPr="00450873">
              <w:rPr>
                <w:sz w:val="20"/>
                <w:szCs w:val="20"/>
                <w:lang w:val="en-US"/>
              </w:rPr>
              <w:t>rat</w:t>
            </w:r>
          </w:p>
        </w:tc>
        <w:tc>
          <w:tcPr>
            <w:tcW w:w="4080" w:type="dxa"/>
            <w:tcBorders>
              <w:bottom w:val="nil"/>
            </w:tcBorders>
            <w:vAlign w:val="center"/>
          </w:tcPr>
          <w:p w:rsidR="001D41E2" w:rsidRPr="004B7EF4" w:rsidRDefault="001D41E2" w:rsidP="00883CB9">
            <w:pPr>
              <w:pStyle w:val="NormalWeb"/>
              <w:spacing w:before="120" w:after="120"/>
              <w:jc w:val="center"/>
              <w:rPr>
                <w:sz w:val="20"/>
                <w:szCs w:val="20"/>
                <w:lang w:val="en-US"/>
              </w:rPr>
            </w:pPr>
            <w:r w:rsidRPr="004B7EF4">
              <w:rPr>
                <w:sz w:val="20"/>
                <w:szCs w:val="20"/>
                <w:lang w:val="en-US"/>
              </w:rPr>
              <w:t>LD</w:t>
            </w:r>
            <w:r w:rsidRPr="004B7EF4">
              <w:rPr>
                <w:sz w:val="20"/>
                <w:szCs w:val="20"/>
                <w:vertAlign w:val="subscript"/>
                <w:lang w:val="en-US"/>
              </w:rPr>
              <w:t>50</w:t>
            </w:r>
            <w:r w:rsidRPr="004B7EF4">
              <w:rPr>
                <w:sz w:val="20"/>
                <w:szCs w:val="20"/>
                <w:lang w:val="en-US"/>
              </w:rPr>
              <w:t xml:space="preserve">  = 1210 mg/kg</w:t>
            </w:r>
            <w:r>
              <w:rPr>
                <w:sz w:val="20"/>
                <w:szCs w:val="20"/>
                <w:lang w:val="en-US"/>
              </w:rPr>
              <w:t xml:space="preserve"> bw</w:t>
            </w:r>
            <w:r w:rsidRPr="004B7EF4">
              <w:rPr>
                <w:sz w:val="20"/>
                <w:szCs w:val="20"/>
                <w:lang w:val="en-US"/>
              </w:rPr>
              <w:t xml:space="preserve"> in olive oil</w:t>
            </w:r>
          </w:p>
        </w:tc>
        <w:tc>
          <w:tcPr>
            <w:tcW w:w="2400" w:type="dxa"/>
            <w:tcBorders>
              <w:bottom w:val="nil"/>
              <w:right w:val="single" w:sz="12" w:space="0" w:color="auto"/>
            </w:tcBorders>
            <w:vAlign w:val="center"/>
          </w:tcPr>
          <w:p w:rsidR="001D41E2" w:rsidRPr="004C2CEE" w:rsidRDefault="001D41E2" w:rsidP="00883CB9">
            <w:pPr>
              <w:pStyle w:val="NormalWeb"/>
              <w:spacing w:before="120" w:after="120"/>
              <w:jc w:val="center"/>
              <w:rPr>
                <w:sz w:val="20"/>
                <w:szCs w:val="20"/>
                <w:lang w:val="en-US"/>
              </w:rPr>
            </w:pPr>
            <w:r w:rsidRPr="004C2CEE">
              <w:rPr>
                <w:sz w:val="20"/>
                <w:szCs w:val="20"/>
                <w:lang w:val="en-US"/>
              </w:rPr>
              <w:t>BASF AG, 1980d</w:t>
            </w:r>
          </w:p>
        </w:tc>
      </w:tr>
      <w:tr w:rsidR="001D41E2" w:rsidRPr="004B7EF4" w:rsidTr="00142E86">
        <w:trPr>
          <w:trHeight w:val="567"/>
        </w:trPr>
        <w:tc>
          <w:tcPr>
            <w:tcW w:w="1908" w:type="dxa"/>
            <w:tcBorders>
              <w:left w:val="single" w:sz="12" w:space="0" w:color="auto"/>
            </w:tcBorders>
            <w:vAlign w:val="center"/>
          </w:tcPr>
          <w:p w:rsidR="001D41E2" w:rsidRPr="004B7EF4" w:rsidRDefault="001D41E2" w:rsidP="00883CB9">
            <w:pPr>
              <w:pStyle w:val="Tabletext"/>
              <w:jc w:val="center"/>
            </w:pPr>
            <w:r>
              <w:t>IpCF</w:t>
            </w:r>
          </w:p>
        </w:tc>
        <w:tc>
          <w:tcPr>
            <w:tcW w:w="1320" w:type="dxa"/>
            <w:vAlign w:val="center"/>
          </w:tcPr>
          <w:p w:rsidR="001D41E2" w:rsidRPr="00450873" w:rsidRDefault="001D41E2" w:rsidP="00883CB9">
            <w:pPr>
              <w:jc w:val="center"/>
              <w:rPr>
                <w:sz w:val="20"/>
                <w:szCs w:val="20"/>
              </w:rPr>
            </w:pPr>
            <w:r w:rsidRPr="00450873">
              <w:rPr>
                <w:sz w:val="20"/>
                <w:szCs w:val="20"/>
              </w:rPr>
              <w:t>rat</w:t>
            </w:r>
          </w:p>
        </w:tc>
        <w:tc>
          <w:tcPr>
            <w:tcW w:w="4080" w:type="dxa"/>
            <w:vAlign w:val="center"/>
          </w:tcPr>
          <w:p w:rsidR="001D41E2" w:rsidRPr="004B7EF4" w:rsidRDefault="001D41E2" w:rsidP="00142E86">
            <w:pPr>
              <w:pStyle w:val="Tabletext"/>
              <w:jc w:val="center"/>
            </w:pPr>
            <w:r w:rsidRPr="004B7EF4">
              <w:t>LD</w:t>
            </w:r>
            <w:r w:rsidRPr="004B7EF4">
              <w:rPr>
                <w:vertAlign w:val="subscript"/>
              </w:rPr>
              <w:t>50</w:t>
            </w:r>
            <w:r w:rsidRPr="004B7EF4">
              <w:t xml:space="preserve">   &gt; 681 - &lt; 1210 mg/kg</w:t>
            </w:r>
            <w:r>
              <w:t xml:space="preserve"> bw</w:t>
            </w:r>
            <w:r w:rsidRPr="004B7EF4">
              <w:t xml:space="preserve"> in olive oil</w:t>
            </w:r>
          </w:p>
        </w:tc>
        <w:tc>
          <w:tcPr>
            <w:tcW w:w="2400" w:type="dxa"/>
            <w:tcBorders>
              <w:right w:val="single" w:sz="12" w:space="0" w:color="auto"/>
            </w:tcBorders>
            <w:vAlign w:val="center"/>
          </w:tcPr>
          <w:p w:rsidR="001D41E2" w:rsidRPr="00B32D06" w:rsidRDefault="001D41E2" w:rsidP="00142E86">
            <w:pPr>
              <w:pStyle w:val="Tabletext"/>
              <w:jc w:val="center"/>
            </w:pPr>
            <w:r w:rsidRPr="004C2CEE">
              <w:t>BASF AG, 1984a</w:t>
            </w:r>
          </w:p>
        </w:tc>
      </w:tr>
      <w:tr w:rsidR="001D41E2" w:rsidRPr="00681851" w:rsidTr="00142E86">
        <w:trPr>
          <w:trHeight w:val="567"/>
        </w:trPr>
        <w:tc>
          <w:tcPr>
            <w:tcW w:w="1908" w:type="dxa"/>
            <w:tcBorders>
              <w:left w:val="single" w:sz="12" w:space="0" w:color="auto"/>
            </w:tcBorders>
            <w:vAlign w:val="center"/>
          </w:tcPr>
          <w:p w:rsidR="001D41E2" w:rsidRPr="004B7EF4" w:rsidRDefault="001D41E2" w:rsidP="00883CB9">
            <w:pPr>
              <w:pStyle w:val="Tabletext"/>
              <w:jc w:val="center"/>
            </w:pPr>
            <w:r>
              <w:t>SbCF</w:t>
            </w:r>
          </w:p>
        </w:tc>
        <w:tc>
          <w:tcPr>
            <w:tcW w:w="1320" w:type="dxa"/>
            <w:vAlign w:val="center"/>
          </w:tcPr>
          <w:p w:rsidR="001D41E2" w:rsidRPr="00450873" w:rsidRDefault="001D41E2" w:rsidP="00883CB9">
            <w:pPr>
              <w:jc w:val="center"/>
              <w:rPr>
                <w:sz w:val="20"/>
                <w:szCs w:val="20"/>
              </w:rPr>
            </w:pPr>
            <w:r w:rsidRPr="00450873">
              <w:rPr>
                <w:sz w:val="20"/>
                <w:szCs w:val="20"/>
              </w:rPr>
              <w:t>rat</w:t>
            </w:r>
          </w:p>
        </w:tc>
        <w:tc>
          <w:tcPr>
            <w:tcW w:w="4080" w:type="dxa"/>
            <w:vAlign w:val="center"/>
          </w:tcPr>
          <w:p w:rsidR="001D41E2" w:rsidRPr="004B7EF4" w:rsidRDefault="001D41E2" w:rsidP="00883CB9">
            <w:pPr>
              <w:pStyle w:val="Tabletext"/>
              <w:jc w:val="center"/>
            </w:pPr>
            <w:r w:rsidRPr="004B7EF4">
              <w:t>LD</w:t>
            </w:r>
            <w:r w:rsidRPr="004B7EF4">
              <w:rPr>
                <w:vertAlign w:val="subscript"/>
              </w:rPr>
              <w:t>50</w:t>
            </w:r>
            <w:r w:rsidRPr="004B7EF4">
              <w:t xml:space="preserve"> = 1000 - </w:t>
            </w:r>
            <w:r>
              <w:t>1780</w:t>
            </w:r>
            <w:r w:rsidRPr="004B7EF4">
              <w:t xml:space="preserve"> mg/kg</w:t>
            </w:r>
            <w:r>
              <w:t xml:space="preserve"> bw</w:t>
            </w:r>
            <w:r w:rsidRPr="004B7EF4">
              <w:t xml:space="preserve"> in olive oil</w:t>
            </w:r>
          </w:p>
          <w:p w:rsidR="001D41E2" w:rsidRPr="004B7EF4" w:rsidRDefault="001D41E2" w:rsidP="00883CB9">
            <w:pPr>
              <w:pStyle w:val="Tabletext"/>
              <w:jc w:val="center"/>
            </w:pPr>
            <w:r w:rsidRPr="004B7EF4">
              <w:t>LD</w:t>
            </w:r>
            <w:r w:rsidRPr="004B7EF4">
              <w:rPr>
                <w:vertAlign w:val="subscript"/>
              </w:rPr>
              <w:t>50</w:t>
            </w:r>
            <w:r w:rsidRPr="004B7EF4">
              <w:t xml:space="preserve"> = 1000 mg/kg </w:t>
            </w:r>
            <w:r>
              <w:t>bw in olive oil</w:t>
            </w:r>
          </w:p>
        </w:tc>
        <w:tc>
          <w:tcPr>
            <w:tcW w:w="2400" w:type="dxa"/>
            <w:tcBorders>
              <w:right w:val="single" w:sz="12" w:space="0" w:color="auto"/>
            </w:tcBorders>
            <w:vAlign w:val="center"/>
          </w:tcPr>
          <w:p w:rsidR="001D41E2" w:rsidRPr="001D41E2" w:rsidRDefault="007D3E3E" w:rsidP="00883CB9">
            <w:pPr>
              <w:pStyle w:val="Tabletext"/>
              <w:jc w:val="center"/>
              <w:rPr>
                <w:lang w:val="de-DE"/>
              </w:rPr>
            </w:pPr>
            <w:r w:rsidRPr="007D3E3E">
              <w:rPr>
                <w:lang w:val="de-DE"/>
              </w:rPr>
              <w:t>BASF AG, 1984d</w:t>
            </w:r>
          </w:p>
          <w:p w:rsidR="001D41E2" w:rsidRPr="001D41E2" w:rsidRDefault="007D3E3E" w:rsidP="00883CB9">
            <w:pPr>
              <w:pStyle w:val="Tabletext"/>
              <w:jc w:val="center"/>
              <w:rPr>
                <w:lang w:val="de-DE"/>
              </w:rPr>
            </w:pPr>
            <w:r w:rsidRPr="007D3E3E">
              <w:rPr>
                <w:lang w:val="de-DE"/>
              </w:rPr>
              <w:t>BASF, 1970b</w:t>
            </w:r>
          </w:p>
        </w:tc>
      </w:tr>
      <w:tr w:rsidR="001D41E2" w:rsidRPr="004B7EF4" w:rsidTr="00142E86">
        <w:trPr>
          <w:trHeight w:val="567"/>
        </w:trPr>
        <w:tc>
          <w:tcPr>
            <w:tcW w:w="1908" w:type="dxa"/>
            <w:tcBorders>
              <w:left w:val="single" w:sz="12" w:space="0" w:color="auto"/>
            </w:tcBorders>
            <w:vAlign w:val="center"/>
          </w:tcPr>
          <w:p w:rsidR="001D41E2" w:rsidRPr="004B7EF4" w:rsidRDefault="001D41E2" w:rsidP="00883CB9">
            <w:pPr>
              <w:pStyle w:val="Tabletext"/>
              <w:jc w:val="center"/>
            </w:pPr>
            <w:r>
              <w:t>ObCF</w:t>
            </w:r>
          </w:p>
        </w:tc>
        <w:tc>
          <w:tcPr>
            <w:tcW w:w="1320" w:type="dxa"/>
            <w:vAlign w:val="center"/>
          </w:tcPr>
          <w:p w:rsidR="001D41E2" w:rsidRPr="00450873" w:rsidRDefault="001D41E2" w:rsidP="00883CB9">
            <w:pPr>
              <w:jc w:val="center"/>
              <w:rPr>
                <w:sz w:val="20"/>
                <w:szCs w:val="20"/>
              </w:rPr>
            </w:pPr>
            <w:r w:rsidRPr="00450873">
              <w:rPr>
                <w:sz w:val="20"/>
                <w:szCs w:val="20"/>
              </w:rPr>
              <w:t>rat</w:t>
            </w:r>
          </w:p>
        </w:tc>
        <w:tc>
          <w:tcPr>
            <w:tcW w:w="4080" w:type="dxa"/>
            <w:vAlign w:val="center"/>
          </w:tcPr>
          <w:p w:rsidR="001D41E2" w:rsidRPr="004B7EF4" w:rsidRDefault="001D41E2" w:rsidP="00142E86">
            <w:pPr>
              <w:pStyle w:val="Tabletext"/>
              <w:jc w:val="center"/>
            </w:pPr>
            <w:r w:rsidRPr="004B7EF4">
              <w:t>LD</w:t>
            </w:r>
            <w:r w:rsidRPr="004B7EF4">
              <w:rPr>
                <w:vertAlign w:val="subscript"/>
              </w:rPr>
              <w:t>50</w:t>
            </w:r>
            <w:r w:rsidRPr="004B7EF4">
              <w:t xml:space="preserve">  = </w:t>
            </w:r>
            <w:r>
              <w:t>1650</w:t>
            </w:r>
            <w:r w:rsidRPr="004B7EF4">
              <w:t xml:space="preserve"> mg/kg</w:t>
            </w:r>
            <w:r>
              <w:t xml:space="preserve"> bw</w:t>
            </w:r>
            <w:r w:rsidRPr="004B7EF4">
              <w:t xml:space="preserve"> in olive oil</w:t>
            </w:r>
          </w:p>
        </w:tc>
        <w:tc>
          <w:tcPr>
            <w:tcW w:w="2400" w:type="dxa"/>
            <w:tcBorders>
              <w:right w:val="single" w:sz="12" w:space="0" w:color="auto"/>
            </w:tcBorders>
            <w:vAlign w:val="center"/>
          </w:tcPr>
          <w:p w:rsidR="001D41E2" w:rsidRPr="00B32D06" w:rsidRDefault="001D41E2" w:rsidP="00142E86">
            <w:pPr>
              <w:pStyle w:val="Tabletext"/>
              <w:jc w:val="center"/>
            </w:pPr>
            <w:r w:rsidRPr="004C2CEE">
              <w:t>BASF AG, 1980a</w:t>
            </w:r>
          </w:p>
        </w:tc>
      </w:tr>
      <w:tr w:rsidR="001D41E2" w:rsidRPr="00681851" w:rsidTr="00142E86">
        <w:trPr>
          <w:trHeight w:val="567"/>
        </w:trPr>
        <w:tc>
          <w:tcPr>
            <w:tcW w:w="1908" w:type="dxa"/>
            <w:tcBorders>
              <w:left w:val="single" w:sz="12" w:space="0" w:color="auto"/>
              <w:bottom w:val="single" w:sz="12" w:space="0" w:color="auto"/>
            </w:tcBorders>
            <w:vAlign w:val="center"/>
          </w:tcPr>
          <w:p w:rsidR="001D41E2" w:rsidRPr="004B7EF4" w:rsidRDefault="001D41E2" w:rsidP="00883CB9">
            <w:pPr>
              <w:pStyle w:val="Tabletext"/>
              <w:jc w:val="center"/>
            </w:pPr>
            <w:r>
              <w:t>EhCF</w:t>
            </w:r>
          </w:p>
        </w:tc>
        <w:tc>
          <w:tcPr>
            <w:tcW w:w="1320" w:type="dxa"/>
            <w:tcBorders>
              <w:bottom w:val="single" w:sz="12" w:space="0" w:color="auto"/>
            </w:tcBorders>
            <w:vAlign w:val="center"/>
          </w:tcPr>
          <w:p w:rsidR="001D41E2" w:rsidRPr="00450873" w:rsidRDefault="001D41E2" w:rsidP="00883CB9">
            <w:pPr>
              <w:jc w:val="center"/>
              <w:rPr>
                <w:sz w:val="20"/>
                <w:szCs w:val="20"/>
              </w:rPr>
            </w:pPr>
            <w:r w:rsidRPr="00450873">
              <w:rPr>
                <w:sz w:val="20"/>
                <w:szCs w:val="20"/>
              </w:rPr>
              <w:t>rat</w:t>
            </w:r>
          </w:p>
        </w:tc>
        <w:tc>
          <w:tcPr>
            <w:tcW w:w="4080" w:type="dxa"/>
            <w:tcBorders>
              <w:bottom w:val="single" w:sz="12" w:space="0" w:color="auto"/>
            </w:tcBorders>
            <w:vAlign w:val="center"/>
          </w:tcPr>
          <w:p w:rsidR="001D41E2" w:rsidRPr="004B7EF4" w:rsidRDefault="001D41E2" w:rsidP="00142E86">
            <w:pPr>
              <w:pStyle w:val="Tabletext"/>
              <w:jc w:val="center"/>
            </w:pPr>
            <w:r w:rsidRPr="004B7EF4">
              <w:t>LD</w:t>
            </w:r>
            <w:r w:rsidRPr="004B7EF4">
              <w:rPr>
                <w:vertAlign w:val="subscript"/>
              </w:rPr>
              <w:t>50</w:t>
            </w:r>
            <w:r w:rsidRPr="004B7EF4">
              <w:t xml:space="preserve">  = 5420 mg/kg</w:t>
            </w:r>
            <w:r>
              <w:t xml:space="preserve"> bw</w:t>
            </w:r>
            <w:r w:rsidRPr="004B7EF4">
              <w:t xml:space="preserve">  in olive oil</w:t>
            </w:r>
          </w:p>
        </w:tc>
        <w:tc>
          <w:tcPr>
            <w:tcW w:w="2400" w:type="dxa"/>
            <w:tcBorders>
              <w:bottom w:val="single" w:sz="12" w:space="0" w:color="auto"/>
              <w:right w:val="single" w:sz="12" w:space="0" w:color="auto"/>
            </w:tcBorders>
            <w:vAlign w:val="center"/>
          </w:tcPr>
          <w:p w:rsidR="001D41E2" w:rsidRPr="00614693" w:rsidRDefault="001D41E2" w:rsidP="00142E86">
            <w:pPr>
              <w:pStyle w:val="Tabletext"/>
              <w:jc w:val="center"/>
              <w:rPr>
                <w:lang w:val="de-DE"/>
              </w:rPr>
            </w:pPr>
            <w:r w:rsidRPr="00614693">
              <w:rPr>
                <w:lang w:val="de-DE"/>
              </w:rPr>
              <w:t>BASF AG, 1980b</w:t>
            </w:r>
          </w:p>
        </w:tc>
      </w:tr>
    </w:tbl>
    <w:p w:rsidR="001D41E2" w:rsidRPr="004B7EF4" w:rsidRDefault="001D41E2" w:rsidP="00142E86">
      <w:pPr>
        <w:spacing w:before="240"/>
        <w:jc w:val="both"/>
        <w:rPr>
          <w:rFonts w:ascii="Helvetica" w:hAnsi="Helvetica" w:cs="Helvetica"/>
          <w:sz w:val="20"/>
          <w:szCs w:val="20"/>
        </w:rPr>
      </w:pPr>
      <w:r w:rsidRPr="004B7EF4">
        <w:rPr>
          <w:b/>
          <w:bCs/>
          <w:i/>
          <w:iCs/>
        </w:rPr>
        <w:t>EhCF:</w:t>
      </w:r>
      <w:r w:rsidRPr="004B7EF4">
        <w:t xml:space="preserve"> In an OECD </w:t>
      </w:r>
      <w:r>
        <w:t>TG</w:t>
      </w:r>
      <w:r w:rsidRPr="004B7EF4">
        <w:t xml:space="preserve"> 401</w:t>
      </w:r>
      <w:r>
        <w:t xml:space="preserve"> study,</w:t>
      </w:r>
      <w:r w:rsidRPr="004B7EF4">
        <w:t xml:space="preserve"> Sprague-Dawley rats</w:t>
      </w:r>
      <w:r>
        <w:t xml:space="preserve"> (5/</w:t>
      </w:r>
      <w:r w:rsidRPr="004B7EF4">
        <w:t xml:space="preserve"> sex</w:t>
      </w:r>
      <w:r>
        <w:t>/</w:t>
      </w:r>
      <w:r w:rsidRPr="004B7EF4">
        <w:t>dose</w:t>
      </w:r>
      <w:r>
        <w:t>)</w:t>
      </w:r>
      <w:r w:rsidRPr="004B7EF4">
        <w:t xml:space="preserve"> were administered 215, 464, 1000, 2610, 4640, 5000, 6810, </w:t>
      </w:r>
      <w:r>
        <w:t xml:space="preserve">or </w:t>
      </w:r>
      <w:r w:rsidRPr="004B7EF4">
        <w:t>8250 mg/kg</w:t>
      </w:r>
      <w:r>
        <w:t xml:space="preserve"> </w:t>
      </w:r>
      <w:proofErr w:type="gramStart"/>
      <w:r>
        <w:t>bw</w:t>
      </w:r>
      <w:proofErr w:type="gramEnd"/>
      <w:r>
        <w:t xml:space="preserve"> EhCF by gavage (</w:t>
      </w:r>
      <w:r w:rsidR="005A7522">
        <w:t xml:space="preserve">vehicle: </w:t>
      </w:r>
      <w:r>
        <w:t xml:space="preserve"> olive oil)</w:t>
      </w:r>
      <w:r w:rsidRPr="004B7EF4">
        <w:t xml:space="preserve">. None of the rats exposed to </w:t>
      </w:r>
      <w:r>
        <w:t>doses</w:t>
      </w:r>
      <w:r w:rsidRPr="004B7EF4">
        <w:t xml:space="preserve"> up </w:t>
      </w:r>
      <w:r>
        <w:t xml:space="preserve">to </w:t>
      </w:r>
      <w:r w:rsidRPr="004B7EF4">
        <w:t>and including 2610 mg/kg</w:t>
      </w:r>
      <w:r>
        <w:t xml:space="preserve"> </w:t>
      </w:r>
      <w:proofErr w:type="gramStart"/>
      <w:r>
        <w:t>bw</w:t>
      </w:r>
      <w:proofErr w:type="gramEnd"/>
      <w:r w:rsidRPr="004B7EF4">
        <w:t xml:space="preserve"> died. </w:t>
      </w:r>
      <w:r>
        <w:t>Two</w:t>
      </w:r>
      <w:r w:rsidRPr="004B7EF4">
        <w:t xml:space="preserve"> </w:t>
      </w:r>
      <w:r>
        <w:t xml:space="preserve">of ten </w:t>
      </w:r>
      <w:r w:rsidRPr="004B7EF4">
        <w:t>animals and 3</w:t>
      </w:r>
      <w:r>
        <w:t>/10</w:t>
      </w:r>
      <w:r w:rsidRPr="004B7EF4">
        <w:t xml:space="preserve"> animals died after receiving a dose of 4640 and 5000 mg/kg</w:t>
      </w:r>
      <w:r>
        <w:t xml:space="preserve"> </w:t>
      </w:r>
      <w:proofErr w:type="gramStart"/>
      <w:r>
        <w:t>bw</w:t>
      </w:r>
      <w:proofErr w:type="gramEnd"/>
      <w:r w:rsidRPr="004B7EF4">
        <w:t>, respectively. Nearly all animals receiving a higher dosage died (9/10 at 6810 mg/kg</w:t>
      </w:r>
      <w:r>
        <w:t xml:space="preserve"> </w:t>
      </w:r>
      <w:proofErr w:type="gramStart"/>
      <w:r>
        <w:t>bw</w:t>
      </w:r>
      <w:proofErr w:type="gramEnd"/>
      <w:r>
        <w:t xml:space="preserve"> and</w:t>
      </w:r>
      <w:r w:rsidRPr="004B7EF4">
        <w:t xml:space="preserve"> 10/10 at 8250 mg/kg</w:t>
      </w:r>
      <w:r>
        <w:t xml:space="preserve"> bw</w:t>
      </w:r>
      <w:r w:rsidRPr="004B7EF4">
        <w:t xml:space="preserve">). Necropsy </w:t>
      </w:r>
      <w:r>
        <w:t xml:space="preserve">of deceased animals </w:t>
      </w:r>
      <w:r w:rsidRPr="004B7EF4">
        <w:t xml:space="preserve">revealed chemical burns in the stomach. The calculated </w:t>
      </w:r>
      <w:r>
        <w:t xml:space="preserve">oral </w:t>
      </w:r>
      <w:r w:rsidRPr="004B7EF4">
        <w:t>LD</w:t>
      </w:r>
      <w:r w:rsidRPr="004B7EF4">
        <w:rPr>
          <w:vertAlign w:val="subscript"/>
        </w:rPr>
        <w:t>50</w:t>
      </w:r>
      <w:r w:rsidRPr="004B7EF4">
        <w:t xml:space="preserve"> value </w:t>
      </w:r>
      <w:r>
        <w:t>wa</w:t>
      </w:r>
      <w:r w:rsidRPr="004B7EF4">
        <w:t xml:space="preserve">s 5420 mg/kg </w:t>
      </w:r>
      <w:proofErr w:type="gramStart"/>
      <w:r>
        <w:t>bw</w:t>
      </w:r>
      <w:proofErr w:type="gramEnd"/>
      <w:r>
        <w:t xml:space="preserve"> </w:t>
      </w:r>
      <w:r w:rsidRPr="004B7EF4">
        <w:t>(95%</w:t>
      </w:r>
      <w:r>
        <w:t xml:space="preserve"> CL =</w:t>
      </w:r>
      <w:r w:rsidRPr="004B7EF4">
        <w:t xml:space="preserve"> 4913-6050 mg/kg</w:t>
      </w:r>
      <w:r>
        <w:t xml:space="preserve"> bw</w:t>
      </w:r>
      <w:r w:rsidRPr="004B7EF4">
        <w:t>) (BASF</w:t>
      </w:r>
      <w:r>
        <w:t>,</w:t>
      </w:r>
      <w:r w:rsidRPr="004B7EF4">
        <w:t xml:space="preserve"> 1980b).</w:t>
      </w:r>
    </w:p>
    <w:p w:rsidR="001D41E2" w:rsidRPr="004B7EF4" w:rsidRDefault="001D41E2" w:rsidP="00142E86">
      <w:pPr>
        <w:pStyle w:val="Heading8"/>
        <w:spacing w:before="240"/>
        <w:rPr>
          <w:lang w:val="en-US"/>
        </w:rPr>
      </w:pPr>
      <w:r w:rsidRPr="004B7EF4">
        <w:rPr>
          <w:lang w:val="en-US"/>
        </w:rPr>
        <w:t>Studies in Humans</w:t>
      </w:r>
    </w:p>
    <w:p w:rsidR="001D41E2" w:rsidRPr="004B7EF4" w:rsidRDefault="001D41E2" w:rsidP="00F357B8">
      <w:pPr>
        <w:pStyle w:val="BodyText"/>
        <w:rPr>
          <w:lang w:val="en-US"/>
        </w:rPr>
      </w:pPr>
      <w:r w:rsidRPr="004B7EF4">
        <w:rPr>
          <w:lang w:val="en-US"/>
        </w:rPr>
        <w:t>No data available.</w:t>
      </w:r>
    </w:p>
    <w:p w:rsidR="001D41E2" w:rsidRPr="004B7EF4" w:rsidRDefault="001D41E2" w:rsidP="00F357B8">
      <w:pPr>
        <w:pStyle w:val="Heading8"/>
        <w:rPr>
          <w:lang w:val="en-US"/>
        </w:rPr>
      </w:pPr>
      <w:r w:rsidRPr="004B7EF4">
        <w:rPr>
          <w:lang w:val="en-US"/>
        </w:rPr>
        <w:t>Conclusion</w:t>
      </w:r>
    </w:p>
    <w:p w:rsidR="001D41E2" w:rsidRDefault="001D41E2" w:rsidP="00F357B8">
      <w:pPr>
        <w:pStyle w:val="NormalWeb"/>
        <w:spacing w:before="0" w:beforeAutospacing="0"/>
        <w:jc w:val="both"/>
        <w:rPr>
          <w:lang w:val="en-US"/>
        </w:rPr>
      </w:pPr>
      <w:r>
        <w:rPr>
          <w:lang w:val="en-US"/>
        </w:rPr>
        <w:t>The a</w:t>
      </w:r>
      <w:r w:rsidRPr="004B7EF4">
        <w:rPr>
          <w:lang w:val="en-US"/>
        </w:rPr>
        <w:t xml:space="preserve">cute toxic effects of </w:t>
      </w:r>
      <w:r>
        <w:rPr>
          <w:lang w:val="en-US"/>
        </w:rPr>
        <w:t>the chloroformates</w:t>
      </w:r>
      <w:r w:rsidRPr="004B7EF4">
        <w:rPr>
          <w:lang w:val="en-US"/>
        </w:rPr>
        <w:t xml:space="preserve"> are </w:t>
      </w:r>
      <w:r>
        <w:rPr>
          <w:lang w:val="en-US"/>
        </w:rPr>
        <w:t>primarily</w:t>
      </w:r>
      <w:r w:rsidRPr="004B7EF4">
        <w:rPr>
          <w:lang w:val="en-US"/>
        </w:rPr>
        <w:t xml:space="preserve"> local </w:t>
      </w:r>
      <w:r w:rsidR="004C4CFF">
        <w:rPr>
          <w:lang w:val="en-US"/>
        </w:rPr>
        <w:t>corrosive</w:t>
      </w:r>
      <w:r w:rsidRPr="004B7EF4">
        <w:rPr>
          <w:lang w:val="en-US"/>
        </w:rPr>
        <w:t>/irritating effects at the site of contact.</w:t>
      </w:r>
    </w:p>
    <w:p w:rsidR="001D41E2" w:rsidRPr="004B7EF4" w:rsidRDefault="001D41E2" w:rsidP="00F357B8">
      <w:pPr>
        <w:pStyle w:val="NormalWeb"/>
        <w:spacing w:before="0" w:beforeAutospacing="0"/>
        <w:jc w:val="both"/>
        <w:rPr>
          <w:lang w:val="en-US"/>
        </w:rPr>
      </w:pPr>
      <w:r>
        <w:rPr>
          <w:lang w:val="en-US"/>
        </w:rPr>
        <w:t>Acute inhalation s</w:t>
      </w:r>
      <w:r w:rsidRPr="004B7EF4">
        <w:rPr>
          <w:lang w:val="en-US"/>
        </w:rPr>
        <w:t xml:space="preserve">tudies </w:t>
      </w:r>
      <w:r>
        <w:rPr>
          <w:lang w:val="en-US"/>
        </w:rPr>
        <w:t>are available for</w:t>
      </w:r>
      <w:r w:rsidRPr="004B7EF4">
        <w:rPr>
          <w:lang w:val="en-US"/>
        </w:rPr>
        <w:t xml:space="preserve"> </w:t>
      </w:r>
      <w:r>
        <w:rPr>
          <w:lang w:val="en-US"/>
        </w:rPr>
        <w:t>the</w:t>
      </w:r>
      <w:r w:rsidRPr="004B7EF4">
        <w:rPr>
          <w:lang w:val="en-US"/>
        </w:rPr>
        <w:t xml:space="preserve"> chloroformates</w:t>
      </w:r>
      <w:r>
        <w:rPr>
          <w:lang w:val="en-US"/>
        </w:rPr>
        <w:t xml:space="preserve"> category</w:t>
      </w:r>
      <w:r w:rsidRPr="004B7EF4">
        <w:rPr>
          <w:lang w:val="en-US"/>
        </w:rPr>
        <w:t xml:space="preserve">.  </w:t>
      </w:r>
      <w:r>
        <w:rPr>
          <w:lang w:val="en-US"/>
        </w:rPr>
        <w:t>LC</w:t>
      </w:r>
      <w:r w:rsidRPr="004C2CEE">
        <w:rPr>
          <w:vertAlign w:val="subscript"/>
          <w:lang w:val="en-US"/>
        </w:rPr>
        <w:t>50</w:t>
      </w:r>
      <w:r>
        <w:rPr>
          <w:lang w:val="en-US"/>
        </w:rPr>
        <w:t>s</w:t>
      </w:r>
      <w:r w:rsidRPr="004B7EF4">
        <w:rPr>
          <w:lang w:val="en-US"/>
        </w:rPr>
        <w:t xml:space="preserve"> ra</w:t>
      </w:r>
      <w:r>
        <w:rPr>
          <w:lang w:val="en-US"/>
        </w:rPr>
        <w:t xml:space="preserve">nge from 0.46 (MeCF) to &gt; 2.5 (ObCF) mg/L after a </w:t>
      </w:r>
      <w:r w:rsidRPr="004B7EF4">
        <w:rPr>
          <w:lang w:val="en-US"/>
        </w:rPr>
        <w:t>1</w:t>
      </w:r>
      <w:r>
        <w:rPr>
          <w:lang w:val="en-US"/>
        </w:rPr>
        <w:t>-</w:t>
      </w:r>
      <w:r w:rsidRPr="004B7EF4">
        <w:rPr>
          <w:lang w:val="en-US"/>
        </w:rPr>
        <w:t>h</w:t>
      </w:r>
      <w:r>
        <w:rPr>
          <w:lang w:val="en-US"/>
        </w:rPr>
        <w:t>our</w:t>
      </w:r>
      <w:r w:rsidRPr="004B7EF4">
        <w:rPr>
          <w:lang w:val="en-US"/>
        </w:rPr>
        <w:t xml:space="preserve"> </w:t>
      </w:r>
      <w:r>
        <w:rPr>
          <w:lang w:val="en-US"/>
        </w:rPr>
        <w:t xml:space="preserve">exposure and from 0.06 (MeCF) to &lt; 2.33 (SbCF) mg/L after a 4-hour exposure. </w:t>
      </w:r>
      <w:r w:rsidRPr="004B7EF4">
        <w:rPr>
          <w:lang w:val="en-US"/>
        </w:rPr>
        <w:t xml:space="preserve"> Clinical findings include bloody </w:t>
      </w:r>
      <w:r>
        <w:rPr>
          <w:lang w:val="en-US"/>
        </w:rPr>
        <w:t>/</w:t>
      </w:r>
      <w:r w:rsidRPr="004B7EF4">
        <w:rPr>
          <w:lang w:val="en-US"/>
        </w:rPr>
        <w:t xml:space="preserve"> nasal discharge</w:t>
      </w:r>
      <w:r>
        <w:rPr>
          <w:lang w:val="en-US"/>
        </w:rPr>
        <w:t>, dyspnoea,</w:t>
      </w:r>
      <w:r w:rsidRPr="004B7EF4">
        <w:rPr>
          <w:lang w:val="en-US"/>
        </w:rPr>
        <w:t xml:space="preserve"> gasping</w:t>
      </w:r>
      <w:r>
        <w:rPr>
          <w:lang w:val="en-US"/>
        </w:rPr>
        <w:t>, and irregular respiration</w:t>
      </w:r>
      <w:r w:rsidRPr="004B7EF4">
        <w:rPr>
          <w:lang w:val="en-US"/>
        </w:rPr>
        <w:t>. Hyperemic</w:t>
      </w:r>
      <w:r>
        <w:rPr>
          <w:lang w:val="en-US"/>
        </w:rPr>
        <w:t xml:space="preserve">, </w:t>
      </w:r>
      <w:r w:rsidRPr="004B7EF4">
        <w:rPr>
          <w:lang w:val="en-US"/>
        </w:rPr>
        <w:t>edematous</w:t>
      </w:r>
      <w:r>
        <w:rPr>
          <w:lang w:val="en-US"/>
        </w:rPr>
        <w:t>, red/hemorrhagic</w:t>
      </w:r>
      <w:r w:rsidRPr="004B7EF4">
        <w:rPr>
          <w:lang w:val="en-US"/>
        </w:rPr>
        <w:t xml:space="preserve"> lungs were found at necropsy</w:t>
      </w:r>
      <w:r>
        <w:rPr>
          <w:lang w:val="en-US"/>
        </w:rPr>
        <w:t xml:space="preserve"> for multiple chloroformates</w:t>
      </w:r>
      <w:r w:rsidRPr="004B7EF4">
        <w:rPr>
          <w:lang w:val="en-US"/>
        </w:rPr>
        <w:t>.</w:t>
      </w:r>
      <w:r>
        <w:rPr>
          <w:lang w:val="en-US"/>
        </w:rPr>
        <w:t xml:space="preserve"> Lesser clinical symptoms included hydrothorax and emphysema.</w:t>
      </w:r>
      <w:r w:rsidRPr="004B7EF4">
        <w:rPr>
          <w:lang w:val="en-US"/>
        </w:rPr>
        <w:t xml:space="preserve"> </w:t>
      </w:r>
    </w:p>
    <w:p w:rsidR="001D41E2" w:rsidRPr="004B7EF4" w:rsidRDefault="001D41E2" w:rsidP="00F357B8">
      <w:pPr>
        <w:pStyle w:val="NormalWeb"/>
        <w:spacing w:before="0" w:beforeAutospacing="0"/>
        <w:jc w:val="both"/>
        <w:rPr>
          <w:lang w:val="en-US"/>
        </w:rPr>
      </w:pPr>
      <w:r>
        <w:rPr>
          <w:lang w:val="en-US"/>
        </w:rPr>
        <w:t xml:space="preserve">By the </w:t>
      </w:r>
      <w:r w:rsidRPr="004B7EF4">
        <w:rPr>
          <w:lang w:val="en-US"/>
        </w:rPr>
        <w:t>dermal route</w:t>
      </w:r>
      <w:r>
        <w:rPr>
          <w:lang w:val="en-US"/>
        </w:rPr>
        <w:t>, the LD</w:t>
      </w:r>
      <w:r w:rsidR="007D3E3E" w:rsidRPr="007D3E3E">
        <w:rPr>
          <w:vertAlign w:val="subscript"/>
          <w:lang w:val="en-US"/>
        </w:rPr>
        <w:t>50</w:t>
      </w:r>
      <w:r>
        <w:rPr>
          <w:lang w:val="en-US"/>
        </w:rPr>
        <w:t>s &gt;2000 mg/kg</w:t>
      </w:r>
      <w:r w:rsidRPr="004B7EF4">
        <w:rPr>
          <w:lang w:val="en-US"/>
        </w:rPr>
        <w:t xml:space="preserve">; however, </w:t>
      </w:r>
      <w:r>
        <w:rPr>
          <w:lang w:val="en-US"/>
        </w:rPr>
        <w:t>the chloroformates</w:t>
      </w:r>
      <w:r w:rsidRPr="004B7EF4">
        <w:rPr>
          <w:lang w:val="en-US"/>
        </w:rPr>
        <w:t xml:space="preserve"> are very irritating</w:t>
      </w:r>
      <w:r>
        <w:rPr>
          <w:lang w:val="en-US"/>
        </w:rPr>
        <w:t xml:space="preserve"> and corrosive to the skin</w:t>
      </w:r>
      <w:r w:rsidRPr="004B7EF4">
        <w:rPr>
          <w:lang w:val="en-US"/>
        </w:rPr>
        <w:t>.</w:t>
      </w:r>
      <w:r w:rsidR="004C4CFF">
        <w:rPr>
          <w:lang w:val="en-US"/>
        </w:rPr>
        <w:t xml:space="preserve">  T</w:t>
      </w:r>
      <w:r w:rsidRPr="004B7EF4">
        <w:rPr>
          <w:lang w:val="en-US"/>
        </w:rPr>
        <w:t>here w</w:t>
      </w:r>
      <w:r>
        <w:rPr>
          <w:lang w:val="en-US"/>
        </w:rPr>
        <w:t>ere</w:t>
      </w:r>
      <w:r w:rsidRPr="004B7EF4">
        <w:rPr>
          <w:lang w:val="en-US"/>
        </w:rPr>
        <w:t xml:space="preserve"> no other gross pathologic finding</w:t>
      </w:r>
      <w:r>
        <w:rPr>
          <w:lang w:val="en-US"/>
        </w:rPr>
        <w:t>s</w:t>
      </w:r>
      <w:r w:rsidRPr="004B7EF4">
        <w:rPr>
          <w:lang w:val="en-US"/>
        </w:rPr>
        <w:t xml:space="preserve">. </w:t>
      </w:r>
    </w:p>
    <w:p w:rsidR="001D41E2" w:rsidRPr="004B7EF4" w:rsidRDefault="001D41E2" w:rsidP="00F357B8">
      <w:pPr>
        <w:pStyle w:val="NormalWeb"/>
        <w:spacing w:before="0" w:beforeAutospacing="0"/>
        <w:jc w:val="both"/>
        <w:rPr>
          <w:lang w:val="en-US"/>
        </w:rPr>
      </w:pPr>
      <w:r>
        <w:rPr>
          <w:lang w:val="en-US"/>
        </w:rPr>
        <w:t>The acute oral toxicity for category members ranges</w:t>
      </w:r>
      <w:r w:rsidRPr="004B7EF4">
        <w:rPr>
          <w:lang w:val="en-US"/>
        </w:rPr>
        <w:t xml:space="preserve"> from </w:t>
      </w:r>
      <w:r>
        <w:rPr>
          <w:lang w:val="en-US"/>
        </w:rPr>
        <w:t>25 - 200</w:t>
      </w:r>
      <w:r w:rsidRPr="004B7EF4">
        <w:rPr>
          <w:lang w:val="en-US"/>
        </w:rPr>
        <w:t xml:space="preserve"> mg/kg </w:t>
      </w:r>
      <w:proofErr w:type="gramStart"/>
      <w:r w:rsidRPr="004B7EF4">
        <w:rPr>
          <w:lang w:val="en-US"/>
        </w:rPr>
        <w:t>bw</w:t>
      </w:r>
      <w:proofErr w:type="gramEnd"/>
      <w:r w:rsidRPr="004B7EF4">
        <w:rPr>
          <w:lang w:val="en-US"/>
        </w:rPr>
        <w:t xml:space="preserve"> (MeCF) up to </w:t>
      </w:r>
      <w:r w:rsidRPr="004B7EF4">
        <w:t>5420</w:t>
      </w:r>
      <w:r w:rsidRPr="004B7EF4">
        <w:rPr>
          <w:lang w:val="en-US"/>
        </w:rPr>
        <w:t xml:space="preserve"> mg/kg bw (EhCF). . </w:t>
      </w:r>
      <w:r>
        <w:rPr>
          <w:lang w:val="en-US"/>
        </w:rPr>
        <w:t>Clinical signs of toxicity included g</w:t>
      </w:r>
      <w:r w:rsidRPr="004B7EF4">
        <w:rPr>
          <w:lang w:val="en-US"/>
        </w:rPr>
        <w:t>astrointestinal irritation</w:t>
      </w:r>
      <w:r>
        <w:rPr>
          <w:lang w:val="en-US"/>
        </w:rPr>
        <w:t>, necrosis</w:t>
      </w:r>
      <w:r w:rsidRPr="004B7EF4">
        <w:rPr>
          <w:lang w:val="en-US"/>
        </w:rPr>
        <w:t xml:space="preserve"> and hemorrhage</w:t>
      </w:r>
      <w:r>
        <w:rPr>
          <w:lang w:val="en-US"/>
        </w:rPr>
        <w:t>.</w:t>
      </w:r>
    </w:p>
    <w:p w:rsidR="009D5214" w:rsidRDefault="001D41E2">
      <w:pPr>
        <w:pStyle w:val="Heading3"/>
        <w:numPr>
          <w:ilvl w:val="2"/>
          <w:numId w:val="28"/>
        </w:numPr>
        <w:tabs>
          <w:tab w:val="clear" w:pos="1077"/>
          <w:tab w:val="clear" w:pos="1440"/>
          <w:tab w:val="clear" w:pos="2160"/>
        </w:tabs>
        <w:ind w:left="839" w:hanging="839"/>
        <w:rPr>
          <w:lang w:val="en-US"/>
        </w:rPr>
      </w:pPr>
      <w:bookmarkStart w:id="66" w:name="_Toc264983265"/>
      <w:r w:rsidRPr="004B7EF4">
        <w:rPr>
          <w:lang w:val="en-US"/>
        </w:rPr>
        <w:t>Irritation</w:t>
      </w:r>
      <w:bookmarkEnd w:id="66"/>
    </w:p>
    <w:p w:rsidR="001D41E2" w:rsidRPr="004B7EF4" w:rsidRDefault="001D41E2" w:rsidP="009C4680">
      <w:pPr>
        <w:pStyle w:val="NormalWeb"/>
        <w:spacing w:before="0" w:beforeAutospacing="0"/>
        <w:jc w:val="both"/>
        <w:rPr>
          <w:lang w:val="en-US"/>
        </w:rPr>
      </w:pPr>
      <w:r>
        <w:rPr>
          <w:lang w:val="en-US"/>
        </w:rPr>
        <w:t>With the exception of EhCF being only tested for skin irritation, all category members</w:t>
      </w:r>
      <w:r w:rsidRPr="004B7EF4">
        <w:rPr>
          <w:lang w:val="en-US"/>
        </w:rPr>
        <w:t xml:space="preserve"> have been tested for </w:t>
      </w:r>
      <w:r>
        <w:rPr>
          <w:lang w:val="en-US"/>
        </w:rPr>
        <w:t xml:space="preserve">skin and eye </w:t>
      </w:r>
      <w:r w:rsidRPr="004B7EF4">
        <w:rPr>
          <w:lang w:val="en-US"/>
        </w:rPr>
        <w:t>irritation</w:t>
      </w:r>
      <w:r>
        <w:rPr>
          <w:lang w:val="en-US"/>
        </w:rPr>
        <w:t>.</w:t>
      </w:r>
      <w:r w:rsidRPr="004B7EF4">
        <w:rPr>
          <w:lang w:val="en-US"/>
        </w:rPr>
        <w:t xml:space="preserve"> </w:t>
      </w:r>
      <w:r>
        <w:rPr>
          <w:lang w:val="en-US"/>
        </w:rPr>
        <w:t>A summary of irritation data is shown in Tables 1</w:t>
      </w:r>
      <w:r w:rsidR="002F054D">
        <w:rPr>
          <w:lang w:val="en-US"/>
        </w:rPr>
        <w:t>5</w:t>
      </w:r>
      <w:r>
        <w:rPr>
          <w:lang w:val="en-US"/>
        </w:rPr>
        <w:t xml:space="preserve"> and 1</w:t>
      </w:r>
      <w:r w:rsidR="002F054D">
        <w:rPr>
          <w:lang w:val="en-US"/>
        </w:rPr>
        <w:t>6</w:t>
      </w:r>
      <w:r>
        <w:rPr>
          <w:lang w:val="en-US"/>
        </w:rPr>
        <w:t xml:space="preserve"> for skin and eye irritation, respectively.</w:t>
      </w:r>
    </w:p>
    <w:p w:rsidR="001D41E2" w:rsidRDefault="001D41E2" w:rsidP="009C4680">
      <w:pPr>
        <w:pStyle w:val="Heading8"/>
        <w:rPr>
          <w:lang w:val="en-US"/>
        </w:rPr>
      </w:pPr>
      <w:r w:rsidRPr="004B7EF4">
        <w:rPr>
          <w:lang w:val="en-US"/>
        </w:rPr>
        <w:t>Skin Irritation</w:t>
      </w:r>
    </w:p>
    <w:p w:rsidR="001D41E2" w:rsidRPr="004B7EF4" w:rsidRDefault="001D41E2" w:rsidP="00142E86">
      <w:pPr>
        <w:pStyle w:val="Caption"/>
        <w:ind w:left="0"/>
      </w:pPr>
      <w:bookmarkStart w:id="67" w:name="_Toc264983291"/>
      <w:r w:rsidRPr="004B7EF4">
        <w:t xml:space="preserve">Table </w:t>
      </w:r>
      <w:r>
        <w:t>1</w:t>
      </w:r>
      <w:r w:rsidR="002F054D">
        <w:t>5</w:t>
      </w:r>
      <w:r w:rsidRPr="004B7EF4">
        <w:t xml:space="preserve"> </w:t>
      </w:r>
      <w:r w:rsidR="00142E86">
        <w:t xml:space="preserve">   </w:t>
      </w:r>
      <w:r>
        <w:t xml:space="preserve"> Summary of S</w:t>
      </w:r>
      <w:r w:rsidRPr="004B7EF4">
        <w:t xml:space="preserve">kin </w:t>
      </w:r>
      <w:r>
        <w:t>I</w:t>
      </w:r>
      <w:r w:rsidRPr="004B7EF4">
        <w:t>rritation</w:t>
      </w:r>
      <w:bookmarkEnd w:id="67"/>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7"/>
        <w:gridCol w:w="1340"/>
        <w:gridCol w:w="4385"/>
        <w:gridCol w:w="2193"/>
      </w:tblGrid>
      <w:tr w:rsidR="001D41E2" w:rsidRPr="004B7EF4" w:rsidTr="00142E86">
        <w:tc>
          <w:tcPr>
            <w:tcW w:w="1908" w:type="dxa"/>
            <w:tcBorders>
              <w:top w:val="single" w:sz="12" w:space="0" w:color="auto"/>
              <w:bottom w:val="single" w:sz="12" w:space="0" w:color="auto"/>
            </w:tcBorders>
            <w:vAlign w:val="center"/>
          </w:tcPr>
          <w:p w:rsidR="001D41E2" w:rsidRPr="004B7EF4" w:rsidRDefault="001D41E2" w:rsidP="00142E86">
            <w:pPr>
              <w:pStyle w:val="Tabletext"/>
              <w:jc w:val="center"/>
              <w:rPr>
                <w:b/>
                <w:bCs/>
              </w:rPr>
            </w:pPr>
            <w:r w:rsidRPr="004B7EF4">
              <w:rPr>
                <w:b/>
                <w:bCs/>
              </w:rPr>
              <w:t>Category member</w:t>
            </w:r>
          </w:p>
        </w:tc>
        <w:tc>
          <w:tcPr>
            <w:tcW w:w="1320" w:type="dxa"/>
            <w:tcBorders>
              <w:top w:val="single" w:sz="12" w:space="0" w:color="auto"/>
              <w:bottom w:val="single" w:sz="12" w:space="0" w:color="auto"/>
            </w:tcBorders>
            <w:vAlign w:val="center"/>
          </w:tcPr>
          <w:p w:rsidR="001D41E2" w:rsidRPr="004B7EF4" w:rsidRDefault="001D41E2" w:rsidP="00142E86">
            <w:pPr>
              <w:pStyle w:val="Tabletext"/>
              <w:jc w:val="center"/>
              <w:rPr>
                <w:b/>
                <w:bCs/>
              </w:rPr>
            </w:pPr>
            <w:r w:rsidRPr="004B7EF4">
              <w:rPr>
                <w:b/>
                <w:bCs/>
              </w:rPr>
              <w:t>Test species</w:t>
            </w:r>
          </w:p>
        </w:tc>
        <w:tc>
          <w:tcPr>
            <w:tcW w:w="4320" w:type="dxa"/>
            <w:tcBorders>
              <w:top w:val="single" w:sz="12" w:space="0" w:color="auto"/>
              <w:bottom w:val="single" w:sz="12" w:space="0" w:color="auto"/>
            </w:tcBorders>
            <w:vAlign w:val="center"/>
          </w:tcPr>
          <w:p w:rsidR="001D41E2" w:rsidRPr="004B7EF4" w:rsidRDefault="001D41E2" w:rsidP="00142E86">
            <w:pPr>
              <w:pStyle w:val="Tabletext"/>
              <w:jc w:val="center"/>
              <w:rPr>
                <w:b/>
                <w:bCs/>
              </w:rPr>
            </w:pPr>
            <w:r w:rsidRPr="004B7EF4">
              <w:rPr>
                <w:b/>
                <w:bCs/>
              </w:rPr>
              <w:t>Result</w:t>
            </w:r>
            <w:r>
              <w:rPr>
                <w:b/>
                <w:bCs/>
              </w:rPr>
              <w:t xml:space="preserve"> (occlusive or semi-occlusive; duration of exposure)</w:t>
            </w:r>
          </w:p>
        </w:tc>
        <w:tc>
          <w:tcPr>
            <w:tcW w:w="2160" w:type="dxa"/>
            <w:tcBorders>
              <w:top w:val="single" w:sz="12" w:space="0" w:color="auto"/>
              <w:bottom w:val="single" w:sz="12" w:space="0" w:color="auto"/>
            </w:tcBorders>
            <w:vAlign w:val="center"/>
          </w:tcPr>
          <w:p w:rsidR="001D41E2" w:rsidRPr="004B7EF4" w:rsidRDefault="001D41E2" w:rsidP="00142E86">
            <w:pPr>
              <w:pStyle w:val="Tabletext"/>
              <w:jc w:val="center"/>
              <w:rPr>
                <w:b/>
                <w:bCs/>
              </w:rPr>
            </w:pPr>
            <w:r w:rsidRPr="004B7EF4">
              <w:rPr>
                <w:b/>
                <w:bCs/>
              </w:rPr>
              <w:t>Reference</w:t>
            </w:r>
          </w:p>
        </w:tc>
      </w:tr>
      <w:tr w:rsidR="001D41E2" w:rsidRPr="004B7EF4" w:rsidTr="00142E86">
        <w:trPr>
          <w:trHeight w:val="397"/>
        </w:trPr>
        <w:tc>
          <w:tcPr>
            <w:tcW w:w="9708" w:type="dxa"/>
            <w:gridSpan w:val="4"/>
            <w:tcBorders>
              <w:top w:val="single" w:sz="12" w:space="0" w:color="auto"/>
            </w:tcBorders>
            <w:vAlign w:val="center"/>
          </w:tcPr>
          <w:p w:rsidR="001D41E2" w:rsidRPr="004B7EF4" w:rsidRDefault="001D41E2" w:rsidP="00142E86">
            <w:pPr>
              <w:pStyle w:val="Tabletext"/>
              <w:jc w:val="center"/>
            </w:pPr>
            <w:r w:rsidRPr="004B7EF4">
              <w:rPr>
                <w:b/>
                <w:bCs/>
              </w:rPr>
              <w:t>Skin Irritation</w:t>
            </w:r>
          </w:p>
        </w:tc>
      </w:tr>
      <w:tr w:rsidR="001D41E2" w:rsidRPr="004B7EF4" w:rsidTr="00142E86">
        <w:trPr>
          <w:trHeight w:val="567"/>
        </w:trPr>
        <w:tc>
          <w:tcPr>
            <w:tcW w:w="1908" w:type="dxa"/>
            <w:vAlign w:val="center"/>
          </w:tcPr>
          <w:p w:rsidR="001D41E2" w:rsidRPr="004B7EF4" w:rsidRDefault="001D41E2" w:rsidP="00142E86">
            <w:pPr>
              <w:pStyle w:val="Tabletext"/>
              <w:ind w:left="424"/>
            </w:pPr>
            <w:r>
              <w:t>MeCF</w:t>
            </w:r>
          </w:p>
        </w:tc>
        <w:tc>
          <w:tcPr>
            <w:tcW w:w="1320" w:type="dxa"/>
            <w:vAlign w:val="center"/>
          </w:tcPr>
          <w:p w:rsidR="001D41E2" w:rsidRPr="00F706A7" w:rsidRDefault="001D41E2" w:rsidP="009C4680">
            <w:pPr>
              <w:pStyle w:val="NormalWeb"/>
              <w:spacing w:before="120" w:after="120"/>
              <w:jc w:val="center"/>
              <w:rPr>
                <w:sz w:val="20"/>
                <w:szCs w:val="20"/>
                <w:lang w:val="en-US"/>
              </w:rPr>
            </w:pPr>
            <w:r w:rsidRPr="00F706A7">
              <w:rPr>
                <w:sz w:val="20"/>
                <w:szCs w:val="20"/>
                <w:lang w:val="en-US"/>
              </w:rPr>
              <w:t>rabbit</w:t>
            </w:r>
          </w:p>
        </w:tc>
        <w:tc>
          <w:tcPr>
            <w:tcW w:w="4320" w:type="dxa"/>
            <w:vAlign w:val="center"/>
          </w:tcPr>
          <w:p w:rsidR="001D41E2" w:rsidRPr="004B7EF4" w:rsidRDefault="001D41E2" w:rsidP="009C4680">
            <w:pPr>
              <w:pStyle w:val="Tabletext"/>
              <w:jc w:val="center"/>
            </w:pPr>
            <w:r w:rsidRPr="004B7EF4">
              <w:t>corrosive</w:t>
            </w:r>
            <w:r>
              <w:t xml:space="preserve"> (occlusive; 1, 5, 15 min or 20 hr)</w:t>
            </w:r>
          </w:p>
        </w:tc>
        <w:tc>
          <w:tcPr>
            <w:tcW w:w="2160" w:type="dxa"/>
            <w:vAlign w:val="center"/>
          </w:tcPr>
          <w:p w:rsidR="001D41E2" w:rsidRPr="004B7EF4" w:rsidRDefault="001D41E2" w:rsidP="00142E86">
            <w:pPr>
              <w:pStyle w:val="Tabletext"/>
              <w:ind w:left="274"/>
            </w:pPr>
          </w:p>
          <w:p w:rsidR="001D41E2" w:rsidRPr="004B7EF4" w:rsidRDefault="001D41E2" w:rsidP="00142E86">
            <w:pPr>
              <w:pStyle w:val="Tabletext"/>
              <w:ind w:left="274"/>
            </w:pPr>
            <w:r w:rsidRPr="004B7EF4">
              <w:t>BASF</w:t>
            </w:r>
            <w:r>
              <w:t xml:space="preserve"> AG</w:t>
            </w:r>
            <w:r w:rsidRPr="004B7EF4">
              <w:t>,1975</w:t>
            </w:r>
          </w:p>
        </w:tc>
      </w:tr>
      <w:tr w:rsidR="001D41E2" w:rsidRPr="004B7EF4" w:rsidTr="00142E86">
        <w:trPr>
          <w:trHeight w:val="567"/>
        </w:trPr>
        <w:tc>
          <w:tcPr>
            <w:tcW w:w="1908" w:type="dxa"/>
            <w:vAlign w:val="center"/>
          </w:tcPr>
          <w:p w:rsidR="001D41E2" w:rsidRPr="004B7EF4" w:rsidRDefault="001D41E2" w:rsidP="00142E86">
            <w:pPr>
              <w:pStyle w:val="Tabletext"/>
              <w:ind w:left="424"/>
            </w:pPr>
            <w:r>
              <w:t>EtCF</w:t>
            </w:r>
          </w:p>
        </w:tc>
        <w:tc>
          <w:tcPr>
            <w:tcW w:w="1320" w:type="dxa"/>
            <w:vAlign w:val="center"/>
          </w:tcPr>
          <w:p w:rsidR="001D41E2" w:rsidRPr="00F706A7" w:rsidRDefault="001D41E2" w:rsidP="009C4680">
            <w:pPr>
              <w:pStyle w:val="NormalWeb"/>
              <w:spacing w:before="120" w:after="120"/>
              <w:jc w:val="center"/>
              <w:rPr>
                <w:sz w:val="20"/>
                <w:szCs w:val="20"/>
                <w:lang w:val="en-US"/>
              </w:rPr>
            </w:pPr>
            <w:r w:rsidRPr="00F706A7">
              <w:rPr>
                <w:sz w:val="20"/>
                <w:szCs w:val="20"/>
                <w:lang w:val="en-US"/>
              </w:rPr>
              <w:t>rabbit</w:t>
            </w:r>
          </w:p>
        </w:tc>
        <w:tc>
          <w:tcPr>
            <w:tcW w:w="4320" w:type="dxa"/>
            <w:vAlign w:val="center"/>
          </w:tcPr>
          <w:p w:rsidR="001D41E2" w:rsidRPr="004B7EF4" w:rsidRDefault="001D41E2" w:rsidP="009C4680">
            <w:pPr>
              <w:pStyle w:val="Tabletext"/>
              <w:jc w:val="center"/>
            </w:pPr>
            <w:r>
              <w:t>c</w:t>
            </w:r>
            <w:r w:rsidRPr="004B7EF4">
              <w:t>orrosive</w:t>
            </w:r>
            <w:r>
              <w:t xml:space="preserve"> (semi-occlusive; 24 hr)</w:t>
            </w:r>
          </w:p>
          <w:p w:rsidR="001D41E2" w:rsidRPr="004B7EF4" w:rsidRDefault="001D41E2" w:rsidP="003F493F">
            <w:pPr>
              <w:pStyle w:val="Tabletext"/>
              <w:jc w:val="center"/>
            </w:pPr>
            <w:r w:rsidRPr="004B7EF4">
              <w:t>severely irritating</w:t>
            </w:r>
            <w:r>
              <w:t xml:space="preserve"> (semi-occlusive; </w:t>
            </w:r>
            <w:r w:rsidR="007D3E3E" w:rsidRPr="007D3E3E">
              <w:t>1 and 4 hr</w:t>
            </w:r>
            <w:r>
              <w:t>)</w:t>
            </w:r>
          </w:p>
        </w:tc>
        <w:tc>
          <w:tcPr>
            <w:tcW w:w="2160" w:type="dxa"/>
            <w:vAlign w:val="center"/>
          </w:tcPr>
          <w:p w:rsidR="001D41E2" w:rsidRPr="004B7EF4" w:rsidRDefault="001D41E2" w:rsidP="00142E86">
            <w:pPr>
              <w:pStyle w:val="Tabletext"/>
              <w:ind w:left="274"/>
            </w:pPr>
            <w:r w:rsidRPr="004B7EF4">
              <w:t>Griscom, 1972</w:t>
            </w:r>
          </w:p>
          <w:p w:rsidR="001D41E2" w:rsidRPr="004B7EF4" w:rsidRDefault="001D41E2" w:rsidP="00142E86">
            <w:pPr>
              <w:pStyle w:val="Tabletext"/>
              <w:ind w:left="274"/>
            </w:pPr>
            <w:r w:rsidRPr="004B7EF4">
              <w:t>BASF</w:t>
            </w:r>
            <w:r>
              <w:t xml:space="preserve"> AG</w:t>
            </w:r>
            <w:r w:rsidRPr="004B7EF4">
              <w:t>, 1982</w:t>
            </w:r>
          </w:p>
        </w:tc>
      </w:tr>
      <w:tr w:rsidR="001D41E2" w:rsidRPr="004B7EF4" w:rsidTr="00142E86">
        <w:trPr>
          <w:trHeight w:val="567"/>
        </w:trPr>
        <w:tc>
          <w:tcPr>
            <w:tcW w:w="1908" w:type="dxa"/>
            <w:vAlign w:val="center"/>
          </w:tcPr>
          <w:p w:rsidR="001D41E2" w:rsidRPr="004B7EF4" w:rsidRDefault="001D41E2" w:rsidP="00142E86">
            <w:pPr>
              <w:pStyle w:val="Tabletext"/>
              <w:ind w:left="424"/>
            </w:pPr>
            <w:r>
              <w:t>PrCF</w:t>
            </w:r>
          </w:p>
        </w:tc>
        <w:tc>
          <w:tcPr>
            <w:tcW w:w="1320" w:type="dxa"/>
            <w:vAlign w:val="center"/>
          </w:tcPr>
          <w:p w:rsidR="001D41E2" w:rsidRPr="00F706A7" w:rsidRDefault="001D41E2" w:rsidP="009C4680">
            <w:pPr>
              <w:jc w:val="center"/>
              <w:rPr>
                <w:sz w:val="20"/>
                <w:szCs w:val="20"/>
              </w:rPr>
            </w:pPr>
            <w:r w:rsidRPr="00F706A7">
              <w:rPr>
                <w:sz w:val="20"/>
                <w:szCs w:val="20"/>
              </w:rPr>
              <w:t>rabbit</w:t>
            </w:r>
          </w:p>
        </w:tc>
        <w:tc>
          <w:tcPr>
            <w:tcW w:w="4320" w:type="dxa"/>
            <w:vAlign w:val="center"/>
          </w:tcPr>
          <w:p w:rsidR="001D41E2" w:rsidRPr="004B7EF4" w:rsidRDefault="001D41E2" w:rsidP="00142E86">
            <w:pPr>
              <w:pStyle w:val="Tabletext"/>
              <w:jc w:val="center"/>
            </w:pPr>
            <w:r>
              <w:t>c</w:t>
            </w:r>
            <w:r w:rsidRPr="004B7EF4">
              <w:t>orrosive</w:t>
            </w:r>
            <w:r>
              <w:t xml:space="preserve"> (occlusive; 15 min or 20 hr) </w:t>
            </w:r>
          </w:p>
        </w:tc>
        <w:tc>
          <w:tcPr>
            <w:tcW w:w="2160" w:type="dxa"/>
            <w:vAlign w:val="center"/>
          </w:tcPr>
          <w:p w:rsidR="001D41E2" w:rsidRPr="004B7EF4" w:rsidRDefault="001D41E2" w:rsidP="00142E86">
            <w:pPr>
              <w:pStyle w:val="Tabletext"/>
              <w:ind w:left="274"/>
            </w:pPr>
            <w:r w:rsidRPr="004B7EF4">
              <w:t> BASF</w:t>
            </w:r>
            <w:r>
              <w:t xml:space="preserve"> AG</w:t>
            </w:r>
            <w:r w:rsidRPr="004B7EF4">
              <w:t>, 1970</w:t>
            </w:r>
            <w:r>
              <w:t>a</w:t>
            </w:r>
          </w:p>
          <w:p w:rsidR="001D41E2" w:rsidRPr="004B7EF4" w:rsidRDefault="001D41E2" w:rsidP="00142E86">
            <w:pPr>
              <w:pStyle w:val="Tabletext"/>
              <w:ind w:left="274"/>
            </w:pPr>
          </w:p>
        </w:tc>
      </w:tr>
      <w:tr w:rsidR="001D41E2" w:rsidRPr="004B7EF4" w:rsidTr="00142E86">
        <w:trPr>
          <w:trHeight w:val="567"/>
        </w:trPr>
        <w:tc>
          <w:tcPr>
            <w:tcW w:w="1908" w:type="dxa"/>
            <w:vAlign w:val="center"/>
          </w:tcPr>
          <w:p w:rsidR="001D41E2" w:rsidRPr="004B7EF4" w:rsidRDefault="001D41E2" w:rsidP="00142E86">
            <w:pPr>
              <w:pStyle w:val="Tabletext"/>
              <w:ind w:left="424"/>
            </w:pPr>
            <w:r>
              <w:t>IpCF</w:t>
            </w:r>
          </w:p>
        </w:tc>
        <w:tc>
          <w:tcPr>
            <w:tcW w:w="1320" w:type="dxa"/>
            <w:vAlign w:val="center"/>
          </w:tcPr>
          <w:p w:rsidR="001D41E2" w:rsidRPr="00F706A7" w:rsidRDefault="001D41E2" w:rsidP="009C4680">
            <w:pPr>
              <w:jc w:val="center"/>
              <w:rPr>
                <w:snapToGrid w:val="0"/>
                <w:sz w:val="20"/>
                <w:szCs w:val="20"/>
                <w:lang w:eastAsia="da-DK"/>
              </w:rPr>
            </w:pPr>
            <w:r w:rsidRPr="00F706A7">
              <w:rPr>
                <w:snapToGrid w:val="0"/>
                <w:sz w:val="20"/>
                <w:szCs w:val="20"/>
                <w:lang w:eastAsia="da-DK"/>
              </w:rPr>
              <w:t>rabbit</w:t>
            </w:r>
          </w:p>
        </w:tc>
        <w:tc>
          <w:tcPr>
            <w:tcW w:w="4320" w:type="dxa"/>
            <w:vAlign w:val="center"/>
          </w:tcPr>
          <w:p w:rsidR="001D41E2" w:rsidRPr="004B7EF4" w:rsidRDefault="001D41E2" w:rsidP="009C4680">
            <w:pPr>
              <w:pStyle w:val="Tabletext"/>
              <w:jc w:val="center"/>
            </w:pPr>
            <w:r w:rsidRPr="004B7EF4">
              <w:t>moderately irritating</w:t>
            </w:r>
            <w:r>
              <w:t xml:space="preserve"> (semi-occlusive; 4 hr)</w:t>
            </w:r>
          </w:p>
        </w:tc>
        <w:tc>
          <w:tcPr>
            <w:tcW w:w="2160" w:type="dxa"/>
            <w:vAlign w:val="center"/>
          </w:tcPr>
          <w:p w:rsidR="001D41E2" w:rsidRPr="004B7EF4" w:rsidRDefault="001D41E2" w:rsidP="00142E86">
            <w:pPr>
              <w:pStyle w:val="Tabletext"/>
              <w:ind w:left="274"/>
            </w:pPr>
            <w:r w:rsidRPr="004B7EF4">
              <w:t>BASF</w:t>
            </w:r>
            <w:r>
              <w:t xml:space="preserve"> AG</w:t>
            </w:r>
            <w:r w:rsidRPr="004B7EF4">
              <w:t>, 1984b</w:t>
            </w:r>
          </w:p>
        </w:tc>
      </w:tr>
      <w:tr w:rsidR="001D41E2" w:rsidRPr="004B7EF4" w:rsidTr="00142E86">
        <w:trPr>
          <w:trHeight w:val="567"/>
        </w:trPr>
        <w:tc>
          <w:tcPr>
            <w:tcW w:w="1908" w:type="dxa"/>
            <w:vAlign w:val="center"/>
          </w:tcPr>
          <w:p w:rsidR="001D41E2" w:rsidRPr="004B7EF4" w:rsidRDefault="001D41E2" w:rsidP="00142E86">
            <w:pPr>
              <w:pStyle w:val="Tabletext"/>
              <w:ind w:left="424"/>
            </w:pPr>
            <w:r>
              <w:t>SbCF</w:t>
            </w:r>
          </w:p>
        </w:tc>
        <w:tc>
          <w:tcPr>
            <w:tcW w:w="1320" w:type="dxa"/>
            <w:vAlign w:val="center"/>
          </w:tcPr>
          <w:p w:rsidR="001D41E2" w:rsidRPr="00F706A7" w:rsidRDefault="001D41E2" w:rsidP="009C4680">
            <w:pPr>
              <w:jc w:val="center"/>
              <w:rPr>
                <w:sz w:val="20"/>
                <w:szCs w:val="20"/>
              </w:rPr>
            </w:pPr>
            <w:r w:rsidRPr="00F706A7">
              <w:rPr>
                <w:sz w:val="20"/>
                <w:szCs w:val="20"/>
              </w:rPr>
              <w:t>rabbit</w:t>
            </w:r>
          </w:p>
        </w:tc>
        <w:tc>
          <w:tcPr>
            <w:tcW w:w="4320" w:type="dxa"/>
            <w:vAlign w:val="center"/>
          </w:tcPr>
          <w:p w:rsidR="001D41E2" w:rsidRPr="004B7EF4" w:rsidRDefault="001D41E2" w:rsidP="009C4680">
            <w:pPr>
              <w:pStyle w:val="Tabletext"/>
              <w:jc w:val="center"/>
            </w:pPr>
            <w:r>
              <w:t>severely irritating (semi-occlusive; 4 hr)</w:t>
            </w:r>
          </w:p>
        </w:tc>
        <w:tc>
          <w:tcPr>
            <w:tcW w:w="2160" w:type="dxa"/>
            <w:vAlign w:val="center"/>
          </w:tcPr>
          <w:p w:rsidR="001D41E2" w:rsidRPr="004B7EF4" w:rsidRDefault="001D41E2" w:rsidP="00142E86">
            <w:pPr>
              <w:pStyle w:val="Tabletext"/>
              <w:ind w:left="274"/>
            </w:pPr>
            <w:r w:rsidRPr="004B7EF4">
              <w:t>BASF</w:t>
            </w:r>
            <w:r>
              <w:t xml:space="preserve"> AG</w:t>
            </w:r>
            <w:r w:rsidRPr="004B7EF4">
              <w:t>, 1984f</w:t>
            </w:r>
          </w:p>
        </w:tc>
      </w:tr>
      <w:tr w:rsidR="001D41E2" w:rsidRPr="004B7EF4" w:rsidTr="00142E86">
        <w:trPr>
          <w:trHeight w:val="567"/>
        </w:trPr>
        <w:tc>
          <w:tcPr>
            <w:tcW w:w="1908" w:type="dxa"/>
            <w:vAlign w:val="center"/>
          </w:tcPr>
          <w:p w:rsidR="001D41E2" w:rsidRPr="004B7EF4" w:rsidRDefault="001D41E2" w:rsidP="00142E86">
            <w:pPr>
              <w:pStyle w:val="Tabletext"/>
              <w:ind w:left="424"/>
            </w:pPr>
            <w:r>
              <w:t>ObCF</w:t>
            </w:r>
          </w:p>
        </w:tc>
        <w:tc>
          <w:tcPr>
            <w:tcW w:w="1320" w:type="dxa"/>
            <w:vAlign w:val="center"/>
          </w:tcPr>
          <w:p w:rsidR="001D41E2" w:rsidRPr="00F706A7" w:rsidRDefault="001D41E2" w:rsidP="009C4680">
            <w:pPr>
              <w:jc w:val="center"/>
              <w:rPr>
                <w:sz w:val="20"/>
                <w:szCs w:val="20"/>
              </w:rPr>
            </w:pPr>
            <w:r w:rsidRPr="00F706A7">
              <w:rPr>
                <w:sz w:val="20"/>
                <w:szCs w:val="20"/>
              </w:rPr>
              <w:t>rabbit</w:t>
            </w:r>
          </w:p>
        </w:tc>
        <w:tc>
          <w:tcPr>
            <w:tcW w:w="4320" w:type="dxa"/>
            <w:vAlign w:val="center"/>
          </w:tcPr>
          <w:p w:rsidR="001D41E2" w:rsidRPr="004B7EF4" w:rsidRDefault="001D41E2" w:rsidP="009C4680">
            <w:pPr>
              <w:pStyle w:val="Tabletext"/>
              <w:jc w:val="center"/>
            </w:pPr>
            <w:r>
              <w:t>slightly</w:t>
            </w:r>
            <w:r w:rsidRPr="004B7EF4">
              <w:t xml:space="preserve"> irritating</w:t>
            </w:r>
            <w:r>
              <w:t xml:space="preserve"> (occlusive; 15 min or 20 hr)</w:t>
            </w:r>
          </w:p>
        </w:tc>
        <w:tc>
          <w:tcPr>
            <w:tcW w:w="2160" w:type="dxa"/>
            <w:vAlign w:val="center"/>
          </w:tcPr>
          <w:p w:rsidR="001D41E2" w:rsidRPr="004B7EF4" w:rsidRDefault="001D41E2" w:rsidP="00142E86">
            <w:pPr>
              <w:pStyle w:val="Tabletext"/>
              <w:ind w:left="274"/>
            </w:pPr>
            <w:r w:rsidRPr="004B7EF4">
              <w:t>BASF</w:t>
            </w:r>
            <w:r w:rsidR="005A7522">
              <w:t xml:space="preserve"> </w:t>
            </w:r>
            <w:r>
              <w:t>AG</w:t>
            </w:r>
            <w:r w:rsidRPr="004B7EF4">
              <w:t>,1968</w:t>
            </w:r>
            <w:r>
              <w:t>a</w:t>
            </w:r>
          </w:p>
        </w:tc>
      </w:tr>
      <w:tr w:rsidR="001D41E2" w:rsidRPr="00681851" w:rsidTr="00142E86">
        <w:trPr>
          <w:trHeight w:val="567"/>
        </w:trPr>
        <w:tc>
          <w:tcPr>
            <w:tcW w:w="1908" w:type="dxa"/>
            <w:vAlign w:val="center"/>
          </w:tcPr>
          <w:p w:rsidR="001D41E2" w:rsidRPr="004B7EF4" w:rsidRDefault="001D41E2" w:rsidP="00142E86">
            <w:pPr>
              <w:pStyle w:val="Tabletext"/>
              <w:ind w:left="424"/>
            </w:pPr>
            <w:r>
              <w:t>EhCF</w:t>
            </w:r>
          </w:p>
        </w:tc>
        <w:tc>
          <w:tcPr>
            <w:tcW w:w="1320" w:type="dxa"/>
            <w:vAlign w:val="center"/>
          </w:tcPr>
          <w:p w:rsidR="001D41E2" w:rsidRPr="00F706A7" w:rsidRDefault="001D41E2" w:rsidP="009C4680">
            <w:pPr>
              <w:jc w:val="center"/>
              <w:rPr>
                <w:sz w:val="20"/>
                <w:szCs w:val="20"/>
              </w:rPr>
            </w:pPr>
            <w:r w:rsidRPr="00F706A7">
              <w:rPr>
                <w:sz w:val="20"/>
                <w:szCs w:val="20"/>
              </w:rPr>
              <w:t>rabbit</w:t>
            </w:r>
          </w:p>
        </w:tc>
        <w:tc>
          <w:tcPr>
            <w:tcW w:w="4320" w:type="dxa"/>
            <w:vAlign w:val="center"/>
          </w:tcPr>
          <w:p w:rsidR="001D41E2" w:rsidRPr="004B7EF4" w:rsidRDefault="001D41E2" w:rsidP="00142E86">
            <w:pPr>
              <w:pStyle w:val="Tabletext"/>
              <w:jc w:val="center"/>
            </w:pPr>
            <w:r w:rsidRPr="004B7EF4">
              <w:t>moderately irritating</w:t>
            </w:r>
            <w:r>
              <w:t xml:space="preserve"> (occlusive; 15 min or 20 hr)</w:t>
            </w:r>
          </w:p>
        </w:tc>
        <w:tc>
          <w:tcPr>
            <w:tcW w:w="2160" w:type="dxa"/>
            <w:vAlign w:val="center"/>
          </w:tcPr>
          <w:p w:rsidR="001D41E2" w:rsidRPr="00614693" w:rsidRDefault="001D41E2" w:rsidP="00142E86">
            <w:pPr>
              <w:pStyle w:val="Tabletext"/>
              <w:ind w:left="274"/>
              <w:rPr>
                <w:lang w:val="de-DE"/>
              </w:rPr>
            </w:pPr>
            <w:r w:rsidRPr="00614693">
              <w:rPr>
                <w:lang w:val="de-DE"/>
              </w:rPr>
              <w:t>BASF AG, 1968b</w:t>
            </w:r>
          </w:p>
          <w:p w:rsidR="001D41E2" w:rsidRPr="00614693" w:rsidRDefault="001D41E2" w:rsidP="00142E86">
            <w:pPr>
              <w:pStyle w:val="Tabletext"/>
              <w:ind w:left="274"/>
              <w:rPr>
                <w:lang w:val="de-DE"/>
              </w:rPr>
            </w:pPr>
          </w:p>
        </w:tc>
      </w:tr>
    </w:tbl>
    <w:p w:rsidR="001D41E2" w:rsidRPr="00142E86" w:rsidRDefault="001D41E2" w:rsidP="00142E86">
      <w:pPr>
        <w:pStyle w:val="BodyText"/>
        <w:spacing w:before="240"/>
        <w:rPr>
          <w:i/>
          <w:lang w:val="en-US"/>
        </w:rPr>
      </w:pPr>
      <w:r w:rsidRPr="00142E86">
        <w:rPr>
          <w:i/>
          <w:lang w:val="en-US"/>
        </w:rPr>
        <w:t>Studies in Animals</w:t>
      </w:r>
    </w:p>
    <w:p w:rsidR="001D41E2" w:rsidRPr="004B7EF4" w:rsidRDefault="001D41E2" w:rsidP="009C4680">
      <w:pPr>
        <w:pStyle w:val="BodyText"/>
        <w:rPr>
          <w:b/>
          <w:bCs/>
          <w:i/>
          <w:iCs/>
          <w:lang w:val="en-US"/>
        </w:rPr>
      </w:pPr>
      <w:r w:rsidRPr="004B7EF4">
        <w:rPr>
          <w:b/>
          <w:bCs/>
          <w:i/>
          <w:iCs/>
          <w:lang w:val="en-US"/>
        </w:rPr>
        <w:t>Sponsored substances</w:t>
      </w:r>
    </w:p>
    <w:p w:rsidR="001D41E2" w:rsidRPr="004B7EF4" w:rsidRDefault="001D41E2" w:rsidP="009C4680">
      <w:pPr>
        <w:pStyle w:val="NormalWeb"/>
        <w:spacing w:before="0" w:beforeAutospacing="0"/>
        <w:jc w:val="both"/>
        <w:rPr>
          <w:lang w:val="en-US"/>
        </w:rPr>
      </w:pPr>
      <w:r w:rsidRPr="004B7EF4">
        <w:rPr>
          <w:b/>
          <w:bCs/>
          <w:i/>
          <w:iCs/>
          <w:lang w:val="en-US"/>
        </w:rPr>
        <w:t>MeCF</w:t>
      </w:r>
      <w:r w:rsidRPr="004B7EF4">
        <w:rPr>
          <w:b/>
          <w:bCs/>
          <w:lang w:val="en-US"/>
        </w:rPr>
        <w:t>:</w:t>
      </w:r>
      <w:r w:rsidRPr="004B7EF4">
        <w:rPr>
          <w:lang w:val="en-US"/>
        </w:rPr>
        <w:t xml:space="preserve"> </w:t>
      </w:r>
      <w:r>
        <w:rPr>
          <w:lang w:val="en-US"/>
        </w:rPr>
        <w:t xml:space="preserve">Undiluted </w:t>
      </w:r>
      <w:r w:rsidRPr="004B7EF4">
        <w:rPr>
          <w:lang w:val="en-US"/>
        </w:rPr>
        <w:t xml:space="preserve">MeCF </w:t>
      </w:r>
      <w:r>
        <w:rPr>
          <w:lang w:val="en-US"/>
        </w:rPr>
        <w:t xml:space="preserve">(0.5 mL) </w:t>
      </w:r>
      <w:r w:rsidRPr="004B7EF4">
        <w:rPr>
          <w:lang w:val="en-US"/>
        </w:rPr>
        <w:t xml:space="preserve">was applied onto the dorsal skin of </w:t>
      </w:r>
      <w:r>
        <w:rPr>
          <w:lang w:val="en-US"/>
        </w:rPr>
        <w:t>shaved</w:t>
      </w:r>
      <w:r w:rsidRPr="004B7EF4">
        <w:rPr>
          <w:lang w:val="en-US"/>
        </w:rPr>
        <w:t xml:space="preserve"> White Vienna rabbits. Animals were treated for 1, 5 and 15 minutes and </w:t>
      </w:r>
      <w:r>
        <w:rPr>
          <w:lang w:val="en-US"/>
        </w:rPr>
        <w:t>two</w:t>
      </w:r>
      <w:r w:rsidRPr="004B7EF4">
        <w:rPr>
          <w:lang w:val="en-US"/>
        </w:rPr>
        <w:t xml:space="preserve"> other animals for 20 hours using </w:t>
      </w:r>
      <w:r w:rsidRPr="00F66A29">
        <w:rPr>
          <w:lang w:val="en-US"/>
        </w:rPr>
        <w:t>occlusive</w:t>
      </w:r>
      <w:r w:rsidRPr="004B7EF4">
        <w:rPr>
          <w:lang w:val="en-US"/>
        </w:rPr>
        <w:t xml:space="preserve"> conditions. Full thickness necrosis was observed after 1, 5 and 1</w:t>
      </w:r>
      <w:r>
        <w:rPr>
          <w:lang w:val="en-US"/>
        </w:rPr>
        <w:t xml:space="preserve">5 minutes and 20 hours exposure; </w:t>
      </w:r>
      <w:r w:rsidRPr="004B7EF4">
        <w:rPr>
          <w:lang w:val="en-US"/>
        </w:rPr>
        <w:t xml:space="preserve">MeCF is corrosive to the skin.  The overall </w:t>
      </w:r>
      <w:r>
        <w:rPr>
          <w:lang w:val="en-US"/>
        </w:rPr>
        <w:t>PDII</w:t>
      </w:r>
      <w:r w:rsidRPr="004B7EF4">
        <w:rPr>
          <w:lang w:val="en-US"/>
        </w:rPr>
        <w:t xml:space="preserve"> score (intact skin) was 6/8.0 (15 minute and 20 h exposure</w:t>
      </w:r>
      <w:r>
        <w:rPr>
          <w:lang w:val="en-US"/>
        </w:rPr>
        <w:t>s used as approximation for 4 h</w:t>
      </w:r>
      <w:r w:rsidRPr="004B7EF4">
        <w:rPr>
          <w:lang w:val="en-US"/>
        </w:rPr>
        <w:t>) (BASF</w:t>
      </w:r>
      <w:r>
        <w:rPr>
          <w:lang w:val="en-US"/>
        </w:rPr>
        <w:t xml:space="preserve"> AG,</w:t>
      </w:r>
      <w:r w:rsidRPr="004B7EF4">
        <w:rPr>
          <w:lang w:val="en-US"/>
        </w:rPr>
        <w:t xml:space="preserve"> 1975).</w:t>
      </w:r>
    </w:p>
    <w:p w:rsidR="001D41E2" w:rsidRPr="004B7EF4" w:rsidRDefault="001D41E2" w:rsidP="009C4680">
      <w:pPr>
        <w:pStyle w:val="NormalWeb"/>
        <w:spacing w:before="0" w:beforeAutospacing="0"/>
        <w:jc w:val="both"/>
        <w:rPr>
          <w:lang w:val="en-US"/>
        </w:rPr>
      </w:pPr>
      <w:r w:rsidRPr="004B7EF4">
        <w:rPr>
          <w:b/>
          <w:bCs/>
          <w:i/>
          <w:iCs/>
          <w:lang w:val="en-US"/>
        </w:rPr>
        <w:t>EtCF:</w:t>
      </w:r>
      <w:r w:rsidRPr="004B7EF4">
        <w:rPr>
          <w:rFonts w:ascii="Helvetica" w:hAnsi="Helvetica" w:cs="Helvetica"/>
          <w:sz w:val="20"/>
          <w:szCs w:val="20"/>
          <w:lang w:val="en-US"/>
        </w:rPr>
        <w:t xml:space="preserve"> </w:t>
      </w:r>
      <w:r w:rsidRPr="004B7EF4">
        <w:rPr>
          <w:lang w:val="en-US"/>
        </w:rPr>
        <w:t>In a Draize Test</w:t>
      </w:r>
      <w:r>
        <w:rPr>
          <w:lang w:val="en-US"/>
        </w:rPr>
        <w:t xml:space="preserve"> consistent with OECD TG 404,</w:t>
      </w:r>
      <w:r w:rsidRPr="004B7EF4">
        <w:rPr>
          <w:lang w:val="en-US"/>
        </w:rPr>
        <w:t xml:space="preserve"> </w:t>
      </w:r>
      <w:r>
        <w:rPr>
          <w:lang w:val="en-US"/>
        </w:rPr>
        <w:t xml:space="preserve">0.5 mL neat </w:t>
      </w:r>
      <w:r w:rsidRPr="004B7EF4">
        <w:rPr>
          <w:lang w:val="en-US"/>
        </w:rPr>
        <w:t xml:space="preserve">EtCF was applied onto the shaved intact or abraded skin of </w:t>
      </w:r>
      <w:r>
        <w:rPr>
          <w:lang w:val="en-US"/>
        </w:rPr>
        <w:t>six</w:t>
      </w:r>
      <w:r w:rsidRPr="004B7EF4">
        <w:rPr>
          <w:lang w:val="en-US"/>
        </w:rPr>
        <w:t xml:space="preserve"> </w:t>
      </w:r>
      <w:r>
        <w:rPr>
          <w:lang w:val="en-US"/>
        </w:rPr>
        <w:t>New Zealand White</w:t>
      </w:r>
      <w:r w:rsidRPr="004B7EF4">
        <w:rPr>
          <w:lang w:val="en-US"/>
        </w:rPr>
        <w:t xml:space="preserve"> rabbits</w:t>
      </w:r>
      <w:r>
        <w:rPr>
          <w:lang w:val="en-US"/>
        </w:rPr>
        <w:t xml:space="preserve"> each</w:t>
      </w:r>
      <w:r w:rsidRPr="004B7EF4">
        <w:rPr>
          <w:lang w:val="en-US"/>
        </w:rPr>
        <w:t xml:space="preserve">.  The </w:t>
      </w:r>
      <w:r w:rsidRPr="00F66A29">
        <w:rPr>
          <w:lang w:val="en-US"/>
        </w:rPr>
        <w:t>semi-occlusive</w:t>
      </w:r>
      <w:r w:rsidRPr="004B7EF4">
        <w:rPr>
          <w:lang w:val="en-US"/>
        </w:rPr>
        <w:t xml:space="preserve"> dressings were removed after 24 hours.  Necrosis was obser</w:t>
      </w:r>
      <w:r>
        <w:rPr>
          <w:lang w:val="en-US"/>
        </w:rPr>
        <w:t>ved in all animals. Therefore, e</w:t>
      </w:r>
      <w:r w:rsidRPr="004B7EF4">
        <w:rPr>
          <w:lang w:val="en-US"/>
        </w:rPr>
        <w:t>rythema and edema was not evaluated in the study (Griscom</w:t>
      </w:r>
      <w:r>
        <w:rPr>
          <w:lang w:val="en-US"/>
        </w:rPr>
        <w:t>,</w:t>
      </w:r>
      <w:r w:rsidRPr="004B7EF4">
        <w:rPr>
          <w:lang w:val="en-US"/>
        </w:rPr>
        <w:t xml:space="preserve"> 1972).</w:t>
      </w:r>
    </w:p>
    <w:p w:rsidR="001D41E2" w:rsidRPr="004B7EF4" w:rsidRDefault="001D41E2" w:rsidP="009C4680">
      <w:pPr>
        <w:pStyle w:val="NormalWeb"/>
        <w:spacing w:before="0" w:beforeAutospacing="0"/>
        <w:jc w:val="both"/>
        <w:rPr>
          <w:lang w:val="en-US"/>
        </w:rPr>
      </w:pPr>
      <w:r w:rsidRPr="004B7EF4">
        <w:rPr>
          <w:lang w:val="en-US"/>
        </w:rPr>
        <w:t xml:space="preserve">In a guideline study (OECD </w:t>
      </w:r>
      <w:r>
        <w:rPr>
          <w:lang w:val="en-US"/>
        </w:rPr>
        <w:t>TG</w:t>
      </w:r>
      <w:r w:rsidRPr="004B7EF4">
        <w:rPr>
          <w:lang w:val="en-US"/>
        </w:rPr>
        <w:t xml:space="preserve"> 404), undiluted E</w:t>
      </w:r>
      <w:r>
        <w:rPr>
          <w:lang w:val="en-US"/>
        </w:rPr>
        <w:t>t</w:t>
      </w:r>
      <w:r w:rsidRPr="004B7EF4">
        <w:rPr>
          <w:lang w:val="en-US"/>
        </w:rPr>
        <w:t>C</w:t>
      </w:r>
      <w:r>
        <w:rPr>
          <w:lang w:val="en-US"/>
        </w:rPr>
        <w:t>F</w:t>
      </w:r>
      <w:r w:rsidRPr="004B7EF4">
        <w:rPr>
          <w:lang w:val="en-US"/>
        </w:rPr>
        <w:t xml:space="preserve"> (0.5 mL) was applied to the </w:t>
      </w:r>
      <w:r>
        <w:rPr>
          <w:lang w:val="en-US"/>
        </w:rPr>
        <w:t>shaved</w:t>
      </w:r>
      <w:r w:rsidRPr="004B7EF4">
        <w:rPr>
          <w:lang w:val="en-US"/>
        </w:rPr>
        <w:t xml:space="preserve"> intact skin of </w:t>
      </w:r>
      <w:r>
        <w:rPr>
          <w:lang w:val="en-US"/>
        </w:rPr>
        <w:t xml:space="preserve">six </w:t>
      </w:r>
      <w:r w:rsidRPr="004B7EF4">
        <w:rPr>
          <w:lang w:val="en-US"/>
        </w:rPr>
        <w:t xml:space="preserve">New Zealand White rabbits under </w:t>
      </w:r>
      <w:r w:rsidRPr="00F66A29">
        <w:rPr>
          <w:lang w:val="en-US"/>
        </w:rPr>
        <w:t>semi-occlusive</w:t>
      </w:r>
      <w:r w:rsidRPr="004B7EF4">
        <w:rPr>
          <w:lang w:val="en-US"/>
        </w:rPr>
        <w:t xml:space="preserve"> conditions for </w:t>
      </w:r>
      <w:r>
        <w:rPr>
          <w:lang w:val="en-US"/>
        </w:rPr>
        <w:t xml:space="preserve">1 and </w:t>
      </w:r>
      <w:r w:rsidRPr="004B7EF4">
        <w:rPr>
          <w:lang w:val="en-US"/>
        </w:rPr>
        <w:t>4 hours (BASF</w:t>
      </w:r>
      <w:r>
        <w:rPr>
          <w:lang w:val="en-US"/>
        </w:rPr>
        <w:t xml:space="preserve"> AG,</w:t>
      </w:r>
      <w:r w:rsidRPr="004B7EF4">
        <w:rPr>
          <w:lang w:val="en-US"/>
        </w:rPr>
        <w:t xml:space="preserve"> 198</w:t>
      </w:r>
      <w:r>
        <w:rPr>
          <w:lang w:val="en-US"/>
        </w:rPr>
        <w:t>2</w:t>
      </w:r>
      <w:r w:rsidRPr="004B7EF4">
        <w:rPr>
          <w:lang w:val="en-US"/>
        </w:rPr>
        <w:t xml:space="preserve">). The animals were scored for </w:t>
      </w:r>
      <w:r>
        <w:rPr>
          <w:lang w:val="en-US"/>
        </w:rPr>
        <w:t>erythema, edema and necrosis</w:t>
      </w:r>
      <w:r w:rsidRPr="004B7EF4">
        <w:rPr>
          <w:lang w:val="en-US"/>
        </w:rPr>
        <w:t xml:space="preserve"> at 1, 24, 48, and 72 hours and 7 days after removal of the patch. Animals were subjected to gross pathology at the end of the study. If there were signs of necrosis, the</w:t>
      </w:r>
      <w:r>
        <w:rPr>
          <w:lang w:val="en-US"/>
        </w:rPr>
        <w:t>se</w:t>
      </w:r>
      <w:r w:rsidRPr="004B7EF4">
        <w:rPr>
          <w:lang w:val="en-US"/>
        </w:rPr>
        <w:t xml:space="preserve"> were confirmed by gross pathological examination after incision of the skin. The maximum irritation </w:t>
      </w:r>
      <w:r>
        <w:rPr>
          <w:lang w:val="en-US"/>
        </w:rPr>
        <w:t xml:space="preserve">(erythema plus edema) </w:t>
      </w:r>
      <w:r w:rsidRPr="004B7EF4">
        <w:rPr>
          <w:lang w:val="en-US"/>
        </w:rPr>
        <w:t xml:space="preserve">score of 5.5/8.0 was obtained </w:t>
      </w:r>
      <w:r>
        <w:rPr>
          <w:lang w:val="en-US"/>
        </w:rPr>
        <w:t xml:space="preserve">for the 4 h exposure </w:t>
      </w:r>
      <w:r w:rsidRPr="004B7EF4">
        <w:rPr>
          <w:lang w:val="en-US"/>
        </w:rPr>
        <w:t xml:space="preserve">at the Day 7 observation </w:t>
      </w:r>
      <w:r>
        <w:rPr>
          <w:lang w:val="en-US"/>
        </w:rPr>
        <w:t>period</w:t>
      </w:r>
      <w:r w:rsidRPr="004B7EF4">
        <w:rPr>
          <w:lang w:val="en-US"/>
        </w:rPr>
        <w:t>. Erythema</w:t>
      </w:r>
      <w:r>
        <w:rPr>
          <w:lang w:val="en-US"/>
        </w:rPr>
        <w:t>,</w:t>
      </w:r>
      <w:r w:rsidRPr="004B7EF4">
        <w:rPr>
          <w:lang w:val="en-US"/>
        </w:rPr>
        <w:t xml:space="preserve"> edema</w:t>
      </w:r>
      <w:r>
        <w:rPr>
          <w:lang w:val="en-US"/>
        </w:rPr>
        <w:t>,</w:t>
      </w:r>
      <w:r w:rsidRPr="004B7EF4">
        <w:rPr>
          <w:lang w:val="en-US"/>
        </w:rPr>
        <w:t xml:space="preserve"> and superficial necrosis were present at the en</w:t>
      </w:r>
      <w:r>
        <w:rPr>
          <w:lang w:val="en-US"/>
        </w:rPr>
        <w:t>d of the observation period at D</w:t>
      </w:r>
      <w:r w:rsidRPr="004B7EF4">
        <w:rPr>
          <w:lang w:val="en-US"/>
        </w:rPr>
        <w:t xml:space="preserve">ay 7. The absence of full thickness necrosis was verified by a pathologist.  </w:t>
      </w:r>
      <w:r>
        <w:rPr>
          <w:lang w:val="en-US"/>
        </w:rPr>
        <w:t>EhCF</w:t>
      </w:r>
      <w:r w:rsidRPr="004B7EF4">
        <w:rPr>
          <w:lang w:val="en-US"/>
        </w:rPr>
        <w:t xml:space="preserve"> </w:t>
      </w:r>
      <w:r>
        <w:rPr>
          <w:lang w:val="en-US"/>
        </w:rPr>
        <w:t>was</w:t>
      </w:r>
      <w:r w:rsidRPr="004B7EF4">
        <w:rPr>
          <w:lang w:val="en-US"/>
        </w:rPr>
        <w:t xml:space="preserve"> extremely irritating but not corrosive in this study.</w:t>
      </w:r>
    </w:p>
    <w:p w:rsidR="001D41E2" w:rsidRPr="004B7EF4" w:rsidRDefault="001D41E2" w:rsidP="009C4680">
      <w:pPr>
        <w:pStyle w:val="NormalWeb"/>
        <w:spacing w:before="0" w:beforeAutospacing="0"/>
        <w:jc w:val="both"/>
        <w:rPr>
          <w:lang w:val="en-US"/>
        </w:rPr>
      </w:pPr>
      <w:r w:rsidRPr="004B7EF4">
        <w:rPr>
          <w:b/>
          <w:bCs/>
          <w:i/>
          <w:iCs/>
          <w:lang w:val="en-US"/>
        </w:rPr>
        <w:t>PrCF:</w:t>
      </w:r>
      <w:r w:rsidRPr="004B7EF4">
        <w:rPr>
          <w:lang w:val="en-US"/>
        </w:rPr>
        <w:t xml:space="preserve"> </w:t>
      </w:r>
      <w:r>
        <w:rPr>
          <w:lang w:val="en-US"/>
        </w:rPr>
        <w:t xml:space="preserve">Undiluted </w:t>
      </w:r>
      <w:r w:rsidRPr="004B7EF4">
        <w:rPr>
          <w:lang w:val="en-US"/>
        </w:rPr>
        <w:t xml:space="preserve">PrCF </w:t>
      </w:r>
      <w:r>
        <w:rPr>
          <w:lang w:val="en-US"/>
        </w:rPr>
        <w:t>(</w:t>
      </w:r>
      <w:r w:rsidRPr="004B7EF4">
        <w:rPr>
          <w:lang w:val="en-US"/>
        </w:rPr>
        <w:t>0.5 m</w:t>
      </w:r>
      <w:r>
        <w:rPr>
          <w:lang w:val="en-US"/>
        </w:rPr>
        <w:t>L)</w:t>
      </w:r>
      <w:r w:rsidRPr="004B7EF4">
        <w:rPr>
          <w:lang w:val="en-US"/>
        </w:rPr>
        <w:t xml:space="preserve"> was applied onto the dorsal skin of </w:t>
      </w:r>
      <w:r>
        <w:rPr>
          <w:lang w:val="en-US"/>
        </w:rPr>
        <w:t>two</w:t>
      </w:r>
      <w:r w:rsidRPr="004B7EF4">
        <w:rPr>
          <w:lang w:val="en-US"/>
        </w:rPr>
        <w:t xml:space="preserve"> clipped White Vienna rabbits. Animals were treated for 1, 5 and 15 minutes and 2 other animals for 20 hours using </w:t>
      </w:r>
      <w:r w:rsidRPr="00F66A29">
        <w:rPr>
          <w:lang w:val="en-US"/>
        </w:rPr>
        <w:t>occlusive</w:t>
      </w:r>
      <w:r w:rsidRPr="004B7EF4">
        <w:rPr>
          <w:lang w:val="en-US"/>
        </w:rPr>
        <w:t xml:space="preserve"> conditions. PrCF was corrosive to the skin. Persistent erythema (max. 4</w:t>
      </w:r>
      <w:r>
        <w:rPr>
          <w:lang w:val="en-US"/>
        </w:rPr>
        <w:t>/4</w:t>
      </w:r>
      <w:r w:rsidRPr="004B7EF4">
        <w:rPr>
          <w:lang w:val="en-US"/>
        </w:rPr>
        <w:t>), edema (max. 2</w:t>
      </w:r>
      <w:r>
        <w:rPr>
          <w:lang w:val="en-US"/>
        </w:rPr>
        <w:t>/4</w:t>
      </w:r>
      <w:r w:rsidRPr="004B7EF4">
        <w:rPr>
          <w:lang w:val="en-US"/>
        </w:rPr>
        <w:t>)</w:t>
      </w:r>
      <w:r>
        <w:rPr>
          <w:lang w:val="en-US"/>
        </w:rPr>
        <w:t>,</w:t>
      </w:r>
      <w:r w:rsidRPr="004B7EF4">
        <w:rPr>
          <w:lang w:val="en-US"/>
        </w:rPr>
        <w:t xml:space="preserve"> and necrosis was observed after 15 min and 20 h exposure. (BASF</w:t>
      </w:r>
      <w:r>
        <w:rPr>
          <w:lang w:val="en-US"/>
        </w:rPr>
        <w:t xml:space="preserve"> AG,</w:t>
      </w:r>
      <w:r w:rsidRPr="004B7EF4">
        <w:rPr>
          <w:lang w:val="en-US"/>
        </w:rPr>
        <w:t xml:space="preserve"> 1970</w:t>
      </w:r>
      <w:r>
        <w:rPr>
          <w:lang w:val="en-US"/>
        </w:rPr>
        <w:t>a</w:t>
      </w:r>
      <w:r w:rsidRPr="004B7EF4">
        <w:rPr>
          <w:lang w:val="en-US"/>
        </w:rPr>
        <w:t>).</w:t>
      </w:r>
    </w:p>
    <w:p w:rsidR="001D41E2" w:rsidRPr="004B7EF4" w:rsidRDefault="001D41E2" w:rsidP="009C4680">
      <w:pPr>
        <w:pStyle w:val="NormalWeb"/>
        <w:spacing w:before="0" w:beforeAutospacing="0"/>
        <w:jc w:val="both"/>
        <w:rPr>
          <w:lang w:val="en-US"/>
        </w:rPr>
      </w:pPr>
      <w:r w:rsidRPr="004B7EF4">
        <w:rPr>
          <w:b/>
          <w:bCs/>
          <w:i/>
          <w:iCs/>
          <w:lang w:val="en-US"/>
        </w:rPr>
        <w:t>IpCF:</w:t>
      </w:r>
      <w:r w:rsidRPr="004B7EF4">
        <w:rPr>
          <w:lang w:val="en-US"/>
        </w:rPr>
        <w:t xml:space="preserve"> </w:t>
      </w:r>
      <w:r>
        <w:rPr>
          <w:lang w:val="en-US"/>
        </w:rPr>
        <w:t xml:space="preserve">Undiluted </w:t>
      </w:r>
      <w:r w:rsidRPr="004B7EF4">
        <w:rPr>
          <w:lang w:val="en-US"/>
        </w:rPr>
        <w:t xml:space="preserve">IpCF </w:t>
      </w:r>
      <w:r>
        <w:rPr>
          <w:lang w:val="en-US"/>
        </w:rPr>
        <w:t xml:space="preserve">(0.5 mL) </w:t>
      </w:r>
      <w:r w:rsidRPr="004B7EF4">
        <w:rPr>
          <w:lang w:val="en-US"/>
        </w:rPr>
        <w:t xml:space="preserve">was applied to the </w:t>
      </w:r>
      <w:r>
        <w:rPr>
          <w:lang w:val="en-US"/>
        </w:rPr>
        <w:t xml:space="preserve">shaved </w:t>
      </w:r>
      <w:r w:rsidRPr="004B7EF4">
        <w:rPr>
          <w:lang w:val="en-US"/>
        </w:rPr>
        <w:t xml:space="preserve">intact skin of </w:t>
      </w:r>
      <w:r>
        <w:rPr>
          <w:lang w:val="en-US"/>
        </w:rPr>
        <w:t>three</w:t>
      </w:r>
      <w:r w:rsidRPr="004B7EF4">
        <w:rPr>
          <w:lang w:val="en-US"/>
        </w:rPr>
        <w:t xml:space="preserve"> Vienna </w:t>
      </w:r>
      <w:r>
        <w:rPr>
          <w:lang w:val="en-US"/>
        </w:rPr>
        <w:t>W</w:t>
      </w:r>
      <w:r w:rsidRPr="004B7EF4">
        <w:rPr>
          <w:lang w:val="en-US"/>
        </w:rPr>
        <w:t xml:space="preserve">hite rabbits and left in place under a </w:t>
      </w:r>
      <w:r w:rsidRPr="00F66A29">
        <w:rPr>
          <w:lang w:val="en-US"/>
        </w:rPr>
        <w:t>semi-occlusive</w:t>
      </w:r>
      <w:r w:rsidRPr="004B7EF4">
        <w:rPr>
          <w:lang w:val="en-US"/>
        </w:rPr>
        <w:t xml:space="preserve"> </w:t>
      </w:r>
      <w:r>
        <w:rPr>
          <w:lang w:val="en-US"/>
        </w:rPr>
        <w:t>dressing</w:t>
      </w:r>
      <w:r w:rsidRPr="004B7EF4">
        <w:rPr>
          <w:lang w:val="en-US"/>
        </w:rPr>
        <w:t xml:space="preserve"> for 4 hours. At the end of the exposure period</w:t>
      </w:r>
      <w:r>
        <w:rPr>
          <w:lang w:val="en-US"/>
        </w:rPr>
        <w:t>,</w:t>
      </w:r>
      <w:r w:rsidRPr="004B7EF4">
        <w:rPr>
          <w:lang w:val="en-US"/>
        </w:rPr>
        <w:t xml:space="preserve"> IpCF was removed and the skin was rinsed and dried. Skin reactions were examined and scored 30-60 minutes after patch removal, and 24 h, 48 h, 72 h and 8 days after application.  Erythema (mean individual scores 24-72 h: 2.67</w:t>
      </w:r>
      <w:r>
        <w:rPr>
          <w:lang w:val="en-US"/>
        </w:rPr>
        <w:t>/4</w:t>
      </w:r>
      <w:r w:rsidRPr="004B7EF4">
        <w:rPr>
          <w:lang w:val="en-US"/>
        </w:rPr>
        <w:t>; 2.67</w:t>
      </w:r>
      <w:r>
        <w:rPr>
          <w:lang w:val="en-US"/>
        </w:rPr>
        <w:t>/4</w:t>
      </w:r>
      <w:r w:rsidRPr="004B7EF4">
        <w:rPr>
          <w:lang w:val="en-US"/>
        </w:rPr>
        <w:t>; 3</w:t>
      </w:r>
      <w:r>
        <w:rPr>
          <w:lang w:val="en-US"/>
        </w:rPr>
        <w:t>/4</w:t>
      </w:r>
      <w:r w:rsidRPr="004B7EF4">
        <w:rPr>
          <w:lang w:val="en-US"/>
        </w:rPr>
        <w:t>) and edema (mean individual scores 24-72 h: 1</w:t>
      </w:r>
      <w:r>
        <w:rPr>
          <w:lang w:val="en-US"/>
        </w:rPr>
        <w:t>/4</w:t>
      </w:r>
      <w:r w:rsidRPr="004B7EF4">
        <w:rPr>
          <w:lang w:val="en-US"/>
        </w:rPr>
        <w:t>; 1.33</w:t>
      </w:r>
      <w:r>
        <w:rPr>
          <w:lang w:val="en-US"/>
        </w:rPr>
        <w:t>/4</w:t>
      </w:r>
      <w:r w:rsidRPr="004B7EF4">
        <w:rPr>
          <w:lang w:val="en-US"/>
        </w:rPr>
        <w:t>; 2</w:t>
      </w:r>
      <w:r>
        <w:rPr>
          <w:lang w:val="en-US"/>
        </w:rPr>
        <w:t>/4</w:t>
      </w:r>
      <w:r w:rsidRPr="004B7EF4">
        <w:rPr>
          <w:lang w:val="en-US"/>
        </w:rPr>
        <w:t xml:space="preserve">). No necrosis was observed. Effects were not fully reversible </w:t>
      </w:r>
      <w:r>
        <w:rPr>
          <w:lang w:val="en-US"/>
        </w:rPr>
        <w:t>at</w:t>
      </w:r>
      <w:r w:rsidRPr="004B7EF4">
        <w:rPr>
          <w:lang w:val="en-US"/>
        </w:rPr>
        <w:t xml:space="preserve"> termination of the study. The </w:t>
      </w:r>
      <w:r>
        <w:rPr>
          <w:lang w:val="en-US"/>
        </w:rPr>
        <w:t xml:space="preserve">estimated primary </w:t>
      </w:r>
      <w:r w:rsidRPr="004B7EF4">
        <w:rPr>
          <w:lang w:val="en-US"/>
        </w:rPr>
        <w:t xml:space="preserve">irritation score was </w:t>
      </w:r>
      <w:r>
        <w:rPr>
          <w:lang w:val="en-US"/>
        </w:rPr>
        <w:t>4.3</w:t>
      </w:r>
      <w:r w:rsidRPr="004B7EF4">
        <w:rPr>
          <w:lang w:val="en-US"/>
        </w:rPr>
        <w:t>/8, which was consistent with a rating of moderately irritating (BASF</w:t>
      </w:r>
      <w:r>
        <w:rPr>
          <w:lang w:val="en-US"/>
        </w:rPr>
        <w:t xml:space="preserve"> AG, </w:t>
      </w:r>
      <w:r w:rsidRPr="004B7EF4">
        <w:rPr>
          <w:lang w:val="en-US"/>
        </w:rPr>
        <w:t>1984b</w:t>
      </w:r>
      <w:r>
        <w:rPr>
          <w:lang w:val="en-US"/>
        </w:rPr>
        <w:t>)</w:t>
      </w:r>
      <w:r w:rsidRPr="004B7EF4">
        <w:rPr>
          <w:lang w:val="en-US"/>
        </w:rPr>
        <w:t xml:space="preserve">. </w:t>
      </w:r>
    </w:p>
    <w:p w:rsidR="001D41E2" w:rsidRDefault="001D41E2" w:rsidP="004D3CC0">
      <w:pPr>
        <w:pStyle w:val="NormalWeb"/>
        <w:spacing w:before="0" w:beforeAutospacing="0" w:after="0" w:afterAutospacing="0"/>
        <w:rPr>
          <w:b/>
          <w:bCs/>
          <w:i/>
          <w:iCs/>
          <w:lang w:val="en-US"/>
        </w:rPr>
      </w:pPr>
      <w:r w:rsidRPr="004B7EF4">
        <w:rPr>
          <w:b/>
          <w:bCs/>
          <w:i/>
          <w:iCs/>
          <w:lang w:val="en-US"/>
        </w:rPr>
        <w:t>SbCF:</w:t>
      </w:r>
      <w:r>
        <w:rPr>
          <w:lang w:val="en-US"/>
        </w:rPr>
        <w:t xml:space="preserve">  In a guideline study (OECD TG 404), three</w:t>
      </w:r>
      <w:r w:rsidRPr="004B7EF4">
        <w:rPr>
          <w:lang w:val="en-US"/>
        </w:rPr>
        <w:t xml:space="preserve"> Vienna </w:t>
      </w:r>
      <w:r>
        <w:rPr>
          <w:lang w:val="en-US"/>
        </w:rPr>
        <w:t>W</w:t>
      </w:r>
      <w:r w:rsidRPr="004B7EF4">
        <w:rPr>
          <w:lang w:val="en-US"/>
        </w:rPr>
        <w:t xml:space="preserve">hite rabbits were dermally treated with SbCF for 4 hours under </w:t>
      </w:r>
      <w:r w:rsidRPr="00F66A29">
        <w:rPr>
          <w:lang w:val="en-US"/>
        </w:rPr>
        <w:t>semi-occlusive</w:t>
      </w:r>
      <w:r w:rsidRPr="004B7EF4">
        <w:rPr>
          <w:lang w:val="en-US"/>
        </w:rPr>
        <w:t xml:space="preserve"> conditions</w:t>
      </w:r>
      <w:r>
        <w:rPr>
          <w:lang w:val="en-US"/>
        </w:rPr>
        <w:t xml:space="preserve"> </w:t>
      </w:r>
      <w:r w:rsidRPr="004B7EF4">
        <w:rPr>
          <w:lang w:val="en-US"/>
        </w:rPr>
        <w:t>(BASF</w:t>
      </w:r>
      <w:r>
        <w:rPr>
          <w:lang w:val="en-US"/>
        </w:rPr>
        <w:t xml:space="preserve"> AG,</w:t>
      </w:r>
      <w:r w:rsidRPr="004B7EF4">
        <w:rPr>
          <w:lang w:val="en-US"/>
        </w:rPr>
        <w:t xml:space="preserve"> 1984</w:t>
      </w:r>
      <w:r>
        <w:rPr>
          <w:lang w:val="en-US"/>
        </w:rPr>
        <w:t>f)</w:t>
      </w:r>
      <w:r w:rsidRPr="004B7EF4">
        <w:rPr>
          <w:lang w:val="en-US"/>
        </w:rPr>
        <w:t xml:space="preserve">. </w:t>
      </w:r>
      <w:r>
        <w:rPr>
          <w:lang w:val="en-US"/>
        </w:rPr>
        <w:t xml:space="preserve">A shaved </w:t>
      </w:r>
      <w:r w:rsidRPr="004B7EF4">
        <w:rPr>
          <w:lang w:val="en-US"/>
        </w:rPr>
        <w:t xml:space="preserve">application site of 2.5 X 2.5 cm was </w:t>
      </w:r>
      <w:r>
        <w:rPr>
          <w:lang w:val="en-US"/>
        </w:rPr>
        <w:t>dosed</w:t>
      </w:r>
      <w:r w:rsidRPr="004B7EF4">
        <w:rPr>
          <w:lang w:val="en-US"/>
        </w:rPr>
        <w:t xml:space="preserve"> with 0.5 m</w:t>
      </w:r>
      <w:r>
        <w:rPr>
          <w:lang w:val="en-US"/>
        </w:rPr>
        <w:t>L</w:t>
      </w:r>
      <w:r w:rsidRPr="004B7EF4">
        <w:rPr>
          <w:lang w:val="en-US"/>
        </w:rPr>
        <w:t xml:space="preserve"> of </w:t>
      </w:r>
      <w:r>
        <w:rPr>
          <w:lang w:val="en-US"/>
        </w:rPr>
        <w:t xml:space="preserve">undiluted </w:t>
      </w:r>
      <w:r w:rsidRPr="004B7EF4">
        <w:rPr>
          <w:lang w:val="en-US"/>
        </w:rPr>
        <w:t xml:space="preserve">SbCF. Skin reactions were examined and scored </w:t>
      </w:r>
      <w:r>
        <w:rPr>
          <w:lang w:val="en-US"/>
        </w:rPr>
        <w:t xml:space="preserve">at </w:t>
      </w:r>
      <w:r w:rsidRPr="004B7EF4">
        <w:rPr>
          <w:lang w:val="en-US"/>
        </w:rPr>
        <w:t>4h, 24 h, 48 h, 72 h and 8 days after application. SbCF induced severe erythema (mean score 24-72 h: 2.89</w:t>
      </w:r>
      <w:r>
        <w:rPr>
          <w:lang w:val="en-US"/>
        </w:rPr>
        <w:t>/3</w:t>
      </w:r>
      <w:r w:rsidRPr="004B7EF4">
        <w:rPr>
          <w:lang w:val="en-US"/>
        </w:rPr>
        <w:t>) and edema (mean score 24-72 h: 2.67</w:t>
      </w:r>
      <w:r>
        <w:rPr>
          <w:lang w:val="en-US"/>
        </w:rPr>
        <w:t>/4</w:t>
      </w:r>
      <w:r w:rsidRPr="004B7EF4">
        <w:rPr>
          <w:lang w:val="en-US"/>
        </w:rPr>
        <w:t xml:space="preserve">) which </w:t>
      </w:r>
      <w:r>
        <w:rPr>
          <w:lang w:val="en-US"/>
        </w:rPr>
        <w:t>were</w:t>
      </w:r>
      <w:r w:rsidRPr="004B7EF4">
        <w:rPr>
          <w:lang w:val="en-US"/>
        </w:rPr>
        <w:t xml:space="preserve"> persistent at least 8 days. The </w:t>
      </w:r>
      <w:r>
        <w:rPr>
          <w:lang w:val="en-US"/>
        </w:rPr>
        <w:t xml:space="preserve">estimated </w:t>
      </w:r>
      <w:r w:rsidRPr="004B7EF4">
        <w:rPr>
          <w:lang w:val="en-US"/>
        </w:rPr>
        <w:t>primary irritation score was 6/8, which was consistent with a rating of severely irritating.</w:t>
      </w:r>
      <w:r>
        <w:rPr>
          <w:lang w:val="en-US"/>
        </w:rPr>
        <w:t xml:space="preserve"> </w:t>
      </w:r>
    </w:p>
    <w:p w:rsidR="001D41E2" w:rsidRDefault="001D41E2" w:rsidP="009C4680">
      <w:pPr>
        <w:pStyle w:val="NormalWeb"/>
        <w:spacing w:before="0" w:beforeAutospacing="0"/>
        <w:jc w:val="both"/>
        <w:rPr>
          <w:lang w:val="en-US"/>
        </w:rPr>
      </w:pPr>
      <w:r w:rsidRPr="004B7EF4">
        <w:rPr>
          <w:b/>
          <w:bCs/>
          <w:i/>
          <w:iCs/>
          <w:lang w:val="en-US"/>
        </w:rPr>
        <w:t>ObCF:</w:t>
      </w:r>
      <w:r w:rsidRPr="004B7EF4">
        <w:rPr>
          <w:lang w:val="en-US"/>
        </w:rPr>
        <w:t xml:space="preserve"> </w:t>
      </w:r>
      <w:r>
        <w:rPr>
          <w:lang w:val="en-US"/>
        </w:rPr>
        <w:t xml:space="preserve">Undiluted </w:t>
      </w:r>
      <w:r w:rsidRPr="004B7EF4">
        <w:rPr>
          <w:lang w:val="en-US"/>
        </w:rPr>
        <w:t xml:space="preserve">ObCF </w:t>
      </w:r>
      <w:r>
        <w:rPr>
          <w:lang w:val="en-US"/>
        </w:rPr>
        <w:t xml:space="preserve">(0.5 mL) </w:t>
      </w:r>
      <w:r w:rsidRPr="004B7EF4">
        <w:rPr>
          <w:lang w:val="en-US"/>
        </w:rPr>
        <w:t xml:space="preserve">was applied onto the dorsal skin of </w:t>
      </w:r>
      <w:r>
        <w:rPr>
          <w:lang w:val="en-US"/>
        </w:rPr>
        <w:t>shaved</w:t>
      </w:r>
      <w:r w:rsidRPr="004B7EF4">
        <w:rPr>
          <w:lang w:val="en-US"/>
        </w:rPr>
        <w:t xml:space="preserve"> White Vienna rabbits. </w:t>
      </w:r>
      <w:r>
        <w:rPr>
          <w:lang w:val="en-US"/>
        </w:rPr>
        <w:t>Two a</w:t>
      </w:r>
      <w:r w:rsidRPr="004B7EF4">
        <w:rPr>
          <w:lang w:val="en-US"/>
        </w:rPr>
        <w:t xml:space="preserve">nimals were treated for 1, 5 and 15 minutes and 2 other animals for 20 hours using </w:t>
      </w:r>
      <w:r w:rsidRPr="00811D0D">
        <w:rPr>
          <w:lang w:val="en-US"/>
        </w:rPr>
        <w:t>occlusive</w:t>
      </w:r>
      <w:r w:rsidRPr="004B7EF4">
        <w:rPr>
          <w:lang w:val="en-US"/>
        </w:rPr>
        <w:t xml:space="preserve"> conditions. ObCF was irritating to the skin.  The overall primary irritation score (intact skin) was 2.</w:t>
      </w:r>
      <w:r>
        <w:rPr>
          <w:lang w:val="en-US"/>
        </w:rPr>
        <w:t>0</w:t>
      </w:r>
      <w:r w:rsidRPr="004B7EF4">
        <w:rPr>
          <w:lang w:val="en-US"/>
        </w:rPr>
        <w:t>/8.0 (</w:t>
      </w:r>
      <w:r>
        <w:rPr>
          <w:lang w:val="en-US"/>
        </w:rPr>
        <w:t xml:space="preserve">20 h exposure) which reflects </w:t>
      </w:r>
      <w:r w:rsidRPr="004B7EF4">
        <w:rPr>
          <w:lang w:val="en-US"/>
        </w:rPr>
        <w:t>slig</w:t>
      </w:r>
      <w:r>
        <w:rPr>
          <w:lang w:val="en-US"/>
        </w:rPr>
        <w:t>ht irritation. A 15-</w:t>
      </w:r>
      <w:r w:rsidRPr="004B7EF4">
        <w:rPr>
          <w:lang w:val="en-US"/>
        </w:rPr>
        <w:t>min</w:t>
      </w:r>
      <w:r>
        <w:rPr>
          <w:lang w:val="en-US"/>
        </w:rPr>
        <w:t xml:space="preserve"> exposure caused </w:t>
      </w:r>
      <w:r w:rsidRPr="004B7EF4">
        <w:rPr>
          <w:lang w:val="en-US"/>
        </w:rPr>
        <w:t>slight irritation (PDI 1.75/8.0) (BASF</w:t>
      </w:r>
      <w:r>
        <w:rPr>
          <w:lang w:val="en-US"/>
        </w:rPr>
        <w:t xml:space="preserve"> AG,</w:t>
      </w:r>
      <w:r w:rsidRPr="004B7EF4">
        <w:rPr>
          <w:lang w:val="en-US"/>
        </w:rPr>
        <w:t xml:space="preserve"> </w:t>
      </w:r>
      <w:r>
        <w:rPr>
          <w:lang w:val="en-US"/>
        </w:rPr>
        <w:t>1968a</w:t>
      </w:r>
      <w:r w:rsidRPr="004B7EF4">
        <w:rPr>
          <w:lang w:val="en-US"/>
        </w:rPr>
        <w:t>).</w:t>
      </w:r>
    </w:p>
    <w:p w:rsidR="001D41E2" w:rsidRPr="004B7EF4" w:rsidRDefault="001D41E2" w:rsidP="009C4680">
      <w:pPr>
        <w:pStyle w:val="NormalWeb"/>
        <w:spacing w:before="0" w:beforeAutospacing="0"/>
        <w:jc w:val="both"/>
        <w:rPr>
          <w:lang w:val="en-US"/>
        </w:rPr>
      </w:pPr>
      <w:r w:rsidRPr="004B7EF4">
        <w:rPr>
          <w:b/>
          <w:bCs/>
          <w:i/>
          <w:iCs/>
          <w:lang w:val="en-US"/>
        </w:rPr>
        <w:t>EhCF:</w:t>
      </w:r>
      <w:r w:rsidRPr="004B7EF4">
        <w:rPr>
          <w:lang w:val="en-US"/>
        </w:rPr>
        <w:t xml:space="preserve"> </w:t>
      </w:r>
      <w:r>
        <w:rPr>
          <w:lang w:val="en-US"/>
        </w:rPr>
        <w:t xml:space="preserve">Undiluted </w:t>
      </w:r>
      <w:r w:rsidRPr="004B7EF4">
        <w:rPr>
          <w:lang w:val="en-US"/>
        </w:rPr>
        <w:t xml:space="preserve">EhCF </w:t>
      </w:r>
      <w:r>
        <w:rPr>
          <w:lang w:val="en-US"/>
        </w:rPr>
        <w:t xml:space="preserve">(0.5 mL) </w:t>
      </w:r>
      <w:r w:rsidRPr="004B7EF4">
        <w:rPr>
          <w:lang w:val="en-US"/>
        </w:rPr>
        <w:t xml:space="preserve">was applied onto the skin of shaved White Vienna rabbits. </w:t>
      </w:r>
      <w:r>
        <w:rPr>
          <w:lang w:val="en-US"/>
        </w:rPr>
        <w:t>Two a</w:t>
      </w:r>
      <w:r w:rsidRPr="004B7EF4">
        <w:rPr>
          <w:lang w:val="en-US"/>
        </w:rPr>
        <w:t xml:space="preserve">nimals were treated for 1, 5 and 15 minutes and 2 other animals for 20 hours using </w:t>
      </w:r>
      <w:r w:rsidRPr="00811D0D">
        <w:rPr>
          <w:lang w:val="en-US"/>
        </w:rPr>
        <w:t>occlusive</w:t>
      </w:r>
      <w:r w:rsidRPr="004B7EF4">
        <w:rPr>
          <w:lang w:val="en-US"/>
        </w:rPr>
        <w:t xml:space="preserve"> conditions. Erythema (</w:t>
      </w:r>
      <w:r>
        <w:rPr>
          <w:lang w:val="en-US"/>
        </w:rPr>
        <w:t>24 h score 3/4) was observed following a 15-</w:t>
      </w:r>
      <w:r w:rsidRPr="004B7EF4">
        <w:rPr>
          <w:lang w:val="en-US"/>
        </w:rPr>
        <w:t>min occlusive exposure. Erythema (</w:t>
      </w:r>
      <w:r>
        <w:rPr>
          <w:lang w:val="en-US"/>
        </w:rPr>
        <w:t xml:space="preserve">up to score </w:t>
      </w:r>
      <w:r w:rsidRPr="004B7EF4">
        <w:rPr>
          <w:lang w:val="en-US"/>
        </w:rPr>
        <w:t>3) and edema (</w:t>
      </w:r>
      <w:r>
        <w:rPr>
          <w:lang w:val="en-US"/>
        </w:rPr>
        <w:t>up to score</w:t>
      </w:r>
      <w:r w:rsidRPr="004B7EF4">
        <w:rPr>
          <w:lang w:val="en-US"/>
        </w:rPr>
        <w:t xml:space="preserve"> 3) </w:t>
      </w:r>
      <w:r>
        <w:rPr>
          <w:lang w:val="en-US"/>
        </w:rPr>
        <w:t>were</w:t>
      </w:r>
      <w:r w:rsidRPr="004B7EF4">
        <w:rPr>
          <w:lang w:val="en-US"/>
        </w:rPr>
        <w:t xml:space="preserve"> observed after a 20 h exposure. </w:t>
      </w:r>
      <w:r>
        <w:rPr>
          <w:lang w:val="en-US"/>
        </w:rPr>
        <w:t>For 20 h exposure, e</w:t>
      </w:r>
      <w:r w:rsidRPr="004B7EF4">
        <w:rPr>
          <w:lang w:val="en-US"/>
        </w:rPr>
        <w:t>rythema (score 2) was still visible 8 days after treatment. The overall primary irritation score (intact skin) was 5.0/8.0 (20 h exposure) and 3/8.0 (15 min exposure), which was consistent with a rating of moderately irritating in both cases</w:t>
      </w:r>
      <w:r>
        <w:rPr>
          <w:lang w:val="en-US"/>
        </w:rPr>
        <w:t xml:space="preserve"> </w:t>
      </w:r>
      <w:r w:rsidRPr="004B7EF4">
        <w:rPr>
          <w:lang w:val="en-US"/>
        </w:rPr>
        <w:t>(BASF</w:t>
      </w:r>
      <w:r>
        <w:rPr>
          <w:lang w:val="en-US"/>
        </w:rPr>
        <w:t xml:space="preserve"> AG,</w:t>
      </w:r>
      <w:r w:rsidRPr="004B7EF4">
        <w:rPr>
          <w:lang w:val="en-US"/>
        </w:rPr>
        <w:t xml:space="preserve"> </w:t>
      </w:r>
      <w:r>
        <w:rPr>
          <w:lang w:val="en-US"/>
        </w:rPr>
        <w:t>1968b</w:t>
      </w:r>
      <w:r w:rsidRPr="004B7EF4">
        <w:rPr>
          <w:lang w:val="en-US"/>
        </w:rPr>
        <w:t>).</w:t>
      </w:r>
    </w:p>
    <w:p w:rsidR="001D41E2" w:rsidRDefault="001D41E2" w:rsidP="009C4680">
      <w:pPr>
        <w:pStyle w:val="Heading8"/>
        <w:rPr>
          <w:lang w:val="en-US"/>
        </w:rPr>
      </w:pPr>
      <w:r w:rsidRPr="004B7EF4">
        <w:rPr>
          <w:lang w:val="en-US"/>
        </w:rPr>
        <w:t>Eye Irritation</w:t>
      </w:r>
    </w:p>
    <w:p w:rsidR="001D41E2" w:rsidRPr="004B7EF4" w:rsidRDefault="001D41E2" w:rsidP="009C4680">
      <w:pPr>
        <w:pStyle w:val="Heading9"/>
        <w:rPr>
          <w:lang w:val="en-US"/>
        </w:rPr>
      </w:pPr>
      <w:r w:rsidRPr="004B7EF4">
        <w:rPr>
          <w:lang w:val="en-US"/>
        </w:rPr>
        <w:t>Studies in Animals</w:t>
      </w:r>
    </w:p>
    <w:p w:rsidR="001D41E2" w:rsidRPr="004B7EF4" w:rsidRDefault="001D41E2" w:rsidP="009C4680">
      <w:pPr>
        <w:pStyle w:val="BodyText"/>
        <w:rPr>
          <w:b/>
          <w:bCs/>
          <w:i/>
          <w:iCs/>
          <w:lang w:val="en-US"/>
        </w:rPr>
      </w:pPr>
      <w:r w:rsidRPr="004B7EF4">
        <w:rPr>
          <w:b/>
          <w:bCs/>
          <w:i/>
          <w:iCs/>
          <w:lang w:val="en-US"/>
        </w:rPr>
        <w:t>Sponsored substances</w:t>
      </w:r>
    </w:p>
    <w:p w:rsidR="001D41E2" w:rsidRPr="004B7EF4" w:rsidRDefault="001D41E2" w:rsidP="009C4680">
      <w:pPr>
        <w:pStyle w:val="BodyText"/>
        <w:rPr>
          <w:lang w:val="en-US"/>
        </w:rPr>
      </w:pPr>
      <w:r w:rsidRPr="004B7EF4">
        <w:rPr>
          <w:b/>
          <w:bCs/>
          <w:i/>
          <w:iCs/>
          <w:lang w:val="en-US"/>
        </w:rPr>
        <w:t xml:space="preserve">MeCF: </w:t>
      </w:r>
      <w:r w:rsidRPr="004B7EF4">
        <w:rPr>
          <w:lang w:val="en-US"/>
        </w:rPr>
        <w:t xml:space="preserve">Irreversible cornea damage, </w:t>
      </w:r>
      <w:r>
        <w:rPr>
          <w:lang w:val="en-US"/>
        </w:rPr>
        <w:t xml:space="preserve">corrosion, </w:t>
      </w:r>
      <w:r w:rsidRPr="004B7EF4">
        <w:rPr>
          <w:lang w:val="en-US"/>
        </w:rPr>
        <w:t>suppuration and staphyloma formation w</w:t>
      </w:r>
      <w:r>
        <w:rPr>
          <w:lang w:val="en-US"/>
        </w:rPr>
        <w:t>ere</w:t>
      </w:r>
      <w:r w:rsidRPr="004B7EF4">
        <w:rPr>
          <w:lang w:val="en-US"/>
        </w:rPr>
        <w:t xml:space="preserve"> observed after application of </w:t>
      </w:r>
      <w:r>
        <w:rPr>
          <w:lang w:val="en-US"/>
        </w:rPr>
        <w:t>0.05 ml</w:t>
      </w:r>
      <w:r w:rsidRPr="004B7EF4">
        <w:rPr>
          <w:lang w:val="en-US"/>
        </w:rPr>
        <w:t xml:space="preserve"> </w:t>
      </w:r>
      <w:r>
        <w:rPr>
          <w:lang w:val="en-US"/>
        </w:rPr>
        <w:t xml:space="preserve">neat </w:t>
      </w:r>
      <w:r w:rsidRPr="004B7EF4">
        <w:rPr>
          <w:lang w:val="en-US"/>
        </w:rPr>
        <w:t xml:space="preserve">MeCF into the conjunctival sac </w:t>
      </w:r>
      <w:r>
        <w:rPr>
          <w:lang w:val="en-US"/>
        </w:rPr>
        <w:t xml:space="preserve">into </w:t>
      </w:r>
      <w:r w:rsidRPr="004B7EF4">
        <w:rPr>
          <w:lang w:val="en-US"/>
        </w:rPr>
        <w:t xml:space="preserve">one eye of </w:t>
      </w:r>
      <w:r>
        <w:rPr>
          <w:lang w:val="en-US"/>
        </w:rPr>
        <w:t>two</w:t>
      </w:r>
      <w:r w:rsidRPr="004B7EF4">
        <w:rPr>
          <w:lang w:val="en-US"/>
        </w:rPr>
        <w:t xml:space="preserve"> White Vienna rabbits. </w:t>
      </w:r>
      <w:r>
        <w:rPr>
          <w:lang w:val="en-US"/>
        </w:rPr>
        <w:t>A</w:t>
      </w:r>
      <w:r w:rsidRPr="004B7EF4">
        <w:rPr>
          <w:lang w:val="en-US"/>
        </w:rPr>
        <w:t>fter 8 days</w:t>
      </w:r>
      <w:r>
        <w:rPr>
          <w:lang w:val="en-US"/>
        </w:rPr>
        <w:t>,</w:t>
      </w:r>
      <w:r w:rsidRPr="004B7EF4">
        <w:rPr>
          <w:lang w:val="en-US"/>
        </w:rPr>
        <w:t xml:space="preserve"> mean scores for corneal </w:t>
      </w:r>
      <w:r>
        <w:rPr>
          <w:lang w:val="en-US"/>
        </w:rPr>
        <w:t>opacity</w:t>
      </w:r>
      <w:r w:rsidRPr="004B7EF4">
        <w:rPr>
          <w:lang w:val="en-US"/>
        </w:rPr>
        <w:t>, iritis, erythe</w:t>
      </w:r>
      <w:r>
        <w:rPr>
          <w:lang w:val="en-US"/>
        </w:rPr>
        <w:t>ma and chemosis were 3.0/4,</w:t>
      </w:r>
      <w:r w:rsidRPr="004B7EF4">
        <w:rPr>
          <w:lang w:val="en-US"/>
        </w:rPr>
        <w:t xml:space="preserve"> 1.0</w:t>
      </w:r>
      <w:r>
        <w:rPr>
          <w:lang w:val="en-US"/>
        </w:rPr>
        <w:t>/2,</w:t>
      </w:r>
      <w:r w:rsidRPr="004B7EF4">
        <w:rPr>
          <w:lang w:val="en-US"/>
        </w:rPr>
        <w:t xml:space="preserve"> 2.0</w:t>
      </w:r>
      <w:r>
        <w:rPr>
          <w:lang w:val="en-US"/>
        </w:rPr>
        <w:t>/4,</w:t>
      </w:r>
      <w:r w:rsidRPr="004B7EF4">
        <w:rPr>
          <w:lang w:val="en-US"/>
        </w:rPr>
        <w:t xml:space="preserve"> and 3.0</w:t>
      </w:r>
      <w:r>
        <w:rPr>
          <w:lang w:val="en-US"/>
        </w:rPr>
        <w:t>/4</w:t>
      </w:r>
      <w:r w:rsidRPr="004B7EF4">
        <w:rPr>
          <w:lang w:val="en-US"/>
        </w:rPr>
        <w:t xml:space="preserve"> (BASF AG</w:t>
      </w:r>
      <w:r>
        <w:rPr>
          <w:lang w:val="en-US"/>
        </w:rPr>
        <w:t>,</w:t>
      </w:r>
      <w:r w:rsidRPr="004B7EF4">
        <w:rPr>
          <w:lang w:val="en-US"/>
        </w:rPr>
        <w:t xml:space="preserve"> 1975).</w:t>
      </w:r>
    </w:p>
    <w:p w:rsidR="001D41E2" w:rsidRPr="004B7EF4" w:rsidRDefault="001D41E2" w:rsidP="009C4680">
      <w:pPr>
        <w:pStyle w:val="BodyText"/>
        <w:rPr>
          <w:lang w:val="en-US"/>
        </w:rPr>
      </w:pPr>
      <w:r w:rsidRPr="004B7EF4">
        <w:rPr>
          <w:b/>
          <w:bCs/>
          <w:i/>
          <w:iCs/>
          <w:lang w:val="en-US"/>
        </w:rPr>
        <w:t>EtCF:</w:t>
      </w:r>
      <w:r w:rsidRPr="004B7EF4">
        <w:rPr>
          <w:lang w:val="en-US"/>
        </w:rPr>
        <w:t xml:space="preserve"> </w:t>
      </w:r>
      <w:r>
        <w:rPr>
          <w:lang w:val="en-US"/>
        </w:rPr>
        <w:t>Vienna White rabbits (4/study) were instilled with</w:t>
      </w:r>
      <w:r w:rsidRPr="004B7EF4">
        <w:rPr>
          <w:lang w:val="en-US"/>
        </w:rPr>
        <w:t xml:space="preserve"> 50µ</w:t>
      </w:r>
      <w:r>
        <w:rPr>
          <w:lang w:val="en-US"/>
        </w:rPr>
        <w:t>L</w:t>
      </w:r>
      <w:r w:rsidRPr="004B7EF4">
        <w:rPr>
          <w:lang w:val="en-US"/>
        </w:rPr>
        <w:t xml:space="preserve"> </w:t>
      </w:r>
      <w:r>
        <w:rPr>
          <w:lang w:val="en-US"/>
        </w:rPr>
        <w:t xml:space="preserve">undiluted </w:t>
      </w:r>
      <w:r w:rsidRPr="004B7EF4">
        <w:rPr>
          <w:lang w:val="en-US"/>
        </w:rPr>
        <w:t>EtCF into the conjunctival sac of one eye</w:t>
      </w:r>
      <w:r>
        <w:rPr>
          <w:lang w:val="en-US"/>
        </w:rPr>
        <w:t>.</w:t>
      </w:r>
      <w:r w:rsidRPr="004B7EF4">
        <w:rPr>
          <w:lang w:val="en-US"/>
        </w:rPr>
        <w:t xml:space="preserve"> Severe eye irritation and corneal opaci</w:t>
      </w:r>
      <w:r>
        <w:rPr>
          <w:lang w:val="en-US"/>
        </w:rPr>
        <w:t>fication</w:t>
      </w:r>
      <w:r w:rsidRPr="004B7EF4">
        <w:rPr>
          <w:lang w:val="en-US"/>
        </w:rPr>
        <w:t xml:space="preserve"> w</w:t>
      </w:r>
      <w:r>
        <w:rPr>
          <w:lang w:val="en-US"/>
        </w:rPr>
        <w:t>ere</w:t>
      </w:r>
      <w:r w:rsidRPr="004B7EF4">
        <w:rPr>
          <w:lang w:val="en-US"/>
        </w:rPr>
        <w:t xml:space="preserve"> seen 1 h after application and persisted until the end of the observation period </w:t>
      </w:r>
      <w:r>
        <w:rPr>
          <w:lang w:val="en-US"/>
        </w:rPr>
        <w:t>(day 8)</w:t>
      </w:r>
      <w:r w:rsidRPr="004B7EF4">
        <w:rPr>
          <w:lang w:val="en-US"/>
        </w:rPr>
        <w:t>.</w:t>
      </w:r>
      <w:r>
        <w:rPr>
          <w:lang w:val="en-US"/>
        </w:rPr>
        <w:t xml:space="preserve"> Effects observed included </w:t>
      </w:r>
      <w:r w:rsidRPr="004B7EF4">
        <w:rPr>
          <w:lang w:val="en-US"/>
        </w:rPr>
        <w:t>iritis</w:t>
      </w:r>
      <w:r>
        <w:rPr>
          <w:lang w:val="en-US"/>
        </w:rPr>
        <w:t>,</w:t>
      </w:r>
      <w:r w:rsidRPr="004B7EF4">
        <w:rPr>
          <w:lang w:val="en-US"/>
        </w:rPr>
        <w:t xml:space="preserve"> hemorrhage, suppuration and staphyloma formation</w:t>
      </w:r>
      <w:r>
        <w:rPr>
          <w:lang w:val="en-US"/>
        </w:rPr>
        <w:t>.</w:t>
      </w:r>
      <w:r w:rsidRPr="004B7EF4">
        <w:rPr>
          <w:lang w:val="en-US"/>
        </w:rPr>
        <w:t xml:space="preserve"> </w:t>
      </w:r>
      <w:r>
        <w:rPr>
          <w:lang w:val="en-US"/>
        </w:rPr>
        <w:t>A</w:t>
      </w:r>
      <w:r w:rsidRPr="004B7EF4">
        <w:rPr>
          <w:lang w:val="en-US"/>
        </w:rPr>
        <w:t>fter 8 days</w:t>
      </w:r>
      <w:r>
        <w:rPr>
          <w:lang w:val="en-US"/>
        </w:rPr>
        <w:t>,</w:t>
      </w:r>
      <w:r w:rsidRPr="004B7EF4">
        <w:rPr>
          <w:lang w:val="en-US"/>
        </w:rPr>
        <w:t xml:space="preserve"> mean scores for corneal </w:t>
      </w:r>
      <w:r>
        <w:rPr>
          <w:lang w:val="en-US"/>
        </w:rPr>
        <w:t>opacity</w:t>
      </w:r>
      <w:r w:rsidRPr="004B7EF4">
        <w:rPr>
          <w:lang w:val="en-US"/>
        </w:rPr>
        <w:t>, iritis, erythe</w:t>
      </w:r>
      <w:r>
        <w:rPr>
          <w:lang w:val="en-US"/>
        </w:rPr>
        <w:t xml:space="preserve">ma and </w:t>
      </w:r>
      <w:r w:rsidR="000D48FC">
        <w:rPr>
          <w:lang w:val="en-US"/>
        </w:rPr>
        <w:t>chemosis</w:t>
      </w:r>
      <w:r>
        <w:rPr>
          <w:lang w:val="en-US"/>
        </w:rPr>
        <w:t xml:space="preserve"> were 3.0/4,</w:t>
      </w:r>
      <w:r w:rsidRPr="004B7EF4">
        <w:rPr>
          <w:lang w:val="en-US"/>
        </w:rPr>
        <w:t xml:space="preserve"> </w:t>
      </w:r>
      <w:r>
        <w:rPr>
          <w:lang w:val="en-US"/>
        </w:rPr>
        <w:t>2</w:t>
      </w:r>
      <w:r w:rsidRPr="004B7EF4">
        <w:rPr>
          <w:lang w:val="en-US"/>
        </w:rPr>
        <w:t>.0</w:t>
      </w:r>
      <w:r>
        <w:rPr>
          <w:lang w:val="en-US"/>
        </w:rPr>
        <w:t>/2,</w:t>
      </w:r>
      <w:r w:rsidRPr="004B7EF4">
        <w:rPr>
          <w:lang w:val="en-US"/>
        </w:rPr>
        <w:t xml:space="preserve"> 2.0</w:t>
      </w:r>
      <w:r>
        <w:rPr>
          <w:lang w:val="en-US"/>
        </w:rPr>
        <w:t>/4,</w:t>
      </w:r>
      <w:r w:rsidRPr="004B7EF4">
        <w:rPr>
          <w:lang w:val="en-US"/>
        </w:rPr>
        <w:t xml:space="preserve"> and </w:t>
      </w:r>
      <w:r>
        <w:rPr>
          <w:lang w:val="en-US"/>
        </w:rPr>
        <w:t xml:space="preserve">1.0/4. </w:t>
      </w:r>
      <w:r w:rsidRPr="004B7EF4">
        <w:rPr>
          <w:lang w:val="en-US"/>
        </w:rPr>
        <w:t xml:space="preserve">The results indicate the risk of </w:t>
      </w:r>
      <w:r>
        <w:t>irreversible damage (Corrosive) to the eye</w:t>
      </w:r>
      <w:r w:rsidRPr="004B7EF4">
        <w:rPr>
          <w:lang w:val="en-US"/>
        </w:rPr>
        <w:t xml:space="preserve"> (BASF AG</w:t>
      </w:r>
      <w:r>
        <w:rPr>
          <w:lang w:val="en-US"/>
        </w:rPr>
        <w:t>,</w:t>
      </w:r>
      <w:r w:rsidRPr="004B7EF4">
        <w:rPr>
          <w:lang w:val="en-US"/>
        </w:rPr>
        <w:t xml:space="preserve"> 1970b).</w:t>
      </w:r>
    </w:p>
    <w:p w:rsidR="001D41E2" w:rsidRPr="004B7EF4" w:rsidRDefault="001D41E2" w:rsidP="009C4680">
      <w:pPr>
        <w:pStyle w:val="BodyText"/>
        <w:rPr>
          <w:lang w:val="en-US"/>
        </w:rPr>
      </w:pPr>
      <w:r w:rsidRPr="004B7EF4">
        <w:rPr>
          <w:b/>
          <w:bCs/>
          <w:i/>
          <w:iCs/>
          <w:lang w:val="en-US"/>
        </w:rPr>
        <w:t>PrCF:</w:t>
      </w:r>
      <w:r w:rsidRPr="004B7EF4">
        <w:rPr>
          <w:lang w:val="en-US"/>
        </w:rPr>
        <w:t xml:space="preserve"> Irreversible cornea damage and</w:t>
      </w:r>
      <w:r>
        <w:rPr>
          <w:lang w:val="en-US"/>
        </w:rPr>
        <w:t xml:space="preserve"> staphyloma formation were</w:t>
      </w:r>
      <w:r w:rsidRPr="004B7EF4">
        <w:rPr>
          <w:lang w:val="en-US"/>
        </w:rPr>
        <w:t xml:space="preserve"> observed after application of </w:t>
      </w:r>
      <w:r>
        <w:rPr>
          <w:lang w:val="en-US"/>
        </w:rPr>
        <w:t>0.05 mL</w:t>
      </w:r>
      <w:r w:rsidRPr="004B7EF4">
        <w:rPr>
          <w:lang w:val="en-US"/>
        </w:rPr>
        <w:t xml:space="preserve"> </w:t>
      </w:r>
      <w:r>
        <w:rPr>
          <w:lang w:val="en-US"/>
        </w:rPr>
        <w:t xml:space="preserve">neat </w:t>
      </w:r>
      <w:r w:rsidRPr="004B7EF4">
        <w:rPr>
          <w:lang w:val="en-US"/>
        </w:rPr>
        <w:t xml:space="preserve">PrCF into the conjunctival sac of one eye of 4 White Vienna rabbits. </w:t>
      </w:r>
      <w:r>
        <w:rPr>
          <w:lang w:val="en-US"/>
        </w:rPr>
        <w:t>M</w:t>
      </w:r>
      <w:r w:rsidRPr="004B7EF4">
        <w:rPr>
          <w:lang w:val="en-US"/>
        </w:rPr>
        <w:t xml:space="preserve">ean scores </w:t>
      </w:r>
      <w:r>
        <w:rPr>
          <w:lang w:val="en-US"/>
        </w:rPr>
        <w:t xml:space="preserve">(24-72 h) </w:t>
      </w:r>
      <w:r w:rsidRPr="004B7EF4">
        <w:rPr>
          <w:lang w:val="en-US"/>
        </w:rPr>
        <w:t>for corneal damage, iritis</w:t>
      </w:r>
      <w:r>
        <w:rPr>
          <w:lang w:val="en-US"/>
        </w:rPr>
        <w:t>,</w:t>
      </w:r>
      <w:r w:rsidRPr="004B7EF4">
        <w:rPr>
          <w:lang w:val="en-US"/>
        </w:rPr>
        <w:t xml:space="preserve"> erythema</w:t>
      </w:r>
      <w:r>
        <w:rPr>
          <w:lang w:val="en-US"/>
        </w:rPr>
        <w:t>,</w:t>
      </w:r>
      <w:r w:rsidRPr="004B7EF4">
        <w:rPr>
          <w:lang w:val="en-US"/>
        </w:rPr>
        <w:t xml:space="preserve"> and </w:t>
      </w:r>
      <w:r w:rsidR="000D48FC" w:rsidRPr="004B7EF4">
        <w:rPr>
          <w:lang w:val="en-US"/>
        </w:rPr>
        <w:t>chemosis</w:t>
      </w:r>
      <w:r w:rsidRPr="004B7EF4">
        <w:rPr>
          <w:lang w:val="en-US"/>
        </w:rPr>
        <w:t xml:space="preserve"> were 3.0</w:t>
      </w:r>
      <w:r>
        <w:rPr>
          <w:lang w:val="en-US"/>
        </w:rPr>
        <w:t>/4,</w:t>
      </w:r>
      <w:r w:rsidRPr="004B7EF4">
        <w:rPr>
          <w:lang w:val="en-US"/>
        </w:rPr>
        <w:t xml:space="preserve"> 2.0</w:t>
      </w:r>
      <w:r>
        <w:rPr>
          <w:lang w:val="en-US"/>
        </w:rPr>
        <w:t>/2,</w:t>
      </w:r>
      <w:r w:rsidRPr="004B7EF4">
        <w:rPr>
          <w:lang w:val="en-US"/>
        </w:rPr>
        <w:t xml:space="preserve"> 1</w:t>
      </w:r>
      <w:r>
        <w:rPr>
          <w:lang w:val="en-US"/>
        </w:rPr>
        <w:t>.</w:t>
      </w:r>
      <w:r w:rsidRPr="004B7EF4">
        <w:rPr>
          <w:lang w:val="en-US"/>
        </w:rPr>
        <w:t>8</w:t>
      </w:r>
      <w:r>
        <w:rPr>
          <w:lang w:val="en-US"/>
        </w:rPr>
        <w:t>/4,</w:t>
      </w:r>
      <w:r w:rsidRPr="004B7EF4">
        <w:rPr>
          <w:lang w:val="en-US"/>
        </w:rPr>
        <w:t xml:space="preserve"> and 2.0</w:t>
      </w:r>
      <w:r>
        <w:rPr>
          <w:lang w:val="en-US"/>
        </w:rPr>
        <w:t>/4</w:t>
      </w:r>
      <w:r w:rsidRPr="004B7EF4">
        <w:rPr>
          <w:lang w:val="en-US"/>
        </w:rPr>
        <w:t xml:space="preserve"> (BASF AG</w:t>
      </w:r>
      <w:r>
        <w:rPr>
          <w:lang w:val="en-US"/>
        </w:rPr>
        <w:t>,</w:t>
      </w:r>
      <w:r w:rsidRPr="004B7EF4">
        <w:rPr>
          <w:lang w:val="en-US"/>
        </w:rPr>
        <w:t xml:space="preserve"> 1970</w:t>
      </w:r>
      <w:r>
        <w:rPr>
          <w:lang w:val="en-US"/>
        </w:rPr>
        <w:t>a</w:t>
      </w:r>
      <w:r w:rsidRPr="004B7EF4">
        <w:rPr>
          <w:lang w:val="en-US"/>
        </w:rPr>
        <w:t>).</w:t>
      </w:r>
    </w:p>
    <w:p w:rsidR="001D41E2" w:rsidRPr="004B7EF4" w:rsidRDefault="001D41E2" w:rsidP="00142E86">
      <w:pPr>
        <w:pStyle w:val="Caption"/>
        <w:ind w:left="0"/>
      </w:pPr>
      <w:bookmarkStart w:id="68" w:name="_Toc264983292"/>
      <w:r w:rsidRPr="004B7EF4">
        <w:t xml:space="preserve">Table </w:t>
      </w:r>
      <w:r>
        <w:t>1</w:t>
      </w:r>
      <w:r w:rsidR="002F054D">
        <w:t>6</w:t>
      </w:r>
      <w:r>
        <w:t xml:space="preserve"> </w:t>
      </w:r>
      <w:r w:rsidR="00142E86">
        <w:t xml:space="preserve">    </w:t>
      </w:r>
      <w:r w:rsidRPr="004B7EF4">
        <w:t>Summary o</w:t>
      </w:r>
      <w:r>
        <w:t xml:space="preserve">f </w:t>
      </w:r>
      <w:r w:rsidR="002F054D">
        <w:t>E</w:t>
      </w:r>
      <w:r w:rsidRPr="004B7EF4">
        <w:t xml:space="preserve">ye </w:t>
      </w:r>
      <w:r w:rsidR="002F054D">
        <w:t>I</w:t>
      </w:r>
      <w:r w:rsidRPr="004B7EF4">
        <w:t>rritation</w:t>
      </w:r>
      <w:bookmarkEnd w:id="68"/>
      <w:r w:rsidR="002F054D">
        <w:t xml:space="preserve"> Data</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6"/>
        <w:gridCol w:w="1340"/>
        <w:gridCol w:w="3655"/>
        <w:gridCol w:w="2924"/>
      </w:tblGrid>
      <w:tr w:rsidR="001D41E2" w:rsidRPr="004B7EF4" w:rsidTr="00142E86">
        <w:trPr>
          <w:tblHeader/>
        </w:trPr>
        <w:tc>
          <w:tcPr>
            <w:tcW w:w="1908" w:type="dxa"/>
            <w:tcBorders>
              <w:top w:val="single" w:sz="12" w:space="0" w:color="auto"/>
              <w:left w:val="single" w:sz="12" w:space="0" w:color="auto"/>
              <w:bottom w:val="single" w:sz="12" w:space="0" w:color="auto"/>
            </w:tcBorders>
            <w:vAlign w:val="center"/>
          </w:tcPr>
          <w:p w:rsidR="001D41E2" w:rsidRPr="004B7EF4" w:rsidRDefault="001D41E2" w:rsidP="009C4680">
            <w:pPr>
              <w:pStyle w:val="Tabletext"/>
              <w:rPr>
                <w:b/>
                <w:bCs/>
              </w:rPr>
            </w:pPr>
            <w:r w:rsidRPr="004B7EF4">
              <w:rPr>
                <w:b/>
                <w:bCs/>
              </w:rPr>
              <w:t xml:space="preserve">Category member </w:t>
            </w:r>
          </w:p>
        </w:tc>
        <w:tc>
          <w:tcPr>
            <w:tcW w:w="1320"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Test species</w:t>
            </w:r>
          </w:p>
        </w:tc>
        <w:tc>
          <w:tcPr>
            <w:tcW w:w="3600"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Result</w:t>
            </w:r>
          </w:p>
        </w:tc>
        <w:tc>
          <w:tcPr>
            <w:tcW w:w="2880" w:type="dxa"/>
            <w:tcBorders>
              <w:top w:val="single" w:sz="12" w:space="0" w:color="auto"/>
              <w:bottom w:val="single" w:sz="12" w:space="0" w:color="auto"/>
              <w:right w:val="single" w:sz="12" w:space="0" w:color="auto"/>
            </w:tcBorders>
            <w:vAlign w:val="center"/>
          </w:tcPr>
          <w:p w:rsidR="001D41E2" w:rsidRPr="004B7EF4" w:rsidRDefault="001D41E2" w:rsidP="009C4680">
            <w:pPr>
              <w:pStyle w:val="Tabletext"/>
              <w:jc w:val="center"/>
              <w:rPr>
                <w:b/>
                <w:bCs/>
              </w:rPr>
            </w:pPr>
            <w:r w:rsidRPr="004B7EF4">
              <w:rPr>
                <w:b/>
                <w:bCs/>
              </w:rPr>
              <w:t>Reference</w:t>
            </w:r>
          </w:p>
        </w:tc>
      </w:tr>
      <w:tr w:rsidR="001D41E2" w:rsidRPr="004B7EF4" w:rsidTr="00142E86">
        <w:trPr>
          <w:trHeight w:val="397"/>
        </w:trPr>
        <w:tc>
          <w:tcPr>
            <w:tcW w:w="9708" w:type="dxa"/>
            <w:gridSpan w:val="4"/>
            <w:tcBorders>
              <w:top w:val="single" w:sz="12" w:space="0" w:color="auto"/>
              <w:left w:val="single" w:sz="12" w:space="0" w:color="auto"/>
              <w:right w:val="single" w:sz="12" w:space="0" w:color="auto"/>
            </w:tcBorders>
            <w:vAlign w:val="center"/>
          </w:tcPr>
          <w:p w:rsidR="001D41E2" w:rsidRPr="004B7EF4" w:rsidRDefault="001D41E2" w:rsidP="00142E86">
            <w:pPr>
              <w:pStyle w:val="Tabletext"/>
              <w:jc w:val="center"/>
            </w:pPr>
            <w:r w:rsidRPr="004B7EF4">
              <w:rPr>
                <w:b/>
                <w:bCs/>
              </w:rPr>
              <w:t>Eye Irritation</w:t>
            </w:r>
          </w:p>
        </w:tc>
      </w:tr>
      <w:tr w:rsidR="001D41E2" w:rsidRPr="004B7EF4" w:rsidTr="00142E86">
        <w:trPr>
          <w:trHeight w:val="567"/>
        </w:trPr>
        <w:tc>
          <w:tcPr>
            <w:tcW w:w="1908" w:type="dxa"/>
            <w:tcBorders>
              <w:left w:val="single" w:sz="12" w:space="0" w:color="auto"/>
              <w:bottom w:val="nil"/>
            </w:tcBorders>
            <w:vAlign w:val="center"/>
          </w:tcPr>
          <w:p w:rsidR="001D41E2" w:rsidRPr="004B7EF4" w:rsidRDefault="001D41E2" w:rsidP="00142E86">
            <w:pPr>
              <w:pStyle w:val="Tabletext"/>
              <w:ind w:left="565"/>
            </w:pPr>
            <w:r>
              <w:t>MeCF</w:t>
            </w:r>
          </w:p>
        </w:tc>
        <w:tc>
          <w:tcPr>
            <w:tcW w:w="1320" w:type="dxa"/>
            <w:tcBorders>
              <w:bottom w:val="nil"/>
            </w:tcBorders>
            <w:vAlign w:val="center"/>
          </w:tcPr>
          <w:p w:rsidR="001D41E2" w:rsidRPr="00F706A7" w:rsidRDefault="001D41E2" w:rsidP="009C4680">
            <w:pPr>
              <w:pStyle w:val="NormalWeb"/>
              <w:spacing w:before="120" w:after="120"/>
              <w:jc w:val="center"/>
              <w:rPr>
                <w:sz w:val="20"/>
                <w:szCs w:val="20"/>
                <w:lang w:val="en-US"/>
              </w:rPr>
            </w:pPr>
            <w:r w:rsidRPr="00F706A7">
              <w:rPr>
                <w:sz w:val="20"/>
                <w:szCs w:val="20"/>
                <w:lang w:val="en-US"/>
              </w:rPr>
              <w:t>rabbit</w:t>
            </w:r>
          </w:p>
        </w:tc>
        <w:tc>
          <w:tcPr>
            <w:tcW w:w="3600" w:type="dxa"/>
            <w:tcBorders>
              <w:bottom w:val="nil"/>
            </w:tcBorders>
            <w:vAlign w:val="center"/>
          </w:tcPr>
          <w:p w:rsidR="001D41E2" w:rsidRPr="004B7EF4" w:rsidRDefault="001D41E2" w:rsidP="009C4680">
            <w:pPr>
              <w:pStyle w:val="Tabletext"/>
              <w:jc w:val="center"/>
            </w:pPr>
            <w:r w:rsidRPr="004B7EF4">
              <w:t>irreversible damage (</w:t>
            </w:r>
            <w:r>
              <w:t>c</w:t>
            </w:r>
            <w:r w:rsidRPr="004B7EF4">
              <w:t>orrosive)</w:t>
            </w:r>
          </w:p>
          <w:p w:rsidR="001D41E2" w:rsidRPr="004B7EF4" w:rsidRDefault="001D41E2" w:rsidP="009C4680">
            <w:pPr>
              <w:pStyle w:val="Tabletext"/>
              <w:jc w:val="center"/>
            </w:pPr>
          </w:p>
        </w:tc>
        <w:tc>
          <w:tcPr>
            <w:tcW w:w="2880" w:type="dxa"/>
            <w:tcBorders>
              <w:bottom w:val="nil"/>
              <w:right w:val="single" w:sz="12" w:space="0" w:color="auto"/>
            </w:tcBorders>
            <w:vAlign w:val="center"/>
          </w:tcPr>
          <w:p w:rsidR="001D41E2" w:rsidRPr="004B7EF4" w:rsidRDefault="001D41E2" w:rsidP="00142E86">
            <w:pPr>
              <w:pStyle w:val="Tabletext"/>
              <w:ind w:left="438"/>
            </w:pPr>
            <w:r w:rsidRPr="004B7EF4">
              <w:t>BASF</w:t>
            </w:r>
            <w:r>
              <w:t xml:space="preserve"> AG</w:t>
            </w:r>
            <w:r w:rsidRPr="004B7EF4">
              <w:t>, 1975</w:t>
            </w:r>
          </w:p>
          <w:p w:rsidR="001D41E2" w:rsidRPr="004B7EF4" w:rsidRDefault="001D41E2" w:rsidP="00142E86">
            <w:pPr>
              <w:pStyle w:val="Tabletext"/>
              <w:ind w:left="438"/>
            </w:pPr>
          </w:p>
        </w:tc>
      </w:tr>
      <w:tr w:rsidR="001D41E2" w:rsidRPr="004B7EF4" w:rsidTr="00142E86">
        <w:trPr>
          <w:trHeight w:val="567"/>
        </w:trPr>
        <w:tc>
          <w:tcPr>
            <w:tcW w:w="1908" w:type="dxa"/>
            <w:tcBorders>
              <w:left w:val="single" w:sz="12" w:space="0" w:color="auto"/>
              <w:bottom w:val="nil"/>
            </w:tcBorders>
            <w:vAlign w:val="center"/>
          </w:tcPr>
          <w:p w:rsidR="001D41E2" w:rsidRPr="004B7EF4" w:rsidRDefault="001D41E2" w:rsidP="00142E86">
            <w:pPr>
              <w:pStyle w:val="Tabletext"/>
              <w:ind w:left="565"/>
            </w:pPr>
            <w:r>
              <w:t>EtCF</w:t>
            </w:r>
          </w:p>
        </w:tc>
        <w:tc>
          <w:tcPr>
            <w:tcW w:w="1320" w:type="dxa"/>
            <w:tcBorders>
              <w:bottom w:val="nil"/>
            </w:tcBorders>
            <w:vAlign w:val="center"/>
          </w:tcPr>
          <w:p w:rsidR="001D41E2" w:rsidRPr="00F706A7" w:rsidRDefault="001D41E2" w:rsidP="009C4680">
            <w:pPr>
              <w:pStyle w:val="NormalWeb"/>
              <w:spacing w:before="120" w:after="120"/>
              <w:jc w:val="center"/>
              <w:rPr>
                <w:sz w:val="20"/>
                <w:szCs w:val="20"/>
                <w:lang w:val="en-US"/>
              </w:rPr>
            </w:pPr>
            <w:r w:rsidRPr="00F706A7">
              <w:rPr>
                <w:sz w:val="20"/>
                <w:szCs w:val="20"/>
                <w:lang w:val="en-US"/>
              </w:rPr>
              <w:t>rabbit</w:t>
            </w:r>
          </w:p>
        </w:tc>
        <w:tc>
          <w:tcPr>
            <w:tcW w:w="3600" w:type="dxa"/>
            <w:tcBorders>
              <w:bottom w:val="nil"/>
            </w:tcBorders>
            <w:vAlign w:val="center"/>
          </w:tcPr>
          <w:p w:rsidR="001D41E2" w:rsidRPr="004B7EF4" w:rsidRDefault="001D41E2" w:rsidP="009C4680">
            <w:pPr>
              <w:pStyle w:val="NormalWeb"/>
              <w:spacing w:before="120" w:after="120"/>
              <w:jc w:val="center"/>
              <w:rPr>
                <w:snapToGrid w:val="0"/>
                <w:sz w:val="20"/>
                <w:szCs w:val="20"/>
                <w:lang w:val="en-US" w:eastAsia="da-DK"/>
              </w:rPr>
            </w:pPr>
            <w:r w:rsidRPr="004B7EF4">
              <w:rPr>
                <w:snapToGrid w:val="0"/>
                <w:sz w:val="20"/>
                <w:szCs w:val="20"/>
                <w:lang w:val="en-US" w:eastAsia="da-DK"/>
              </w:rPr>
              <w:t xml:space="preserve"> irreversible damage (</w:t>
            </w:r>
            <w:r>
              <w:rPr>
                <w:snapToGrid w:val="0"/>
                <w:sz w:val="20"/>
                <w:szCs w:val="20"/>
                <w:lang w:val="en-US" w:eastAsia="da-DK"/>
              </w:rPr>
              <w:t>c</w:t>
            </w:r>
            <w:r w:rsidRPr="004B7EF4">
              <w:rPr>
                <w:snapToGrid w:val="0"/>
                <w:sz w:val="20"/>
                <w:szCs w:val="20"/>
                <w:lang w:val="en-US" w:eastAsia="da-DK"/>
              </w:rPr>
              <w:t>orrosive)</w:t>
            </w:r>
          </w:p>
        </w:tc>
        <w:tc>
          <w:tcPr>
            <w:tcW w:w="2880" w:type="dxa"/>
            <w:tcBorders>
              <w:bottom w:val="nil"/>
              <w:right w:val="single" w:sz="12" w:space="0" w:color="auto"/>
            </w:tcBorders>
            <w:vAlign w:val="center"/>
          </w:tcPr>
          <w:p w:rsidR="001D41E2" w:rsidRPr="004B7EF4" w:rsidRDefault="001D41E2" w:rsidP="00142E86">
            <w:pPr>
              <w:pStyle w:val="Tabletext"/>
              <w:ind w:left="438"/>
            </w:pPr>
            <w:r w:rsidRPr="004B7EF4">
              <w:t>BASF</w:t>
            </w:r>
            <w:r>
              <w:t xml:space="preserve"> AG</w:t>
            </w:r>
            <w:r w:rsidRPr="004B7EF4">
              <w:t>, 1970b</w:t>
            </w:r>
          </w:p>
        </w:tc>
      </w:tr>
      <w:tr w:rsidR="001D41E2" w:rsidRPr="004B7EF4" w:rsidTr="00142E86">
        <w:trPr>
          <w:trHeight w:val="567"/>
        </w:trPr>
        <w:tc>
          <w:tcPr>
            <w:tcW w:w="1908" w:type="dxa"/>
            <w:tcBorders>
              <w:left w:val="single" w:sz="12" w:space="0" w:color="auto"/>
              <w:bottom w:val="nil"/>
            </w:tcBorders>
            <w:vAlign w:val="center"/>
          </w:tcPr>
          <w:p w:rsidR="001D41E2" w:rsidRPr="004B7EF4" w:rsidRDefault="001D41E2" w:rsidP="00142E86">
            <w:pPr>
              <w:pStyle w:val="Tabletext"/>
              <w:ind w:left="565"/>
            </w:pPr>
            <w:r>
              <w:t>PrCF</w:t>
            </w:r>
          </w:p>
        </w:tc>
        <w:tc>
          <w:tcPr>
            <w:tcW w:w="1320" w:type="dxa"/>
            <w:tcBorders>
              <w:bottom w:val="nil"/>
            </w:tcBorders>
            <w:vAlign w:val="center"/>
          </w:tcPr>
          <w:p w:rsidR="001D41E2" w:rsidRPr="00F706A7" w:rsidRDefault="001D41E2" w:rsidP="009C4680">
            <w:pPr>
              <w:jc w:val="center"/>
              <w:rPr>
                <w:sz w:val="20"/>
                <w:szCs w:val="20"/>
              </w:rPr>
            </w:pPr>
            <w:r w:rsidRPr="00F706A7">
              <w:rPr>
                <w:sz w:val="20"/>
                <w:szCs w:val="20"/>
              </w:rPr>
              <w:t>rabbit</w:t>
            </w:r>
          </w:p>
        </w:tc>
        <w:tc>
          <w:tcPr>
            <w:tcW w:w="3600" w:type="dxa"/>
            <w:tcBorders>
              <w:bottom w:val="nil"/>
            </w:tcBorders>
            <w:vAlign w:val="center"/>
          </w:tcPr>
          <w:p w:rsidR="001D41E2" w:rsidRPr="001B2640" w:rsidRDefault="001D41E2" w:rsidP="009C4680">
            <w:pPr>
              <w:pStyle w:val="Tabletext"/>
              <w:jc w:val="center"/>
            </w:pPr>
            <w:r w:rsidRPr="001B2640">
              <w:t>irreversible damage (</w:t>
            </w:r>
            <w:r>
              <w:t>c</w:t>
            </w:r>
            <w:r w:rsidRPr="001B2640">
              <w:t>orrosive)</w:t>
            </w:r>
          </w:p>
          <w:p w:rsidR="001D41E2" w:rsidRDefault="001D41E2" w:rsidP="009C4680">
            <w:pPr>
              <w:pStyle w:val="Tabletext"/>
              <w:jc w:val="center"/>
            </w:pPr>
          </w:p>
        </w:tc>
        <w:tc>
          <w:tcPr>
            <w:tcW w:w="2880" w:type="dxa"/>
            <w:tcBorders>
              <w:bottom w:val="nil"/>
              <w:right w:val="single" w:sz="12" w:space="0" w:color="auto"/>
            </w:tcBorders>
            <w:vAlign w:val="center"/>
          </w:tcPr>
          <w:p w:rsidR="001D41E2" w:rsidRPr="001B2640" w:rsidRDefault="001D41E2" w:rsidP="00142E86">
            <w:pPr>
              <w:pStyle w:val="Tabletext"/>
              <w:ind w:left="438"/>
            </w:pPr>
            <w:r w:rsidRPr="001B2640">
              <w:t>BASF AG, 1970a</w:t>
            </w:r>
          </w:p>
          <w:p w:rsidR="001D41E2" w:rsidRDefault="001D41E2" w:rsidP="00142E86">
            <w:pPr>
              <w:pStyle w:val="Tabletext"/>
              <w:ind w:left="438"/>
            </w:pPr>
          </w:p>
        </w:tc>
      </w:tr>
      <w:tr w:rsidR="001D41E2" w:rsidRPr="004B7EF4" w:rsidTr="00142E86">
        <w:trPr>
          <w:trHeight w:val="567"/>
        </w:trPr>
        <w:tc>
          <w:tcPr>
            <w:tcW w:w="1908" w:type="dxa"/>
            <w:tcBorders>
              <w:left w:val="single" w:sz="12" w:space="0" w:color="auto"/>
            </w:tcBorders>
            <w:vAlign w:val="center"/>
          </w:tcPr>
          <w:p w:rsidR="001D41E2" w:rsidRPr="004B7EF4" w:rsidRDefault="001D41E2" w:rsidP="00142E86">
            <w:pPr>
              <w:pStyle w:val="Tabletext"/>
              <w:ind w:left="565"/>
            </w:pPr>
            <w:r>
              <w:t>IpCF</w:t>
            </w:r>
          </w:p>
        </w:tc>
        <w:tc>
          <w:tcPr>
            <w:tcW w:w="1320" w:type="dxa"/>
            <w:vAlign w:val="center"/>
          </w:tcPr>
          <w:p w:rsidR="001D41E2" w:rsidRPr="00F706A7" w:rsidRDefault="001D41E2" w:rsidP="009C4680">
            <w:pPr>
              <w:jc w:val="center"/>
              <w:rPr>
                <w:snapToGrid w:val="0"/>
                <w:sz w:val="20"/>
                <w:szCs w:val="20"/>
                <w:lang w:eastAsia="da-DK"/>
              </w:rPr>
            </w:pPr>
            <w:r w:rsidRPr="00F706A7">
              <w:rPr>
                <w:snapToGrid w:val="0"/>
                <w:sz w:val="20"/>
                <w:szCs w:val="20"/>
                <w:lang w:eastAsia="da-DK"/>
              </w:rPr>
              <w:t>rabbit</w:t>
            </w:r>
          </w:p>
        </w:tc>
        <w:tc>
          <w:tcPr>
            <w:tcW w:w="3600" w:type="dxa"/>
            <w:vAlign w:val="center"/>
          </w:tcPr>
          <w:p w:rsidR="001D41E2" w:rsidRPr="004B7EF4" w:rsidRDefault="001D41E2" w:rsidP="009C4680">
            <w:pPr>
              <w:pStyle w:val="Tabletext"/>
              <w:jc w:val="center"/>
            </w:pPr>
            <w:r w:rsidRPr="004B7EF4">
              <w:t>irreversible damage</w:t>
            </w:r>
            <w:r>
              <w:t xml:space="preserve"> (corrosive)</w:t>
            </w:r>
          </w:p>
        </w:tc>
        <w:tc>
          <w:tcPr>
            <w:tcW w:w="2880" w:type="dxa"/>
            <w:tcBorders>
              <w:right w:val="single" w:sz="12" w:space="0" w:color="auto"/>
            </w:tcBorders>
            <w:vAlign w:val="center"/>
          </w:tcPr>
          <w:p w:rsidR="001D41E2" w:rsidRPr="004B7EF4" w:rsidRDefault="001D41E2" w:rsidP="00142E86">
            <w:pPr>
              <w:pStyle w:val="Tabletext"/>
              <w:ind w:left="438"/>
            </w:pPr>
            <w:r w:rsidRPr="004B7EF4">
              <w:t>BASF</w:t>
            </w:r>
            <w:r>
              <w:t xml:space="preserve"> AG</w:t>
            </w:r>
            <w:r w:rsidRPr="004B7EF4">
              <w:t xml:space="preserve">, </w:t>
            </w:r>
            <w:r>
              <w:t>1968a</w:t>
            </w:r>
          </w:p>
        </w:tc>
      </w:tr>
      <w:tr w:rsidR="001D41E2" w:rsidRPr="004B7EF4" w:rsidTr="00142E86">
        <w:trPr>
          <w:trHeight w:val="567"/>
        </w:trPr>
        <w:tc>
          <w:tcPr>
            <w:tcW w:w="1908" w:type="dxa"/>
            <w:tcBorders>
              <w:left w:val="single" w:sz="12" w:space="0" w:color="auto"/>
            </w:tcBorders>
            <w:vAlign w:val="center"/>
          </w:tcPr>
          <w:p w:rsidR="001D41E2" w:rsidRPr="004B7EF4" w:rsidRDefault="001D41E2" w:rsidP="00142E86">
            <w:pPr>
              <w:pStyle w:val="Tabletext"/>
              <w:ind w:left="565"/>
            </w:pPr>
            <w:r>
              <w:t>SbCF</w:t>
            </w:r>
          </w:p>
        </w:tc>
        <w:tc>
          <w:tcPr>
            <w:tcW w:w="1320" w:type="dxa"/>
            <w:vAlign w:val="center"/>
          </w:tcPr>
          <w:p w:rsidR="001D41E2" w:rsidRPr="00F706A7" w:rsidRDefault="001D41E2" w:rsidP="009C4680">
            <w:pPr>
              <w:jc w:val="center"/>
              <w:rPr>
                <w:sz w:val="20"/>
                <w:szCs w:val="20"/>
              </w:rPr>
            </w:pPr>
            <w:r w:rsidRPr="00F706A7">
              <w:rPr>
                <w:sz w:val="20"/>
                <w:szCs w:val="20"/>
              </w:rPr>
              <w:t>rabbit</w:t>
            </w:r>
          </w:p>
        </w:tc>
        <w:tc>
          <w:tcPr>
            <w:tcW w:w="3600" w:type="dxa"/>
            <w:vAlign w:val="center"/>
          </w:tcPr>
          <w:p w:rsidR="001D41E2" w:rsidRPr="004B7EF4" w:rsidRDefault="001D41E2" w:rsidP="009C4680">
            <w:pPr>
              <w:pStyle w:val="Tabletext"/>
              <w:jc w:val="center"/>
            </w:pPr>
            <w:r w:rsidRPr="004B7EF4">
              <w:t xml:space="preserve">irreversible damage </w:t>
            </w:r>
            <w:r>
              <w:t>(corrosive)</w:t>
            </w:r>
          </w:p>
        </w:tc>
        <w:tc>
          <w:tcPr>
            <w:tcW w:w="2880" w:type="dxa"/>
            <w:tcBorders>
              <w:right w:val="single" w:sz="12" w:space="0" w:color="auto"/>
            </w:tcBorders>
            <w:vAlign w:val="center"/>
          </w:tcPr>
          <w:p w:rsidR="001D41E2" w:rsidRPr="004B7EF4" w:rsidRDefault="001D41E2" w:rsidP="00142E86">
            <w:pPr>
              <w:pStyle w:val="Tabletext"/>
              <w:ind w:left="438"/>
            </w:pPr>
            <w:r w:rsidRPr="004B7EF4">
              <w:t>BASF</w:t>
            </w:r>
            <w:r>
              <w:t xml:space="preserve"> AG</w:t>
            </w:r>
            <w:r w:rsidRPr="004B7EF4">
              <w:t>, 1970</w:t>
            </w:r>
          </w:p>
        </w:tc>
      </w:tr>
      <w:tr w:rsidR="001D41E2" w:rsidRPr="004B7EF4" w:rsidTr="00142E86">
        <w:trPr>
          <w:trHeight w:val="567"/>
        </w:trPr>
        <w:tc>
          <w:tcPr>
            <w:tcW w:w="1908" w:type="dxa"/>
            <w:tcBorders>
              <w:left w:val="single" w:sz="12" w:space="0" w:color="auto"/>
              <w:bottom w:val="single" w:sz="12" w:space="0" w:color="auto"/>
            </w:tcBorders>
            <w:vAlign w:val="center"/>
          </w:tcPr>
          <w:p w:rsidR="001D41E2" w:rsidRPr="004B7EF4" w:rsidRDefault="001D41E2" w:rsidP="00142E86">
            <w:pPr>
              <w:pStyle w:val="Tabletext"/>
              <w:ind w:left="565"/>
            </w:pPr>
            <w:r>
              <w:t>ObCF</w:t>
            </w:r>
          </w:p>
        </w:tc>
        <w:tc>
          <w:tcPr>
            <w:tcW w:w="1320" w:type="dxa"/>
            <w:tcBorders>
              <w:bottom w:val="single" w:sz="12" w:space="0" w:color="auto"/>
            </w:tcBorders>
            <w:vAlign w:val="center"/>
          </w:tcPr>
          <w:p w:rsidR="001D41E2" w:rsidRPr="00F706A7" w:rsidRDefault="001D41E2" w:rsidP="009C4680">
            <w:pPr>
              <w:jc w:val="center"/>
              <w:rPr>
                <w:sz w:val="20"/>
                <w:szCs w:val="20"/>
              </w:rPr>
            </w:pPr>
            <w:r w:rsidRPr="00F706A7">
              <w:rPr>
                <w:sz w:val="20"/>
                <w:szCs w:val="20"/>
              </w:rPr>
              <w:t>rabbit</w:t>
            </w:r>
          </w:p>
        </w:tc>
        <w:tc>
          <w:tcPr>
            <w:tcW w:w="3600" w:type="dxa"/>
            <w:tcBorders>
              <w:bottom w:val="single" w:sz="12" w:space="0" w:color="auto"/>
            </w:tcBorders>
            <w:vAlign w:val="center"/>
          </w:tcPr>
          <w:p w:rsidR="001D41E2" w:rsidRPr="004B7EF4" w:rsidRDefault="001D41E2" w:rsidP="009C4680">
            <w:pPr>
              <w:pStyle w:val="Tabletext"/>
              <w:jc w:val="center"/>
            </w:pPr>
            <w:r w:rsidRPr="004B7EF4">
              <w:t xml:space="preserve">irreversible damage </w:t>
            </w:r>
            <w:r>
              <w:t>(corrosive)</w:t>
            </w:r>
          </w:p>
        </w:tc>
        <w:tc>
          <w:tcPr>
            <w:tcW w:w="2880" w:type="dxa"/>
            <w:tcBorders>
              <w:bottom w:val="single" w:sz="12" w:space="0" w:color="auto"/>
              <w:right w:val="single" w:sz="12" w:space="0" w:color="auto"/>
            </w:tcBorders>
            <w:vAlign w:val="center"/>
          </w:tcPr>
          <w:p w:rsidR="001D41E2" w:rsidRPr="004B7EF4" w:rsidRDefault="001D41E2" w:rsidP="00142E86">
            <w:pPr>
              <w:pStyle w:val="Tabletext"/>
              <w:ind w:left="438"/>
            </w:pPr>
            <w:r w:rsidRPr="004B7EF4">
              <w:t>BASF</w:t>
            </w:r>
            <w:r>
              <w:t xml:space="preserve"> AG</w:t>
            </w:r>
            <w:r w:rsidRPr="004B7EF4">
              <w:t>, 1968</w:t>
            </w:r>
            <w:r>
              <w:t>a</w:t>
            </w:r>
          </w:p>
        </w:tc>
      </w:tr>
    </w:tbl>
    <w:p w:rsidR="001D41E2" w:rsidRPr="004B7EF4" w:rsidRDefault="001D41E2" w:rsidP="00142E86">
      <w:pPr>
        <w:pStyle w:val="BodyText"/>
        <w:spacing w:before="240"/>
        <w:rPr>
          <w:lang w:val="en-US"/>
        </w:rPr>
      </w:pPr>
      <w:r w:rsidRPr="004B7EF4">
        <w:rPr>
          <w:b/>
          <w:bCs/>
          <w:i/>
          <w:iCs/>
          <w:lang w:val="en-US"/>
        </w:rPr>
        <w:t>IpCF:</w:t>
      </w:r>
      <w:r w:rsidRPr="004B7EF4">
        <w:rPr>
          <w:lang w:val="en-US"/>
        </w:rPr>
        <w:t xml:space="preserve"> Irreversible cornea damage</w:t>
      </w:r>
      <w:r>
        <w:rPr>
          <w:lang w:val="en-US"/>
        </w:rPr>
        <w:t>, hemorrhage</w:t>
      </w:r>
      <w:r w:rsidRPr="004B7EF4">
        <w:rPr>
          <w:lang w:val="en-US"/>
        </w:rPr>
        <w:t xml:space="preserve"> and staphyloma formation was observed after application of </w:t>
      </w:r>
      <w:r>
        <w:rPr>
          <w:lang w:val="en-US"/>
        </w:rPr>
        <w:t>0.05 mL undiluted Ip</w:t>
      </w:r>
      <w:r w:rsidRPr="004B7EF4">
        <w:rPr>
          <w:lang w:val="en-US"/>
        </w:rPr>
        <w:t>CF into the conjunctival sac of one eye of 2 White Vienna rabbits. At the end of the test after 8 days</w:t>
      </w:r>
      <w:r>
        <w:rPr>
          <w:lang w:val="en-US"/>
        </w:rPr>
        <w:t>,</w:t>
      </w:r>
      <w:r w:rsidRPr="004B7EF4">
        <w:rPr>
          <w:lang w:val="en-US"/>
        </w:rPr>
        <w:t xml:space="preserve"> mean scores for corneal </w:t>
      </w:r>
      <w:r>
        <w:rPr>
          <w:lang w:val="en-US"/>
        </w:rPr>
        <w:t>opacity</w:t>
      </w:r>
      <w:r w:rsidRPr="004B7EF4">
        <w:rPr>
          <w:lang w:val="en-US"/>
        </w:rPr>
        <w:t>, iritis</w:t>
      </w:r>
      <w:r>
        <w:rPr>
          <w:lang w:val="en-US"/>
        </w:rPr>
        <w:t>,</w:t>
      </w:r>
      <w:r w:rsidRPr="004B7EF4">
        <w:rPr>
          <w:lang w:val="en-US"/>
        </w:rPr>
        <w:t xml:space="preserve"> erythema</w:t>
      </w:r>
      <w:r>
        <w:rPr>
          <w:lang w:val="en-US"/>
        </w:rPr>
        <w:t>,</w:t>
      </w:r>
      <w:r w:rsidRPr="004B7EF4">
        <w:rPr>
          <w:lang w:val="en-US"/>
        </w:rPr>
        <w:t xml:space="preserve"> and </w:t>
      </w:r>
      <w:r w:rsidR="000D48FC" w:rsidRPr="004B7EF4">
        <w:rPr>
          <w:lang w:val="en-US"/>
        </w:rPr>
        <w:t>chemosis</w:t>
      </w:r>
      <w:r w:rsidRPr="004B7EF4">
        <w:rPr>
          <w:lang w:val="en-US"/>
        </w:rPr>
        <w:t xml:space="preserve"> were still 2.5</w:t>
      </w:r>
      <w:r>
        <w:rPr>
          <w:lang w:val="en-US"/>
        </w:rPr>
        <w:t>/4,</w:t>
      </w:r>
      <w:r w:rsidRPr="004B7EF4">
        <w:rPr>
          <w:lang w:val="en-US"/>
        </w:rPr>
        <w:t xml:space="preserve"> 2.0</w:t>
      </w:r>
      <w:r>
        <w:rPr>
          <w:lang w:val="en-US"/>
        </w:rPr>
        <w:t>/2, 1.</w:t>
      </w:r>
      <w:r w:rsidRPr="004B7EF4">
        <w:rPr>
          <w:lang w:val="en-US"/>
        </w:rPr>
        <w:t>0</w:t>
      </w:r>
      <w:r>
        <w:rPr>
          <w:lang w:val="en-US"/>
        </w:rPr>
        <w:t>/4,</w:t>
      </w:r>
      <w:r w:rsidRPr="004B7EF4">
        <w:rPr>
          <w:lang w:val="en-US"/>
        </w:rPr>
        <w:t xml:space="preserve"> and 1.0</w:t>
      </w:r>
      <w:r>
        <w:rPr>
          <w:lang w:val="en-US"/>
        </w:rPr>
        <w:t>/4</w:t>
      </w:r>
      <w:r w:rsidRPr="004B7EF4">
        <w:rPr>
          <w:lang w:val="en-US"/>
        </w:rPr>
        <w:t xml:space="preserve"> (BASF AG</w:t>
      </w:r>
      <w:r>
        <w:rPr>
          <w:lang w:val="en-US"/>
        </w:rPr>
        <w:t>,</w:t>
      </w:r>
      <w:r w:rsidRPr="004B7EF4">
        <w:rPr>
          <w:lang w:val="en-US"/>
        </w:rPr>
        <w:t xml:space="preserve"> </w:t>
      </w:r>
      <w:r>
        <w:rPr>
          <w:lang w:val="en-US"/>
        </w:rPr>
        <w:t>1968a</w:t>
      </w:r>
      <w:r w:rsidRPr="004B7EF4">
        <w:rPr>
          <w:lang w:val="en-US"/>
        </w:rPr>
        <w:t>).</w:t>
      </w:r>
    </w:p>
    <w:p w:rsidR="001D41E2" w:rsidRPr="004B7EF4" w:rsidRDefault="001D41E2" w:rsidP="009C4680">
      <w:pPr>
        <w:pStyle w:val="BodyText"/>
        <w:rPr>
          <w:lang w:val="en-US"/>
        </w:rPr>
      </w:pPr>
      <w:r w:rsidRPr="004B7EF4">
        <w:rPr>
          <w:b/>
          <w:bCs/>
          <w:i/>
          <w:iCs/>
          <w:lang w:val="en-US"/>
        </w:rPr>
        <w:t>SbCF:</w:t>
      </w:r>
      <w:r w:rsidRPr="004B7EF4">
        <w:rPr>
          <w:lang w:val="en-US"/>
        </w:rPr>
        <w:t xml:space="preserve"> Instillation of 50 µ</w:t>
      </w:r>
      <w:r>
        <w:rPr>
          <w:lang w:val="en-US"/>
        </w:rPr>
        <w:t>L</w:t>
      </w:r>
      <w:r w:rsidRPr="004B7EF4">
        <w:rPr>
          <w:lang w:val="en-US"/>
        </w:rPr>
        <w:t xml:space="preserve"> SbCF into the conjunctival sac caused irre</w:t>
      </w:r>
      <w:r>
        <w:rPr>
          <w:lang w:val="en-US"/>
        </w:rPr>
        <w:t xml:space="preserve">versible damage to the eyes </w:t>
      </w:r>
      <w:r w:rsidRPr="004B7EF4">
        <w:rPr>
          <w:lang w:val="en-US"/>
        </w:rPr>
        <w:t>of 2 White Vienna rabbits. Clearly visible corneal opacity (2/2 animals), iritis (in 1/2 animals), conjunctivae redness (grade 2)</w:t>
      </w:r>
      <w:r>
        <w:rPr>
          <w:lang w:val="en-US"/>
        </w:rPr>
        <w:t>,</w:t>
      </w:r>
      <w:r w:rsidRPr="004B7EF4">
        <w:rPr>
          <w:lang w:val="en-US"/>
        </w:rPr>
        <w:t xml:space="preserve"> and chemosis were observed and were</w:t>
      </w:r>
      <w:r>
        <w:rPr>
          <w:lang w:val="en-US"/>
        </w:rPr>
        <w:t xml:space="preserve"> </w:t>
      </w:r>
      <w:r w:rsidRPr="004B7EF4">
        <w:rPr>
          <w:lang w:val="en-US"/>
        </w:rPr>
        <w:t>still present at the end of the study after 8 days</w:t>
      </w:r>
      <w:r>
        <w:rPr>
          <w:lang w:val="en-US"/>
        </w:rPr>
        <w:t xml:space="preserve"> (except for </w:t>
      </w:r>
      <w:r w:rsidR="000D48FC">
        <w:rPr>
          <w:lang w:val="en-US"/>
        </w:rPr>
        <w:t>chemosis</w:t>
      </w:r>
      <w:r>
        <w:rPr>
          <w:lang w:val="en-US"/>
        </w:rPr>
        <w:t>)</w:t>
      </w:r>
      <w:r w:rsidRPr="004B7EF4">
        <w:rPr>
          <w:lang w:val="en-US"/>
        </w:rPr>
        <w:t>. SbCF cause</w:t>
      </w:r>
      <w:r>
        <w:rPr>
          <w:lang w:val="en-US"/>
        </w:rPr>
        <w:t>d</w:t>
      </w:r>
      <w:r w:rsidRPr="004B7EF4">
        <w:rPr>
          <w:lang w:val="en-US"/>
        </w:rPr>
        <w:t xml:space="preserve"> irreversible damage</w:t>
      </w:r>
      <w:r>
        <w:rPr>
          <w:lang w:val="en-US"/>
        </w:rPr>
        <w:t>/corrosion</w:t>
      </w:r>
      <w:r w:rsidRPr="004B7EF4">
        <w:rPr>
          <w:lang w:val="en-US"/>
        </w:rPr>
        <w:t xml:space="preserve"> to the eye (BASF</w:t>
      </w:r>
      <w:r>
        <w:rPr>
          <w:lang w:val="en-US"/>
        </w:rPr>
        <w:t xml:space="preserve">, </w:t>
      </w:r>
      <w:r w:rsidRPr="004B7EF4">
        <w:rPr>
          <w:lang w:val="en-US"/>
        </w:rPr>
        <w:t>1970).</w:t>
      </w:r>
    </w:p>
    <w:p w:rsidR="001D41E2" w:rsidRDefault="001D41E2" w:rsidP="009C4680">
      <w:pPr>
        <w:pStyle w:val="BodyText"/>
        <w:rPr>
          <w:lang w:val="en-US"/>
        </w:rPr>
      </w:pPr>
      <w:r w:rsidRPr="004B7EF4">
        <w:rPr>
          <w:b/>
          <w:bCs/>
          <w:i/>
          <w:iCs/>
          <w:lang w:val="en-US"/>
        </w:rPr>
        <w:t>ObCF:</w:t>
      </w:r>
      <w:r w:rsidRPr="004B7EF4">
        <w:rPr>
          <w:lang w:val="en-US"/>
        </w:rPr>
        <w:t xml:space="preserve"> </w:t>
      </w:r>
      <w:r>
        <w:rPr>
          <w:lang w:val="en-US"/>
        </w:rPr>
        <w:t xml:space="preserve"> Undiluted </w:t>
      </w:r>
      <w:r w:rsidRPr="004B7EF4">
        <w:rPr>
          <w:lang w:val="en-US"/>
        </w:rPr>
        <w:t xml:space="preserve">ObCF </w:t>
      </w:r>
      <w:r>
        <w:rPr>
          <w:lang w:val="en-US"/>
        </w:rPr>
        <w:t xml:space="preserve">(0.05 mL) </w:t>
      </w:r>
      <w:r w:rsidRPr="004B7EF4">
        <w:rPr>
          <w:lang w:val="en-US"/>
        </w:rPr>
        <w:t xml:space="preserve">was instilled into the conjunctival sac of the right eye of 5 </w:t>
      </w:r>
      <w:r w:rsidRPr="003971EB">
        <w:rPr>
          <w:lang w:val="en-US"/>
        </w:rPr>
        <w:t>New Zealand White</w:t>
      </w:r>
      <w:r w:rsidRPr="004B7EF4">
        <w:rPr>
          <w:lang w:val="en-US"/>
        </w:rPr>
        <w:t xml:space="preserve"> rabbits</w:t>
      </w:r>
      <w:r>
        <w:rPr>
          <w:lang w:val="en-US"/>
        </w:rPr>
        <w:t xml:space="preserve"> in a Draize Test (comparable to OECD TG 405)</w:t>
      </w:r>
      <w:r w:rsidRPr="004B7EF4">
        <w:rPr>
          <w:lang w:val="en-US"/>
        </w:rPr>
        <w:t xml:space="preserve">. Eyes were not washed after instillation. </w:t>
      </w:r>
      <w:r>
        <w:rPr>
          <w:lang w:val="en-US"/>
        </w:rPr>
        <w:t>Severe eye irritation, c</w:t>
      </w:r>
      <w:r w:rsidRPr="004B7EF4">
        <w:rPr>
          <w:lang w:val="en-US"/>
        </w:rPr>
        <w:t>orneal opacity</w:t>
      </w:r>
      <w:r>
        <w:rPr>
          <w:lang w:val="en-US"/>
        </w:rPr>
        <w:t>, irreversible changes and eye loss were noted</w:t>
      </w:r>
      <w:r w:rsidRPr="004B7EF4">
        <w:rPr>
          <w:lang w:val="en-US"/>
        </w:rPr>
        <w:t xml:space="preserve">. The irritation became progressively worse until the maximum Draize irritation score of </w:t>
      </w:r>
      <w:r>
        <w:rPr>
          <w:lang w:val="en-US"/>
        </w:rPr>
        <w:t>110/</w:t>
      </w:r>
      <w:r w:rsidRPr="004B7EF4">
        <w:rPr>
          <w:lang w:val="en-US"/>
        </w:rPr>
        <w:t>110 was reached on day 7. No improvement was noted at 14 days (BASF</w:t>
      </w:r>
      <w:r>
        <w:rPr>
          <w:lang w:val="en-US"/>
        </w:rPr>
        <w:t xml:space="preserve">, </w:t>
      </w:r>
      <w:r w:rsidRPr="004B7EF4">
        <w:rPr>
          <w:lang w:val="en-US"/>
        </w:rPr>
        <w:t>1968</w:t>
      </w:r>
      <w:r>
        <w:rPr>
          <w:lang w:val="en-US"/>
        </w:rPr>
        <w:t>a</w:t>
      </w:r>
      <w:r w:rsidRPr="004B7EF4">
        <w:rPr>
          <w:lang w:val="en-US"/>
        </w:rPr>
        <w:t>).</w:t>
      </w:r>
    </w:p>
    <w:p w:rsidR="001D41E2" w:rsidRDefault="001D41E2" w:rsidP="009C4680">
      <w:pPr>
        <w:pStyle w:val="BodyText"/>
        <w:rPr>
          <w:lang w:val="en-US"/>
        </w:rPr>
      </w:pPr>
      <w:r w:rsidRPr="004B7EF4">
        <w:rPr>
          <w:b/>
          <w:bCs/>
          <w:i/>
          <w:iCs/>
          <w:lang w:val="en-US"/>
        </w:rPr>
        <w:t>EhCF:</w:t>
      </w:r>
      <w:r>
        <w:rPr>
          <w:lang w:val="en-US"/>
        </w:rPr>
        <w:t xml:space="preserve"> </w:t>
      </w:r>
      <w:r w:rsidR="004C4CFF">
        <w:rPr>
          <w:lang w:val="en-US"/>
        </w:rPr>
        <w:t xml:space="preserve">No data available. </w:t>
      </w:r>
    </w:p>
    <w:p w:rsidR="001D41E2" w:rsidRPr="005F3317" w:rsidRDefault="001D41E2" w:rsidP="00382F13">
      <w:pPr>
        <w:pStyle w:val="Heading9"/>
        <w:rPr>
          <w:lang w:val="en-US"/>
        </w:rPr>
      </w:pPr>
      <w:r w:rsidRPr="005F3317">
        <w:rPr>
          <w:lang w:val="en-US"/>
        </w:rPr>
        <w:t xml:space="preserve">Respiratory tract irritation </w:t>
      </w:r>
    </w:p>
    <w:p w:rsidR="001D41E2" w:rsidRDefault="001D41E2" w:rsidP="009C4680">
      <w:pPr>
        <w:pStyle w:val="BodyText"/>
        <w:rPr>
          <w:lang w:val="en-US"/>
        </w:rPr>
      </w:pPr>
      <w:r w:rsidRPr="005F3317">
        <w:rPr>
          <w:lang w:val="en-US"/>
        </w:rPr>
        <w:t xml:space="preserve">MeCF, EtCF, and IpCF have also been tested for </w:t>
      </w:r>
      <w:r>
        <w:rPr>
          <w:lang w:val="en-US"/>
        </w:rPr>
        <w:t>respiratory</w:t>
      </w:r>
      <w:r w:rsidRPr="005F3317">
        <w:rPr>
          <w:lang w:val="en-US"/>
        </w:rPr>
        <w:t xml:space="preserve"> irritation in mice</w:t>
      </w:r>
      <w:r>
        <w:rPr>
          <w:lang w:val="en-US"/>
        </w:rPr>
        <w:t>, although limited study details are available (</w:t>
      </w:r>
      <w:r w:rsidRPr="005F3317">
        <w:rPr>
          <w:lang w:val="en-US"/>
        </w:rPr>
        <w:t>Klimisch val</w:t>
      </w:r>
      <w:r>
        <w:rPr>
          <w:lang w:val="en-US"/>
        </w:rPr>
        <w:t>ues</w:t>
      </w:r>
      <w:r w:rsidRPr="005F3317">
        <w:rPr>
          <w:lang w:val="en-US"/>
        </w:rPr>
        <w:t xml:space="preserve"> </w:t>
      </w:r>
      <w:r>
        <w:rPr>
          <w:lang w:val="en-US"/>
        </w:rPr>
        <w:t xml:space="preserve">of </w:t>
      </w:r>
      <w:r w:rsidRPr="005F3317">
        <w:rPr>
          <w:lang w:val="en-US"/>
        </w:rPr>
        <w:t>4</w:t>
      </w:r>
      <w:r>
        <w:rPr>
          <w:lang w:val="en-US"/>
        </w:rPr>
        <w:t>)</w:t>
      </w:r>
      <w:r w:rsidRPr="005F3317">
        <w:rPr>
          <w:lang w:val="en-US"/>
        </w:rPr>
        <w:t>.</w:t>
      </w:r>
      <w:r>
        <w:rPr>
          <w:lang w:val="en-US"/>
        </w:rPr>
        <w:t xml:space="preserve"> </w:t>
      </w:r>
      <w:r w:rsidRPr="005F3317">
        <w:rPr>
          <w:lang w:val="en-US"/>
        </w:rPr>
        <w:t>The airborne concentrations of these materials that caused 50% depression of respiratory rate (RD</w:t>
      </w:r>
      <w:r w:rsidRPr="005F3317">
        <w:rPr>
          <w:vertAlign w:val="subscript"/>
          <w:lang w:val="en-US"/>
        </w:rPr>
        <w:t>50</w:t>
      </w:r>
      <w:r w:rsidRPr="005F3317">
        <w:rPr>
          <w:lang w:val="en-US"/>
        </w:rPr>
        <w:t>) were 52.4, 77.5, and 104 ppm, indicating the ability of these chemically reactive materials to cause upper respiratory tract irritation at low airborne concentrations (Carpenter 1982a/b/c).  The upper respiratory tract irritation observed for these materials is believed to be due to liberation of HCl.  Chloroformates in the vapor phase may hydrolyze due to the water vapor present in the ambient air, water vapor present in the humid inhaled air in the respiratory tract, or upon contact with the mucous layer of the airways.</w:t>
      </w:r>
    </w:p>
    <w:p w:rsidR="001D41E2" w:rsidRPr="004C7CA6" w:rsidRDefault="001D41E2" w:rsidP="009C4680">
      <w:pPr>
        <w:pStyle w:val="Heading9"/>
        <w:rPr>
          <w:lang w:val="en-US"/>
        </w:rPr>
      </w:pPr>
      <w:r w:rsidRPr="004C7CA6">
        <w:rPr>
          <w:lang w:val="en-US"/>
        </w:rPr>
        <w:t>Studies in Humans</w:t>
      </w:r>
    </w:p>
    <w:p w:rsidR="001D41E2" w:rsidRDefault="001D41E2" w:rsidP="009C4680">
      <w:pPr>
        <w:pStyle w:val="BodyText"/>
        <w:rPr>
          <w:lang w:val="en-US"/>
        </w:rPr>
      </w:pPr>
      <w:r w:rsidRPr="004C7CA6">
        <w:rPr>
          <w:lang w:val="en-US"/>
        </w:rPr>
        <w:t>No data available.</w:t>
      </w:r>
    </w:p>
    <w:p w:rsidR="001D41E2" w:rsidRPr="004B7EF4" w:rsidRDefault="001D41E2" w:rsidP="009C4680">
      <w:pPr>
        <w:pStyle w:val="Heading8"/>
        <w:rPr>
          <w:lang w:val="en-US"/>
        </w:rPr>
      </w:pPr>
      <w:r w:rsidRPr="004B7EF4">
        <w:rPr>
          <w:lang w:val="en-US"/>
        </w:rPr>
        <w:t>Conclusion</w:t>
      </w:r>
    </w:p>
    <w:p w:rsidR="001D41E2" w:rsidRDefault="001D41E2" w:rsidP="009C4680">
      <w:pPr>
        <w:pStyle w:val="BodyText"/>
        <w:rPr>
          <w:lang w:val="en-US"/>
        </w:rPr>
      </w:pPr>
      <w:r w:rsidRPr="004B7EF4">
        <w:rPr>
          <w:lang w:val="en-US"/>
        </w:rPr>
        <w:t>With the exception of EhCF</w:t>
      </w:r>
      <w:r w:rsidR="004C4CFF">
        <w:rPr>
          <w:lang w:val="en-US"/>
        </w:rPr>
        <w:t xml:space="preserve"> not being evaluated for eye irritation</w:t>
      </w:r>
      <w:r>
        <w:rPr>
          <w:lang w:val="en-US"/>
        </w:rPr>
        <w:t>,</w:t>
      </w:r>
      <w:r w:rsidRPr="004B7EF4">
        <w:rPr>
          <w:lang w:val="en-US"/>
        </w:rPr>
        <w:t xml:space="preserve"> all </w:t>
      </w:r>
      <w:r>
        <w:rPr>
          <w:lang w:val="en-US"/>
        </w:rPr>
        <w:t>of the sponsored chloroformates</w:t>
      </w:r>
      <w:r w:rsidRPr="004B7EF4">
        <w:rPr>
          <w:lang w:val="en-US"/>
        </w:rPr>
        <w:t xml:space="preserve"> caused irreversible damage to the eye in animal tests. Experimental data suggest that </w:t>
      </w:r>
      <w:r>
        <w:rPr>
          <w:lang w:val="en-US"/>
        </w:rPr>
        <w:t>chloroformates</w:t>
      </w:r>
      <w:r w:rsidRPr="004B7EF4">
        <w:rPr>
          <w:lang w:val="en-US"/>
        </w:rPr>
        <w:t xml:space="preserve"> are moderately to extremely irritating/</w:t>
      </w:r>
      <w:r w:rsidR="004C4CFF">
        <w:rPr>
          <w:lang w:val="en-US"/>
        </w:rPr>
        <w:t>corrosive</w:t>
      </w:r>
      <w:r w:rsidRPr="004B7EF4">
        <w:rPr>
          <w:lang w:val="en-US"/>
        </w:rPr>
        <w:t xml:space="preserve"> to the skin. C</w:t>
      </w:r>
      <w:r>
        <w:rPr>
          <w:lang w:val="en-US"/>
        </w:rPr>
        <w:t>orrosive</w:t>
      </w:r>
      <w:r w:rsidRPr="004B7EF4">
        <w:rPr>
          <w:lang w:val="en-US"/>
        </w:rPr>
        <w:t xml:space="preserve"> effects have been observed for MeCF, EtC</w:t>
      </w:r>
      <w:r>
        <w:rPr>
          <w:lang w:val="en-US"/>
        </w:rPr>
        <w:t xml:space="preserve">F and </w:t>
      </w:r>
      <w:r w:rsidRPr="004B7EF4">
        <w:rPr>
          <w:lang w:val="en-US"/>
        </w:rPr>
        <w:t>PrCF. IpCF,</w:t>
      </w:r>
      <w:r>
        <w:rPr>
          <w:lang w:val="en-US"/>
        </w:rPr>
        <w:t xml:space="preserve"> SbCF</w:t>
      </w:r>
      <w:r w:rsidRPr="004B7EF4">
        <w:rPr>
          <w:lang w:val="en-US"/>
        </w:rPr>
        <w:t xml:space="preserve"> and EhCF are moderately</w:t>
      </w:r>
      <w:r>
        <w:rPr>
          <w:lang w:val="en-US"/>
        </w:rPr>
        <w:t xml:space="preserve"> to severely</w:t>
      </w:r>
      <w:r w:rsidRPr="004B7EF4">
        <w:rPr>
          <w:lang w:val="en-US"/>
        </w:rPr>
        <w:t xml:space="preserve"> irritating.</w:t>
      </w:r>
      <w:r w:rsidR="001A0A21">
        <w:rPr>
          <w:lang w:val="en-US"/>
        </w:rPr>
        <w:t xml:space="preserve">  ObCF was slightly irritating to the skin.</w:t>
      </w:r>
      <w:r w:rsidR="005A7522">
        <w:rPr>
          <w:lang w:val="en-US"/>
        </w:rPr>
        <w:t xml:space="preserve">  Depending on the level of occlusion (e.g., semi- or fully occluded), some volatilization from the application site may occur.</w:t>
      </w:r>
    </w:p>
    <w:p w:rsidR="001D41E2" w:rsidRDefault="001D41E2" w:rsidP="009C4680">
      <w:pPr>
        <w:pStyle w:val="BodyText"/>
        <w:rPr>
          <w:lang w:val="en-US"/>
        </w:rPr>
      </w:pPr>
      <w:r w:rsidRPr="004B7EF4">
        <w:rPr>
          <w:lang w:val="en-US"/>
        </w:rPr>
        <w:t xml:space="preserve"> The upper respiratory tract irritation observed for these materials is </w:t>
      </w:r>
      <w:r>
        <w:rPr>
          <w:lang w:val="en-US"/>
        </w:rPr>
        <w:t xml:space="preserve">also </w:t>
      </w:r>
      <w:r w:rsidRPr="004B7EF4">
        <w:rPr>
          <w:lang w:val="en-US"/>
        </w:rPr>
        <w:t xml:space="preserve">believed to be </w:t>
      </w:r>
      <w:r>
        <w:rPr>
          <w:lang w:val="en-US"/>
        </w:rPr>
        <w:t>due to</w:t>
      </w:r>
      <w:r w:rsidRPr="004B7EF4">
        <w:rPr>
          <w:lang w:val="en-US"/>
        </w:rPr>
        <w:t xml:space="preserve"> liberation of HCl.  Chloroformates in the vapor phase may hydrolyze due to the water vapor present in the ambient air, water vapor present in the humid inhaled air in the respiratory tract, or upon contact with the mucous layer of the airways.</w:t>
      </w:r>
    </w:p>
    <w:p w:rsidR="009D5214" w:rsidRDefault="001D41E2">
      <w:pPr>
        <w:pStyle w:val="Heading3"/>
        <w:numPr>
          <w:ilvl w:val="2"/>
          <w:numId w:val="28"/>
        </w:numPr>
        <w:tabs>
          <w:tab w:val="clear" w:pos="1077"/>
          <w:tab w:val="clear" w:pos="1440"/>
          <w:tab w:val="clear" w:pos="2160"/>
        </w:tabs>
        <w:ind w:left="839" w:hanging="839"/>
        <w:rPr>
          <w:lang w:val="en-US"/>
        </w:rPr>
      </w:pPr>
      <w:bookmarkStart w:id="69" w:name="_Toc264983266"/>
      <w:r>
        <w:rPr>
          <w:lang w:val="en-US"/>
        </w:rPr>
        <w:t>Sensiti</w:t>
      </w:r>
      <w:r w:rsidR="00142E86">
        <w:rPr>
          <w:lang w:val="en-US"/>
        </w:rPr>
        <w:t>s</w:t>
      </w:r>
      <w:r>
        <w:rPr>
          <w:lang w:val="en-US"/>
        </w:rPr>
        <w:t>ation</w:t>
      </w:r>
      <w:bookmarkEnd w:id="69"/>
    </w:p>
    <w:p w:rsidR="001D41E2" w:rsidRDefault="001D41E2" w:rsidP="000D5EB7">
      <w:pPr>
        <w:pStyle w:val="BodyText"/>
        <w:rPr>
          <w:lang w:val="en-US"/>
        </w:rPr>
      </w:pPr>
      <w:r>
        <w:rPr>
          <w:lang w:val="en-US"/>
        </w:rPr>
        <w:t>No data available</w:t>
      </w:r>
      <w:r w:rsidRPr="004B7EF4">
        <w:rPr>
          <w:lang w:val="en-US"/>
        </w:rPr>
        <w:t>.</w:t>
      </w:r>
    </w:p>
    <w:p w:rsidR="009D5214" w:rsidRDefault="007D3E3E">
      <w:pPr>
        <w:pStyle w:val="Heading3"/>
        <w:numPr>
          <w:ilvl w:val="2"/>
          <w:numId w:val="28"/>
        </w:numPr>
        <w:tabs>
          <w:tab w:val="clear" w:pos="1077"/>
          <w:tab w:val="clear" w:pos="1440"/>
          <w:tab w:val="clear" w:pos="2160"/>
        </w:tabs>
        <w:ind w:left="839" w:hanging="839"/>
        <w:rPr>
          <w:lang w:val="en-US"/>
        </w:rPr>
      </w:pPr>
      <w:bookmarkStart w:id="70" w:name="_Toc264983267"/>
      <w:r w:rsidRPr="007D3E3E">
        <w:rPr>
          <w:lang w:val="en-US"/>
        </w:rPr>
        <w:t>Repeated Dose Toxicity</w:t>
      </w:r>
      <w:bookmarkEnd w:id="70"/>
    </w:p>
    <w:p w:rsidR="009D5214" w:rsidRDefault="001D41E2">
      <w:pPr>
        <w:jc w:val="both"/>
      </w:pPr>
      <w:r w:rsidRPr="00A62D0C">
        <w:t>Repeated-dose inhalation toxicity data are available for MeCF</w:t>
      </w:r>
      <w:r w:rsidR="006924DB">
        <w:t xml:space="preserve"> (28- and 90-days)</w:t>
      </w:r>
      <w:r w:rsidRPr="00A62D0C">
        <w:t>, EtCF</w:t>
      </w:r>
      <w:r w:rsidR="007A4106">
        <w:t xml:space="preserve"> (28-day)</w:t>
      </w:r>
      <w:r w:rsidRPr="00A62D0C">
        <w:t>, and IpCF</w:t>
      </w:r>
      <w:r w:rsidR="007A4106">
        <w:t xml:space="preserve"> (28-day)</w:t>
      </w:r>
      <w:r w:rsidRPr="00A62D0C">
        <w:t xml:space="preserve">.  Repeated-dose </w:t>
      </w:r>
      <w:r>
        <w:t xml:space="preserve">inhalation toxicity </w:t>
      </w:r>
      <w:r w:rsidRPr="00A62D0C">
        <w:t>data are not available for the other category members</w:t>
      </w:r>
      <w:r>
        <w:t xml:space="preserve">. Available data are read-across to the remaining category members.  In addition, available repeated dose inhalation exposure studies for the hydrolysis products have been provided for comparison to the results of the studies conducted with the parent substances, as well as HCl.  Only the inhalation route of exposure is provided for the </w:t>
      </w:r>
      <w:r w:rsidRPr="004C2CEE">
        <w:t xml:space="preserve">hydrolysis products because </w:t>
      </w:r>
      <w:r w:rsidR="00EE13E4">
        <w:t xml:space="preserve">inhalation is the relevant </w:t>
      </w:r>
      <w:r w:rsidRPr="004C2CEE">
        <w:t xml:space="preserve">route of exposure </w:t>
      </w:r>
      <w:r w:rsidR="00EE13E4">
        <w:t>as these</w:t>
      </w:r>
      <w:r w:rsidRPr="004C2CEE">
        <w:t xml:space="preserve"> parent </w:t>
      </w:r>
      <w:r w:rsidRPr="004D3CC0">
        <w:t>substances</w:t>
      </w:r>
      <w:r w:rsidR="00EE13E4">
        <w:t xml:space="preserve"> are completely consumed industrial intermediates utilized in closed systems</w:t>
      </w:r>
      <w:r w:rsidRPr="004D3CC0">
        <w:t xml:space="preserve">.  </w:t>
      </w:r>
      <w:r w:rsidR="00FA155D">
        <w:t xml:space="preserve">Additionally, there were available repeated exposure inhalation studies on some of the parent substances as well as HCl.  </w:t>
      </w:r>
      <w:r w:rsidR="00FD5A44">
        <w:t>S</w:t>
      </w:r>
      <w:r w:rsidR="007D3E3E" w:rsidRPr="007D3E3E">
        <w:rPr>
          <w:lang w:val="en-GB"/>
        </w:rPr>
        <w:t>ince the chloroformate group on the molecule is responsible for the observed toxicity, providing additional repeated exposure data for the alcohol hydrolysis products (in the absence of parent or HCl data), will not provide any valuable information to the hazard profile for the chloroformates category.</w:t>
      </w:r>
      <w:r w:rsidR="007D3E3E" w:rsidRPr="007D3E3E">
        <w:rPr>
          <w:color w:val="FF0000"/>
          <w:lang w:val="en-GB"/>
        </w:rPr>
        <w:t xml:space="preserve">  </w:t>
      </w:r>
    </w:p>
    <w:p w:rsidR="001D41E2" w:rsidRDefault="001D41E2" w:rsidP="009C4680"/>
    <w:p w:rsidR="001D41E2" w:rsidRPr="004B7EF4" w:rsidRDefault="001D41E2" w:rsidP="009C4680">
      <w:pPr>
        <w:pStyle w:val="Heading8"/>
        <w:rPr>
          <w:lang w:val="en-US"/>
        </w:rPr>
      </w:pPr>
      <w:r w:rsidRPr="004B7EF4">
        <w:rPr>
          <w:lang w:val="en-US"/>
        </w:rPr>
        <w:t>Studies in Animals</w:t>
      </w:r>
    </w:p>
    <w:p w:rsidR="001D41E2" w:rsidRPr="004B7EF4" w:rsidRDefault="001D41E2" w:rsidP="009C4680">
      <w:pPr>
        <w:pStyle w:val="Heading9"/>
        <w:rPr>
          <w:lang w:val="en-US"/>
        </w:rPr>
      </w:pPr>
      <w:r w:rsidRPr="004B7EF4">
        <w:rPr>
          <w:lang w:val="en-US"/>
        </w:rPr>
        <w:t>Inhalation</w:t>
      </w:r>
    </w:p>
    <w:p w:rsidR="001D41E2" w:rsidRPr="004C2CEE" w:rsidRDefault="001D41E2" w:rsidP="009C4680">
      <w:pPr>
        <w:pStyle w:val="BodyText"/>
        <w:spacing w:after="240"/>
        <w:rPr>
          <w:lang w:val="en-US"/>
        </w:rPr>
      </w:pPr>
      <w:r w:rsidRPr="004B7EF4">
        <w:rPr>
          <w:b/>
          <w:bCs/>
          <w:i/>
          <w:iCs/>
          <w:lang w:val="en-US"/>
        </w:rPr>
        <w:t>MeCF:</w:t>
      </w:r>
      <w:r w:rsidRPr="004B7EF4">
        <w:rPr>
          <w:lang w:val="en-US"/>
        </w:rPr>
        <w:t xml:space="preserve"> In an 28-day OECD </w:t>
      </w:r>
      <w:r>
        <w:rPr>
          <w:lang w:val="en-US"/>
        </w:rPr>
        <w:t xml:space="preserve">TG </w:t>
      </w:r>
      <w:r w:rsidRPr="004B7EF4">
        <w:rPr>
          <w:lang w:val="en-US"/>
        </w:rPr>
        <w:t>412 study</w:t>
      </w:r>
      <w:r>
        <w:rPr>
          <w:lang w:val="en-US"/>
        </w:rPr>
        <w:t>,</w:t>
      </w:r>
      <w:r w:rsidRPr="004B7EF4">
        <w:rPr>
          <w:lang w:val="en-US"/>
        </w:rPr>
        <w:t xml:space="preserve"> </w:t>
      </w:r>
      <w:r>
        <w:rPr>
          <w:lang w:val="en-US"/>
        </w:rPr>
        <w:t>Sprague-Dawley rats (5/</w:t>
      </w:r>
      <w:r w:rsidRPr="004B7EF4">
        <w:rPr>
          <w:lang w:val="en-US"/>
        </w:rPr>
        <w:t>sex/dose) were e</w:t>
      </w:r>
      <w:r>
        <w:rPr>
          <w:lang w:val="en-US"/>
        </w:rPr>
        <w:t xml:space="preserve">xposed </w:t>
      </w:r>
      <w:r w:rsidR="006924DB">
        <w:rPr>
          <w:lang w:val="en-US"/>
        </w:rPr>
        <w:t xml:space="preserve">via whole body inhalation exposure </w:t>
      </w:r>
      <w:r>
        <w:rPr>
          <w:lang w:val="en-US"/>
        </w:rPr>
        <w:t>to 0 (air),</w:t>
      </w:r>
      <w:r w:rsidRPr="004B7EF4">
        <w:rPr>
          <w:lang w:val="en-US"/>
        </w:rPr>
        <w:t xml:space="preserve"> 0.52</w:t>
      </w:r>
      <w:r>
        <w:rPr>
          <w:lang w:val="en-US"/>
        </w:rPr>
        <w:t>,</w:t>
      </w:r>
      <w:r w:rsidRPr="004B7EF4">
        <w:rPr>
          <w:lang w:val="en-US"/>
        </w:rPr>
        <w:t xml:space="preserve"> 1.48</w:t>
      </w:r>
      <w:r>
        <w:rPr>
          <w:lang w:val="en-US"/>
        </w:rPr>
        <w:t>,</w:t>
      </w:r>
      <w:r w:rsidRPr="004B7EF4">
        <w:rPr>
          <w:lang w:val="en-US"/>
        </w:rPr>
        <w:t xml:space="preserve"> 3.94</w:t>
      </w:r>
      <w:r>
        <w:rPr>
          <w:lang w:val="en-US"/>
        </w:rPr>
        <w:t>,</w:t>
      </w:r>
      <w:r w:rsidRPr="004B7EF4">
        <w:rPr>
          <w:lang w:val="en-US"/>
        </w:rPr>
        <w:t xml:space="preserve"> 12.14</w:t>
      </w:r>
      <w:r>
        <w:rPr>
          <w:lang w:val="en-US"/>
        </w:rPr>
        <w:t>,</w:t>
      </w:r>
      <w:r w:rsidRPr="004B7EF4">
        <w:rPr>
          <w:lang w:val="en-US"/>
        </w:rPr>
        <w:t xml:space="preserve"> </w:t>
      </w:r>
      <w:r>
        <w:rPr>
          <w:lang w:val="en-US"/>
        </w:rPr>
        <w:t xml:space="preserve">or </w:t>
      </w:r>
      <w:r w:rsidRPr="004B7EF4">
        <w:rPr>
          <w:lang w:val="en-US"/>
        </w:rPr>
        <w:t>34.46 mg/m³</w:t>
      </w:r>
      <w:r>
        <w:rPr>
          <w:lang w:val="en-US"/>
        </w:rPr>
        <w:t>/day</w:t>
      </w:r>
      <w:r w:rsidRPr="004B7EF4">
        <w:rPr>
          <w:lang w:val="en-US"/>
        </w:rPr>
        <w:t xml:space="preserve"> </w:t>
      </w:r>
      <w:r>
        <w:rPr>
          <w:lang w:val="en-US"/>
        </w:rPr>
        <w:t xml:space="preserve">(0 (air), </w:t>
      </w:r>
      <w:r w:rsidR="007D3E3E" w:rsidRPr="007D3E3E">
        <w:rPr>
          <w:szCs w:val="24"/>
        </w:rPr>
        <w:t>0.00052, 0.0015, 0.0039, 0.012, or 0.035 mg/L/day</w:t>
      </w:r>
      <w:r>
        <w:t>)</w:t>
      </w:r>
      <w:r w:rsidRPr="004B7EF4">
        <w:rPr>
          <w:lang w:val="en-US"/>
        </w:rPr>
        <w:t xml:space="preserve"> MeCF (</w:t>
      </w:r>
      <w:r>
        <w:rPr>
          <w:lang w:val="en-US"/>
        </w:rPr>
        <w:t>vapor, measured</w:t>
      </w:r>
      <w:r w:rsidRPr="004B7EF4">
        <w:rPr>
          <w:lang w:val="en-US"/>
        </w:rPr>
        <w:t xml:space="preserve"> concentrations) for </w:t>
      </w:r>
      <w:r>
        <w:rPr>
          <w:lang w:val="en-US"/>
        </w:rPr>
        <w:t xml:space="preserve">6 hours/day, </w:t>
      </w:r>
      <w:r w:rsidRPr="004B7EF4">
        <w:rPr>
          <w:lang w:val="en-US"/>
        </w:rPr>
        <w:t>5 days</w:t>
      </w:r>
      <w:r>
        <w:rPr>
          <w:lang w:val="en-US"/>
        </w:rPr>
        <w:t>/</w:t>
      </w:r>
      <w:r w:rsidRPr="004B7EF4">
        <w:rPr>
          <w:lang w:val="en-US"/>
        </w:rPr>
        <w:t xml:space="preserve">week for </w:t>
      </w:r>
      <w:r>
        <w:rPr>
          <w:lang w:val="en-US"/>
        </w:rPr>
        <w:t>28 days</w:t>
      </w:r>
      <w:r w:rsidRPr="004B7EF4">
        <w:rPr>
          <w:lang w:val="en-US"/>
        </w:rPr>
        <w:t xml:space="preserve"> (HRC</w:t>
      </w:r>
      <w:r>
        <w:rPr>
          <w:lang w:val="en-US"/>
        </w:rPr>
        <w:t>,</w:t>
      </w:r>
      <w:r w:rsidRPr="004B7EF4">
        <w:rPr>
          <w:lang w:val="en-US"/>
        </w:rPr>
        <w:t xml:space="preserve"> 1992).  No effects were observed at concentrations up to 1.48 mg/m³.  At 3.94 mg/m³</w:t>
      </w:r>
      <w:r>
        <w:rPr>
          <w:lang w:val="en-US"/>
        </w:rPr>
        <w:t>,</w:t>
      </w:r>
      <w:r w:rsidRPr="004B7EF4">
        <w:rPr>
          <w:lang w:val="en-US"/>
        </w:rPr>
        <w:t xml:space="preserve"> </w:t>
      </w:r>
      <w:r>
        <w:rPr>
          <w:lang w:val="en-US"/>
        </w:rPr>
        <w:t xml:space="preserve">minimal </w:t>
      </w:r>
      <w:r w:rsidRPr="004B7EF4">
        <w:rPr>
          <w:lang w:val="en-US"/>
        </w:rPr>
        <w:t xml:space="preserve">localized squamous metaplasia of </w:t>
      </w:r>
      <w:r>
        <w:rPr>
          <w:lang w:val="en-US"/>
        </w:rPr>
        <w:t xml:space="preserve">the </w:t>
      </w:r>
      <w:r w:rsidRPr="004B7EF4">
        <w:rPr>
          <w:lang w:val="en-US"/>
        </w:rPr>
        <w:t>laryngeal arytenoid process epithelia was not</w:t>
      </w:r>
      <w:r>
        <w:rPr>
          <w:lang w:val="en-US"/>
        </w:rPr>
        <w:t xml:space="preserve">ed in 1/5 males. As there was </w:t>
      </w:r>
      <w:r w:rsidRPr="004B7EF4">
        <w:rPr>
          <w:lang w:val="en-US"/>
        </w:rPr>
        <w:t xml:space="preserve">local squamous metaplasia of laryngeal arytenoid process epithelia also noted in 1/5 females in the control group, this observation </w:t>
      </w:r>
      <w:r>
        <w:rPr>
          <w:lang w:val="en-US"/>
        </w:rPr>
        <w:t>was not</w:t>
      </w:r>
      <w:r w:rsidRPr="004B7EF4">
        <w:rPr>
          <w:lang w:val="en-US"/>
        </w:rPr>
        <w:t xml:space="preserve"> considered </w:t>
      </w:r>
      <w:r>
        <w:rPr>
          <w:lang w:val="en-US"/>
        </w:rPr>
        <w:t>treatment-related</w:t>
      </w:r>
      <w:r w:rsidRPr="004B7EF4">
        <w:rPr>
          <w:lang w:val="en-US"/>
        </w:rPr>
        <w:t xml:space="preserve">. Clear substance related effects were observed at higher concentrations. </w:t>
      </w:r>
      <w:r>
        <w:rPr>
          <w:lang w:val="en-US"/>
        </w:rPr>
        <w:t>At 12.14 mg/m</w:t>
      </w:r>
      <w:r w:rsidRPr="004B7EF4">
        <w:rPr>
          <w:lang w:val="en-US"/>
        </w:rPr>
        <w:t>³</w:t>
      </w:r>
      <w:r>
        <w:rPr>
          <w:lang w:val="en-US"/>
        </w:rPr>
        <w:t>, o</w:t>
      </w:r>
      <w:r w:rsidRPr="004B7EF4">
        <w:rPr>
          <w:lang w:val="en-US"/>
        </w:rPr>
        <w:t xml:space="preserve">ne male rat had noisy nasal breathing for 4 days during week 2 of exposure. Minor, localized squamous metaplasia of </w:t>
      </w:r>
      <w:r>
        <w:rPr>
          <w:lang w:val="en-US"/>
        </w:rPr>
        <w:t xml:space="preserve">the </w:t>
      </w:r>
      <w:r w:rsidRPr="004B7EF4">
        <w:rPr>
          <w:lang w:val="en-US"/>
        </w:rPr>
        <w:t>laryngeal arytenoid process epithelia was noted in 2/5 males and 1/5 females at 12.14 mg/m³. One female had exudative sinusitis. Two males and 1 female exposed to 34.46 mg/m³ died during the final week of exposure. Clinical signs observed during exposure included blinking, hunched posture</w:t>
      </w:r>
      <w:r>
        <w:rPr>
          <w:lang w:val="en-US"/>
        </w:rPr>
        <w:t>,</w:t>
      </w:r>
      <w:r w:rsidRPr="004B7EF4">
        <w:rPr>
          <w:lang w:val="en-US"/>
        </w:rPr>
        <w:t xml:space="preserve"> and rapid breathing. Rats </w:t>
      </w:r>
      <w:r>
        <w:rPr>
          <w:lang w:val="en-US"/>
        </w:rPr>
        <w:t>exposed to 0.035 mg/L</w:t>
      </w:r>
      <w:r w:rsidRPr="004B7EF4">
        <w:rPr>
          <w:lang w:val="en-US"/>
        </w:rPr>
        <w:t xml:space="preserve"> </w:t>
      </w:r>
      <w:r>
        <w:rPr>
          <w:lang w:val="en-US"/>
        </w:rPr>
        <w:t xml:space="preserve">were noted to have </w:t>
      </w:r>
      <w:r w:rsidRPr="004B7EF4">
        <w:rPr>
          <w:lang w:val="en-US"/>
        </w:rPr>
        <w:t>noisy</w:t>
      </w:r>
      <w:r>
        <w:rPr>
          <w:lang w:val="en-US"/>
        </w:rPr>
        <w:t xml:space="preserve"> </w:t>
      </w:r>
      <w:r w:rsidRPr="004B7EF4">
        <w:rPr>
          <w:lang w:val="en-US"/>
        </w:rPr>
        <w:t>breathing between exposures</w:t>
      </w:r>
      <w:r>
        <w:rPr>
          <w:lang w:val="en-US"/>
        </w:rPr>
        <w:t xml:space="preserve"> and </w:t>
      </w:r>
      <w:proofErr w:type="gramStart"/>
      <w:r>
        <w:rPr>
          <w:lang w:val="en-US"/>
        </w:rPr>
        <w:t xml:space="preserve">those </w:t>
      </w:r>
      <w:r w:rsidRPr="004B7EF4">
        <w:rPr>
          <w:lang w:val="en-US"/>
        </w:rPr>
        <w:t xml:space="preserve"> surviving</w:t>
      </w:r>
      <w:proofErr w:type="gramEnd"/>
      <w:r w:rsidRPr="004B7EF4">
        <w:rPr>
          <w:lang w:val="en-US"/>
        </w:rPr>
        <w:t xml:space="preserve"> to study termination </w:t>
      </w:r>
      <w:r>
        <w:rPr>
          <w:lang w:val="en-US"/>
        </w:rPr>
        <w:t xml:space="preserve">were noted to </w:t>
      </w:r>
      <w:r w:rsidRPr="004B7EF4">
        <w:rPr>
          <w:lang w:val="en-US"/>
        </w:rPr>
        <w:t>ha</w:t>
      </w:r>
      <w:r>
        <w:rPr>
          <w:lang w:val="en-US"/>
        </w:rPr>
        <w:t>ve</w:t>
      </w:r>
      <w:r w:rsidRPr="004B7EF4">
        <w:rPr>
          <w:lang w:val="en-US"/>
        </w:rPr>
        <w:t xml:space="preserve"> a rapid breathing pattern. Males and females </w:t>
      </w:r>
      <w:r>
        <w:rPr>
          <w:lang w:val="en-US"/>
        </w:rPr>
        <w:t xml:space="preserve">from the highest exposure group </w:t>
      </w:r>
      <w:r w:rsidRPr="004B7EF4">
        <w:rPr>
          <w:lang w:val="en-US"/>
        </w:rPr>
        <w:t xml:space="preserve">had reduced </w:t>
      </w:r>
      <w:r>
        <w:rPr>
          <w:lang w:val="en-US"/>
        </w:rPr>
        <w:t xml:space="preserve">body </w:t>
      </w:r>
      <w:r w:rsidRPr="004B7EF4">
        <w:rPr>
          <w:lang w:val="en-US"/>
        </w:rPr>
        <w:t xml:space="preserve">weight gain for the first 2 weeks of exposure.  A marked reduction in food consumption </w:t>
      </w:r>
      <w:r>
        <w:rPr>
          <w:lang w:val="en-US"/>
        </w:rPr>
        <w:t xml:space="preserve">was noted for this group </w:t>
      </w:r>
      <w:r w:rsidRPr="004B7EF4">
        <w:rPr>
          <w:lang w:val="en-US"/>
        </w:rPr>
        <w:t xml:space="preserve">during the first 2 weeks of exposure. </w:t>
      </w:r>
      <w:r>
        <w:rPr>
          <w:lang w:val="en-US"/>
        </w:rPr>
        <w:t xml:space="preserve"> </w:t>
      </w:r>
      <w:r w:rsidRPr="004B7EF4">
        <w:rPr>
          <w:lang w:val="en-US"/>
        </w:rPr>
        <w:t>Results of hematological studies showed changes in packed cell volume, hemoglobin concentration, cell type distribution</w:t>
      </w:r>
      <w:r>
        <w:rPr>
          <w:lang w:val="en-US"/>
        </w:rPr>
        <w:t>,</w:t>
      </w:r>
      <w:r w:rsidRPr="004B7EF4">
        <w:rPr>
          <w:lang w:val="en-US"/>
        </w:rPr>
        <w:t xml:space="preserve"> and cell numbers</w:t>
      </w:r>
      <w:r>
        <w:rPr>
          <w:lang w:val="en-US"/>
        </w:rPr>
        <w:t xml:space="preserve"> for the 0.035 mg/L group</w:t>
      </w:r>
      <w:r w:rsidRPr="004B7EF4">
        <w:rPr>
          <w:lang w:val="en-US"/>
        </w:rPr>
        <w:t xml:space="preserve">. </w:t>
      </w:r>
      <w:r>
        <w:rPr>
          <w:lang w:val="en-US"/>
        </w:rPr>
        <w:t>Additionally, c</w:t>
      </w:r>
      <w:r w:rsidRPr="004B7EF4">
        <w:rPr>
          <w:lang w:val="en-US"/>
        </w:rPr>
        <w:t>hanges in blood protein levels and cholesterol were noted</w:t>
      </w:r>
      <w:r>
        <w:rPr>
          <w:lang w:val="en-US"/>
        </w:rPr>
        <w:t xml:space="preserve"> for this exposure group</w:t>
      </w:r>
      <w:r w:rsidRPr="004B7EF4">
        <w:rPr>
          <w:lang w:val="en-US"/>
        </w:rPr>
        <w:t xml:space="preserve">.  The following </w:t>
      </w:r>
      <w:r>
        <w:rPr>
          <w:lang w:val="en-US"/>
        </w:rPr>
        <w:t xml:space="preserve">gross </w:t>
      </w:r>
      <w:r w:rsidRPr="004B7EF4">
        <w:rPr>
          <w:lang w:val="en-US"/>
        </w:rPr>
        <w:t>pathologica</w:t>
      </w:r>
      <w:r>
        <w:rPr>
          <w:lang w:val="en-US"/>
        </w:rPr>
        <w:t>l changes were seen in rats sacrific</w:t>
      </w:r>
      <w:r w:rsidRPr="004B7EF4">
        <w:rPr>
          <w:lang w:val="en-US"/>
        </w:rPr>
        <w:t>ed after 4 weeks of exposure</w:t>
      </w:r>
      <w:r>
        <w:rPr>
          <w:lang w:val="en-US"/>
        </w:rPr>
        <w:t xml:space="preserve"> to 0.035 mg/L</w:t>
      </w:r>
      <w:r w:rsidRPr="004B7EF4">
        <w:rPr>
          <w:lang w:val="en-US"/>
        </w:rPr>
        <w:t xml:space="preserve">: </w:t>
      </w:r>
      <w:r w:rsidRPr="0065676A">
        <w:rPr>
          <w:lang w:val="en-US"/>
        </w:rPr>
        <w:t>lungs that did not</w:t>
      </w:r>
      <w:r w:rsidRPr="004B7EF4">
        <w:rPr>
          <w:lang w:val="en-US"/>
        </w:rPr>
        <w:t xml:space="preserve"> collapse upon opening of the thoracic cavity (3/3 males and 4/4 females), congestion of the lungs (1/3 males and 1/4 females), enlarged mediastinal lymph nodes (3/3 males and 3/4 females), and enlarged tracheobronchial lymph nodes (3/3 males and 3/4 females). Similar findings were seen in the animals that died before study termination. Lung weights of males and females and adrenal weights of males were increased</w:t>
      </w:r>
      <w:r>
        <w:rPr>
          <w:lang w:val="en-US"/>
        </w:rPr>
        <w:t xml:space="preserve"> for the highest exposure group</w:t>
      </w:r>
      <w:r w:rsidRPr="004B7EF4">
        <w:rPr>
          <w:lang w:val="en-US"/>
        </w:rPr>
        <w:t xml:space="preserve">. Microscopic examinations </w:t>
      </w:r>
      <w:r>
        <w:rPr>
          <w:lang w:val="en-US"/>
        </w:rPr>
        <w:t xml:space="preserve">of rats from the 0.035 mg/L group </w:t>
      </w:r>
      <w:r w:rsidRPr="004B7EF4">
        <w:rPr>
          <w:lang w:val="en-US"/>
        </w:rPr>
        <w:t>revealed exudative sinusitis in the nasal turbinates of 4/5 males and 5/5 females (but no evidence of degenerative or erosive lesions); localized areas of minimal squamous metaplasia of the epithelia overlying the arytenoid processes of the larynx in 3/5 males and 4/5 females (with occasional areas of ventral epithelial erosion and inflammation in some rats); localized squamous metaplasia of the ventral epithelia of the larynx in 3/5 females; minimal inflammatory changes with some minimal epithelial hyperplasia in the trachea (1/5 males); minimal to marked areas of pneu</w:t>
      </w:r>
      <w:r>
        <w:rPr>
          <w:lang w:val="en-US"/>
        </w:rPr>
        <w:t>monitis in the lungs with intra</w:t>
      </w:r>
      <w:r w:rsidRPr="004B7EF4">
        <w:rPr>
          <w:lang w:val="en-US"/>
        </w:rPr>
        <w:t>alveolar</w:t>
      </w:r>
      <w:r>
        <w:rPr>
          <w:lang w:val="en-US"/>
        </w:rPr>
        <w:t xml:space="preserve"> </w:t>
      </w:r>
      <w:r w:rsidRPr="004B7EF4">
        <w:rPr>
          <w:lang w:val="en-US"/>
        </w:rPr>
        <w:t>exudation and aggregation of alveolar macrophages (all males and females); bro</w:t>
      </w:r>
      <w:r>
        <w:rPr>
          <w:lang w:val="en-US"/>
        </w:rPr>
        <w:t>n</w:t>
      </w:r>
      <w:r w:rsidRPr="004B7EF4">
        <w:rPr>
          <w:lang w:val="en-US"/>
        </w:rPr>
        <w:t xml:space="preserve">chiolitis (number of animals was not stated); squamous metaplasia of terminal bronchiolar epithelia with occasional focal </w:t>
      </w:r>
      <w:r w:rsidRPr="004C2CEE">
        <w:rPr>
          <w:lang w:val="en-US"/>
        </w:rPr>
        <w:t>necrosis, edema and congestion (number of animals was not stated); and granulomatous lesions (1 female).</w:t>
      </w:r>
      <w:r w:rsidRPr="002A6FDD">
        <w:rPr>
          <w:lang w:val="en-US"/>
        </w:rPr>
        <w:t xml:space="preserve">  </w:t>
      </w:r>
      <w:r w:rsidR="007D3E3E" w:rsidRPr="007D3E3E">
        <w:rPr>
          <w:szCs w:val="24"/>
          <w:lang w:val="en-US"/>
        </w:rPr>
        <w:t>Based on no treatment-related effects to the respiratory tract, the local 28-day NOAEC for MeCF was 3.94 mg/m</w:t>
      </w:r>
      <w:r w:rsidR="007D3E3E" w:rsidRPr="007D3E3E">
        <w:rPr>
          <w:szCs w:val="24"/>
          <w:vertAlign w:val="superscript"/>
          <w:lang w:val="en-US"/>
        </w:rPr>
        <w:t>3</w:t>
      </w:r>
      <w:r w:rsidR="007D3E3E" w:rsidRPr="007D3E3E">
        <w:rPr>
          <w:szCs w:val="24"/>
          <w:lang w:val="en-US"/>
        </w:rPr>
        <w:t>/day</w:t>
      </w:r>
      <w:r>
        <w:rPr>
          <w:lang w:val="en-US"/>
        </w:rPr>
        <w:t xml:space="preserve"> (0.0039 mg/L/day)</w:t>
      </w:r>
      <w:r w:rsidR="007D3E3E" w:rsidRPr="007D3E3E">
        <w:rPr>
          <w:szCs w:val="24"/>
          <w:lang w:val="en-US"/>
        </w:rPr>
        <w:t xml:space="preserve">; based on </w:t>
      </w:r>
      <w:r w:rsidRPr="00FC3387">
        <w:rPr>
          <w:lang w:val="en-US"/>
        </w:rPr>
        <w:t>mortality</w:t>
      </w:r>
      <w:r>
        <w:rPr>
          <w:lang w:val="en-US"/>
        </w:rPr>
        <w:t xml:space="preserve">, </w:t>
      </w:r>
      <w:r w:rsidR="007D3E3E" w:rsidRPr="007D3E3E">
        <w:rPr>
          <w:szCs w:val="24"/>
          <w:lang w:val="en-US"/>
        </w:rPr>
        <w:t>decreased body weight and food consumption and changes in hematological/clinical chemistry parameters at 34.46 mg/m</w:t>
      </w:r>
      <w:r w:rsidR="007D3E3E" w:rsidRPr="007D3E3E">
        <w:rPr>
          <w:szCs w:val="24"/>
          <w:vertAlign w:val="superscript"/>
          <w:lang w:val="en-US"/>
        </w:rPr>
        <w:t>3</w:t>
      </w:r>
      <w:r w:rsidR="007D3E3E" w:rsidRPr="007D3E3E">
        <w:rPr>
          <w:szCs w:val="24"/>
          <w:lang w:val="en-US"/>
        </w:rPr>
        <w:t>/day</w:t>
      </w:r>
      <w:r>
        <w:rPr>
          <w:lang w:val="en-US"/>
        </w:rPr>
        <w:t xml:space="preserve"> (0.035 mg/L/day)</w:t>
      </w:r>
      <w:r w:rsidR="007D3E3E" w:rsidRPr="007D3E3E">
        <w:rPr>
          <w:szCs w:val="24"/>
          <w:lang w:val="en-US"/>
        </w:rPr>
        <w:t>, the systemic 28-day NOAEC for MeCF was 12.14 mg/m</w:t>
      </w:r>
      <w:r w:rsidR="007D3E3E" w:rsidRPr="007D3E3E">
        <w:rPr>
          <w:szCs w:val="24"/>
          <w:vertAlign w:val="superscript"/>
          <w:lang w:val="en-US"/>
        </w:rPr>
        <w:t>3</w:t>
      </w:r>
      <w:r w:rsidR="007D3E3E" w:rsidRPr="007D3E3E">
        <w:rPr>
          <w:szCs w:val="24"/>
          <w:lang w:val="en-US"/>
        </w:rPr>
        <w:t>/day</w:t>
      </w:r>
      <w:r>
        <w:rPr>
          <w:lang w:val="en-US"/>
        </w:rPr>
        <w:t xml:space="preserve"> (0.012 mg/L/day)</w:t>
      </w:r>
      <w:r w:rsidR="007D3E3E" w:rsidRPr="007D3E3E">
        <w:rPr>
          <w:szCs w:val="24"/>
          <w:lang w:val="en-US"/>
        </w:rPr>
        <w:t>.</w:t>
      </w:r>
    </w:p>
    <w:p w:rsidR="001D41E2" w:rsidRPr="004B7EF4" w:rsidRDefault="001D41E2" w:rsidP="009C4680">
      <w:pPr>
        <w:pStyle w:val="BodyText"/>
        <w:spacing w:after="240"/>
        <w:rPr>
          <w:lang w:val="en-US"/>
        </w:rPr>
      </w:pPr>
      <w:r>
        <w:rPr>
          <w:lang w:val="en-US"/>
        </w:rPr>
        <w:t xml:space="preserve">In a </w:t>
      </w:r>
      <w:r w:rsidRPr="004B7EF4">
        <w:rPr>
          <w:lang w:val="en-US"/>
        </w:rPr>
        <w:t>90</w:t>
      </w:r>
      <w:r>
        <w:rPr>
          <w:lang w:val="en-US"/>
        </w:rPr>
        <w:t>-</w:t>
      </w:r>
      <w:r w:rsidRPr="004B7EF4">
        <w:rPr>
          <w:lang w:val="en-US"/>
        </w:rPr>
        <w:t xml:space="preserve">day inhalation study </w:t>
      </w:r>
      <w:r>
        <w:rPr>
          <w:lang w:val="en-US"/>
        </w:rPr>
        <w:t>(OECD TG 413 but without hematology or clinical chemistry</w:t>
      </w:r>
      <w:r w:rsidR="00C70D8D">
        <w:rPr>
          <w:lang w:val="en-US"/>
        </w:rPr>
        <w:t xml:space="preserve"> evaluation</w:t>
      </w:r>
      <w:r>
        <w:rPr>
          <w:lang w:val="en-US"/>
        </w:rPr>
        <w:t xml:space="preserve"> and </w:t>
      </w:r>
      <w:r w:rsidRPr="004B7EF4">
        <w:rPr>
          <w:lang w:val="en-US"/>
        </w:rPr>
        <w:t>focus</w:t>
      </w:r>
      <w:r>
        <w:rPr>
          <w:lang w:val="en-US"/>
        </w:rPr>
        <w:t>ing</w:t>
      </w:r>
      <w:r w:rsidRPr="004B7EF4">
        <w:rPr>
          <w:lang w:val="en-US"/>
        </w:rPr>
        <w:t xml:space="preserve"> on respiratory tract irritation</w:t>
      </w:r>
      <w:r>
        <w:rPr>
          <w:lang w:val="en-US"/>
        </w:rPr>
        <w:t>),</w:t>
      </w:r>
      <w:r w:rsidRPr="004B7EF4">
        <w:rPr>
          <w:lang w:val="en-US"/>
        </w:rPr>
        <w:t xml:space="preserve"> </w:t>
      </w:r>
      <w:r>
        <w:rPr>
          <w:lang w:val="en-US"/>
        </w:rPr>
        <w:t xml:space="preserve">MeCF was administered via inhalation by whole body exposure to </w:t>
      </w:r>
      <w:r w:rsidRPr="004B7EF4">
        <w:rPr>
          <w:lang w:val="en-US"/>
        </w:rPr>
        <w:t xml:space="preserve">Wistar rats </w:t>
      </w:r>
      <w:r>
        <w:rPr>
          <w:lang w:val="en-US"/>
        </w:rPr>
        <w:t>(10/sex/</w:t>
      </w:r>
      <w:r w:rsidRPr="004C2CEE">
        <w:rPr>
          <w:lang w:val="en-US"/>
        </w:rPr>
        <w:t xml:space="preserve">concentration) at </w:t>
      </w:r>
      <w:r w:rsidRPr="009C5355">
        <w:rPr>
          <w:lang w:val="en-US"/>
        </w:rPr>
        <w:t xml:space="preserve">0 (air), 0.4, 2, 4 or 8 ppm (1.6, 7.8, 15.7, or 30.7 mg/m³/day </w:t>
      </w:r>
      <w:r w:rsidR="00C70D8D">
        <w:rPr>
          <w:lang w:val="en-US"/>
        </w:rPr>
        <w:t>(</w:t>
      </w:r>
      <w:r w:rsidR="007D3E3E" w:rsidRPr="007D3E3E">
        <w:t>0 (air)</w:t>
      </w:r>
      <w:r w:rsidR="00C70D8D">
        <w:t>,</w:t>
      </w:r>
      <w:r w:rsidR="007D3E3E" w:rsidRPr="007D3E3E">
        <w:t xml:space="preserve"> 0.0016, 0.0078, 0.0157, or 0.0307 mg/L/day</w:t>
      </w:r>
      <w:r>
        <w:t>),</w:t>
      </w:r>
      <w:r w:rsidRPr="004B7EF4">
        <w:rPr>
          <w:lang w:val="en-US"/>
        </w:rPr>
        <w:t xml:space="preserve"> </w:t>
      </w:r>
      <w:r>
        <w:rPr>
          <w:lang w:val="en-US"/>
        </w:rPr>
        <w:t>for 6 hours/</w:t>
      </w:r>
      <w:r w:rsidRPr="004B7EF4">
        <w:rPr>
          <w:lang w:val="en-US"/>
        </w:rPr>
        <w:t>day</w:t>
      </w:r>
      <w:r>
        <w:rPr>
          <w:lang w:val="en-US"/>
        </w:rPr>
        <w:t>, 5 days/week</w:t>
      </w:r>
      <w:r w:rsidRPr="004B7EF4">
        <w:rPr>
          <w:lang w:val="en-US"/>
        </w:rPr>
        <w:t xml:space="preserve"> for 3, 10, 20</w:t>
      </w:r>
      <w:r>
        <w:rPr>
          <w:lang w:val="en-US"/>
        </w:rPr>
        <w:t>,</w:t>
      </w:r>
      <w:r w:rsidRPr="004B7EF4">
        <w:rPr>
          <w:lang w:val="en-US"/>
        </w:rPr>
        <w:t xml:space="preserve"> and 65 exposures (90-day study with interim necropsies after 3, 14 and 28 study days)</w:t>
      </w:r>
      <w:r>
        <w:rPr>
          <w:lang w:val="en-US"/>
        </w:rPr>
        <w:t xml:space="preserve"> </w:t>
      </w:r>
      <w:r w:rsidRPr="004B7EF4">
        <w:rPr>
          <w:lang w:val="en-US"/>
        </w:rPr>
        <w:t>(BASF</w:t>
      </w:r>
      <w:r>
        <w:rPr>
          <w:lang w:val="en-US"/>
        </w:rPr>
        <w:t xml:space="preserve"> AG,</w:t>
      </w:r>
      <w:r w:rsidRPr="004B7EF4">
        <w:rPr>
          <w:lang w:val="en-US"/>
        </w:rPr>
        <w:t xml:space="preserve"> 1999c</w:t>
      </w:r>
      <w:r>
        <w:rPr>
          <w:lang w:val="en-US"/>
        </w:rPr>
        <w:t>)</w:t>
      </w:r>
      <w:r w:rsidRPr="004B7EF4">
        <w:rPr>
          <w:lang w:val="en-US"/>
        </w:rPr>
        <w:t xml:space="preserve">. All organs were macroscopically examined and preserved. Weights of selected organs and body weights were reported. </w:t>
      </w:r>
      <w:r>
        <w:rPr>
          <w:lang w:val="en-US"/>
        </w:rPr>
        <w:t xml:space="preserve"> Ex</w:t>
      </w:r>
      <w:r w:rsidRPr="004B7EF4">
        <w:rPr>
          <w:lang w:val="en-US"/>
        </w:rPr>
        <w:t xml:space="preserve">tensive histology including a cell proliferation study was performed on the respiratory tract only. </w:t>
      </w:r>
      <w:r>
        <w:rPr>
          <w:lang w:val="en-US"/>
        </w:rPr>
        <w:t>Four of 10</w:t>
      </w:r>
      <w:r w:rsidRPr="004B7EF4">
        <w:rPr>
          <w:lang w:val="en-US"/>
        </w:rPr>
        <w:t xml:space="preserve"> male animals from the 8 ppm group with 65 exposures died. Clinical signs of respiratory tract irritation were observe</w:t>
      </w:r>
      <w:r>
        <w:rPr>
          <w:lang w:val="en-US"/>
        </w:rPr>
        <w:t>d</w:t>
      </w:r>
      <w:r w:rsidRPr="004B7EF4">
        <w:rPr>
          <w:lang w:val="en-US"/>
        </w:rPr>
        <w:t xml:space="preserve"> in this group. Significant body weight loss was recorded in males in the 4 and 8 ppm exposure group</w:t>
      </w:r>
      <w:r>
        <w:rPr>
          <w:lang w:val="en-US"/>
        </w:rPr>
        <w:t>s</w:t>
      </w:r>
      <w:r w:rsidRPr="004B7EF4">
        <w:rPr>
          <w:lang w:val="en-US"/>
        </w:rPr>
        <w:t xml:space="preserve">. Inhalation of MeCF caused </w:t>
      </w:r>
      <w:r>
        <w:rPr>
          <w:lang w:val="en-US"/>
        </w:rPr>
        <w:t xml:space="preserve">increased DNA replication </w:t>
      </w:r>
      <w:r w:rsidRPr="004B7EF4">
        <w:rPr>
          <w:lang w:val="en-US"/>
        </w:rPr>
        <w:t xml:space="preserve">in respiratory and transitional epithelium of the nose, ciliated </w:t>
      </w:r>
      <w:r>
        <w:rPr>
          <w:lang w:val="en-US"/>
        </w:rPr>
        <w:t xml:space="preserve">and/or squamous </w:t>
      </w:r>
      <w:r w:rsidRPr="004B7EF4">
        <w:rPr>
          <w:lang w:val="en-US"/>
        </w:rPr>
        <w:t xml:space="preserve">epithelium in the larynx and </w:t>
      </w:r>
      <w:r>
        <w:rPr>
          <w:lang w:val="en-US"/>
        </w:rPr>
        <w:t>cuboidal epithelium. H</w:t>
      </w:r>
      <w:r w:rsidRPr="004B7EF4">
        <w:rPr>
          <w:lang w:val="en-US"/>
        </w:rPr>
        <w:t xml:space="preserve">yperplasia and metaplasia of </w:t>
      </w:r>
      <w:r>
        <w:rPr>
          <w:lang w:val="en-US"/>
        </w:rPr>
        <w:t xml:space="preserve">the </w:t>
      </w:r>
      <w:r w:rsidRPr="004B7EF4">
        <w:rPr>
          <w:lang w:val="en-US"/>
        </w:rPr>
        <w:t>epithelia w</w:t>
      </w:r>
      <w:r>
        <w:rPr>
          <w:lang w:val="en-US"/>
        </w:rPr>
        <w:t>ere</w:t>
      </w:r>
      <w:r w:rsidRPr="004B7EF4">
        <w:rPr>
          <w:lang w:val="en-US"/>
        </w:rPr>
        <w:t xml:space="preserve"> </w:t>
      </w:r>
      <w:r>
        <w:rPr>
          <w:lang w:val="en-US"/>
        </w:rPr>
        <w:t xml:space="preserve">noted for animals exposed to </w:t>
      </w:r>
      <w:r w:rsidRPr="004B7EF4">
        <w:rPr>
          <w:lang w:val="en-US"/>
        </w:rPr>
        <w:t xml:space="preserve">2, 4, </w:t>
      </w:r>
      <w:r>
        <w:rPr>
          <w:lang w:val="en-US"/>
        </w:rPr>
        <w:t xml:space="preserve">and </w:t>
      </w:r>
      <w:r w:rsidRPr="004B7EF4">
        <w:rPr>
          <w:lang w:val="en-US"/>
        </w:rPr>
        <w:t>8 ppm</w:t>
      </w:r>
      <w:r w:rsidRPr="00E7507B">
        <w:rPr>
          <w:lang w:val="en-US"/>
        </w:rPr>
        <w:t>.</w:t>
      </w:r>
      <w:r w:rsidRPr="004B7EF4">
        <w:rPr>
          <w:lang w:val="en-US"/>
        </w:rPr>
        <w:t xml:space="preserve"> Location, incidence</w:t>
      </w:r>
      <w:r>
        <w:rPr>
          <w:lang w:val="en-US"/>
        </w:rPr>
        <w:t>,</w:t>
      </w:r>
      <w:r w:rsidRPr="004B7EF4">
        <w:rPr>
          <w:lang w:val="en-US"/>
        </w:rPr>
        <w:t xml:space="preserve"> and severity of lesions showed a concentration-time-response relationship mainly driven by the concentration and not the "cumulative dose". No substance related clinical and pathological </w:t>
      </w:r>
      <w:r w:rsidRPr="004C2CEE">
        <w:rPr>
          <w:lang w:val="en-US"/>
        </w:rPr>
        <w:t>alterations and no changes in DNA-replication could be detected at 0.4 ppm</w:t>
      </w:r>
      <w:r w:rsidRPr="002A6FDD">
        <w:rPr>
          <w:lang w:val="en-US"/>
        </w:rPr>
        <w:t xml:space="preserve">.  </w:t>
      </w:r>
      <w:r w:rsidR="007D3E3E" w:rsidRPr="007D3E3E">
        <w:t>Based on substance-related pathological alterations and changes in DNA-replication in the respiratory tract at 7.8 mg/m</w:t>
      </w:r>
      <w:r w:rsidR="007D3E3E" w:rsidRPr="007D3E3E">
        <w:rPr>
          <w:vertAlign w:val="superscript"/>
        </w:rPr>
        <w:t>3</w:t>
      </w:r>
      <w:r w:rsidR="007D3E3E" w:rsidRPr="007D3E3E">
        <w:t xml:space="preserve">/day </w:t>
      </w:r>
      <w:r>
        <w:rPr>
          <w:lang w:val="en-US"/>
        </w:rPr>
        <w:t xml:space="preserve">(0.0078 mg/L/day) </w:t>
      </w:r>
      <w:r w:rsidR="007D3E3E" w:rsidRPr="007D3E3E">
        <w:t>and above, the local 90-day NOAEC for MeCF was 1.6 mg/m</w:t>
      </w:r>
      <w:r w:rsidR="007D3E3E" w:rsidRPr="007D3E3E">
        <w:rPr>
          <w:vertAlign w:val="superscript"/>
        </w:rPr>
        <w:t>3</w:t>
      </w:r>
      <w:r w:rsidR="007D3E3E" w:rsidRPr="007D3E3E">
        <w:t>/day</w:t>
      </w:r>
      <w:r>
        <w:rPr>
          <w:lang w:val="en-US"/>
        </w:rPr>
        <w:t xml:space="preserve"> (0.0016 mg/L/day)</w:t>
      </w:r>
      <w:r w:rsidR="007D3E3E" w:rsidRPr="007D3E3E">
        <w:t>; based on significant weight loss at 15.7  mg/m</w:t>
      </w:r>
      <w:r w:rsidR="007D3E3E" w:rsidRPr="007D3E3E">
        <w:rPr>
          <w:vertAlign w:val="superscript"/>
        </w:rPr>
        <w:t>3</w:t>
      </w:r>
      <w:r w:rsidR="007D3E3E" w:rsidRPr="007D3E3E">
        <w:t>/day</w:t>
      </w:r>
      <w:r>
        <w:rPr>
          <w:lang w:val="en-US"/>
        </w:rPr>
        <w:t xml:space="preserve"> (0.0157 mg/L/day)</w:t>
      </w:r>
      <w:r w:rsidR="007D3E3E" w:rsidRPr="007D3E3E">
        <w:t>, the systemic 90-day NOAEC for MeCF was 7.8 mg/m</w:t>
      </w:r>
      <w:r w:rsidR="007D3E3E" w:rsidRPr="007D3E3E">
        <w:rPr>
          <w:vertAlign w:val="superscript"/>
        </w:rPr>
        <w:t>3</w:t>
      </w:r>
      <w:r w:rsidR="007D3E3E" w:rsidRPr="007D3E3E">
        <w:t>/day</w:t>
      </w:r>
      <w:r>
        <w:rPr>
          <w:lang w:val="en-US"/>
        </w:rPr>
        <w:t xml:space="preserve"> (0.0078 mg/L/day)</w:t>
      </w:r>
      <w:r w:rsidR="007D3E3E" w:rsidRPr="007D3E3E">
        <w:t>.</w:t>
      </w:r>
      <w:r w:rsidRPr="004B7EF4">
        <w:rPr>
          <w:lang w:val="en-US"/>
        </w:rPr>
        <w:t xml:space="preserve"> </w:t>
      </w:r>
    </w:p>
    <w:p w:rsidR="001D41E2" w:rsidRPr="004B7EF4" w:rsidRDefault="001D41E2" w:rsidP="009C4680">
      <w:pPr>
        <w:pStyle w:val="NormalWeb"/>
        <w:jc w:val="both"/>
        <w:rPr>
          <w:lang w:val="en-US" w:eastAsia="en-US"/>
        </w:rPr>
      </w:pPr>
      <w:r w:rsidRPr="004B7EF4">
        <w:rPr>
          <w:b/>
          <w:bCs/>
          <w:i/>
          <w:iCs/>
          <w:lang w:val="en-US"/>
        </w:rPr>
        <w:t>EtCF:</w:t>
      </w:r>
      <w:r w:rsidRPr="004B7EF4">
        <w:rPr>
          <w:lang w:val="en-US"/>
        </w:rPr>
        <w:t xml:space="preserve"> </w:t>
      </w:r>
      <w:r w:rsidRPr="004B7EF4">
        <w:rPr>
          <w:lang w:val="en-US" w:eastAsia="en-US"/>
        </w:rPr>
        <w:t>In a screening study with 109 chemicals</w:t>
      </w:r>
      <w:r>
        <w:rPr>
          <w:lang w:val="en-US" w:eastAsia="en-US"/>
        </w:rPr>
        <w:t xml:space="preserve"> (similar to OECD TG 412),</w:t>
      </w:r>
      <w:r w:rsidRPr="004B7EF4">
        <w:rPr>
          <w:lang w:val="en-US" w:eastAsia="en-US"/>
        </w:rPr>
        <w:t xml:space="preserve"> rats of an in</w:t>
      </w:r>
      <w:r>
        <w:rPr>
          <w:lang w:val="en-US" w:eastAsia="en-US"/>
        </w:rPr>
        <w:t>-</w:t>
      </w:r>
      <w:r w:rsidRPr="004B7EF4">
        <w:rPr>
          <w:lang w:val="en-US" w:eastAsia="en-US"/>
        </w:rPr>
        <w:t xml:space="preserve">house strain (Alderley </w:t>
      </w:r>
      <w:r>
        <w:rPr>
          <w:lang w:val="en-US" w:eastAsia="en-US"/>
        </w:rPr>
        <w:t>P</w:t>
      </w:r>
      <w:r w:rsidRPr="004B7EF4">
        <w:rPr>
          <w:lang w:val="en-US" w:eastAsia="en-US"/>
        </w:rPr>
        <w:t xml:space="preserve">ark, UK) </w:t>
      </w:r>
      <w:r>
        <w:rPr>
          <w:lang w:val="en-US" w:eastAsia="en-US"/>
        </w:rPr>
        <w:t xml:space="preserve">(4/sex/concentration) </w:t>
      </w:r>
      <w:r w:rsidRPr="004B7EF4">
        <w:rPr>
          <w:lang w:val="en-US" w:eastAsia="en-US"/>
        </w:rPr>
        <w:t xml:space="preserve">were exposed to 4.5, 22.6 </w:t>
      </w:r>
      <w:r w:rsidRPr="00634F39">
        <w:rPr>
          <w:lang w:val="en-US" w:eastAsia="en-US"/>
        </w:rPr>
        <w:t>or 90.2</w:t>
      </w:r>
      <w:r w:rsidRPr="004B7EF4">
        <w:rPr>
          <w:lang w:val="en-US" w:eastAsia="en-US"/>
        </w:rPr>
        <w:t xml:space="preserve"> mg/m³ EtCF</w:t>
      </w:r>
      <w:r>
        <w:rPr>
          <w:lang w:val="en-US" w:eastAsia="en-US"/>
        </w:rPr>
        <w:t xml:space="preserve"> </w:t>
      </w:r>
      <w:r w:rsidRPr="004B7EF4">
        <w:rPr>
          <w:lang w:val="en-US" w:eastAsia="en-US"/>
        </w:rPr>
        <w:t>(1</w:t>
      </w:r>
      <w:r>
        <w:rPr>
          <w:lang w:val="en-US" w:eastAsia="en-US"/>
        </w:rPr>
        <w:t>,</w:t>
      </w:r>
      <w:r w:rsidRPr="004B7EF4">
        <w:rPr>
          <w:lang w:val="en-US" w:eastAsia="en-US"/>
        </w:rPr>
        <w:t xml:space="preserve"> 5</w:t>
      </w:r>
      <w:r w:rsidRPr="00634F39">
        <w:rPr>
          <w:lang w:val="en-US" w:eastAsia="en-US"/>
        </w:rPr>
        <w:t>, or 20</w:t>
      </w:r>
      <w:r w:rsidRPr="004B7EF4">
        <w:rPr>
          <w:lang w:val="en-US" w:eastAsia="en-US"/>
        </w:rPr>
        <w:t xml:space="preserve"> ppm nominal)</w:t>
      </w:r>
      <w:r w:rsidRPr="00321590">
        <w:rPr>
          <w:lang w:val="en-US"/>
        </w:rPr>
        <w:t xml:space="preserve"> </w:t>
      </w:r>
      <w:r w:rsidRPr="004B7EF4">
        <w:rPr>
          <w:lang w:val="en-US"/>
        </w:rPr>
        <w:t>for 6 h/day</w:t>
      </w:r>
      <w:r>
        <w:rPr>
          <w:lang w:val="en-US"/>
        </w:rPr>
        <w:t>, 5 d/wk for</w:t>
      </w:r>
      <w:r w:rsidRPr="004B7EF4">
        <w:rPr>
          <w:lang w:val="en-US"/>
        </w:rPr>
        <w:t xml:space="preserve"> up </w:t>
      </w:r>
      <w:r>
        <w:rPr>
          <w:lang w:val="en-US"/>
        </w:rPr>
        <w:t xml:space="preserve">to </w:t>
      </w:r>
      <w:r w:rsidRPr="004B7EF4">
        <w:rPr>
          <w:lang w:val="en-US"/>
        </w:rPr>
        <w:t>4 weeks (20 exposures</w:t>
      </w:r>
      <w:r>
        <w:rPr>
          <w:lang w:val="en-US"/>
        </w:rPr>
        <w:t xml:space="preserve"> at first two doses, 10 exposures at highest dose</w:t>
      </w:r>
      <w:r w:rsidRPr="004B7EF4">
        <w:rPr>
          <w:lang w:val="en-US"/>
        </w:rPr>
        <w:t>)</w:t>
      </w:r>
      <w:r>
        <w:rPr>
          <w:lang w:val="en-US" w:eastAsia="en-US"/>
        </w:rPr>
        <w:t xml:space="preserve"> </w:t>
      </w:r>
      <w:r w:rsidRPr="004B7EF4">
        <w:rPr>
          <w:lang w:val="en-US" w:eastAsia="en-US"/>
        </w:rPr>
        <w:t xml:space="preserve">(Gage, 1970). </w:t>
      </w:r>
      <w:r>
        <w:rPr>
          <w:lang w:val="en-US" w:eastAsia="en-US"/>
        </w:rPr>
        <w:t xml:space="preserve"> </w:t>
      </w:r>
      <w:r w:rsidRPr="004B7EF4">
        <w:rPr>
          <w:lang w:val="en-US" w:eastAsia="en-US"/>
        </w:rPr>
        <w:t>There were no signs of toxicity in rats exposed to 4.5 mg/m³ (1 ppm = NOAE</w:t>
      </w:r>
      <w:r>
        <w:rPr>
          <w:lang w:val="en-US" w:eastAsia="en-US"/>
        </w:rPr>
        <w:t>C</w:t>
      </w:r>
      <w:r w:rsidRPr="004B7EF4">
        <w:rPr>
          <w:lang w:val="en-US" w:eastAsia="en-US"/>
        </w:rPr>
        <w:t>). Rats exposed to 22.6 mg/m³ had reduced weight gains but normal appearing organs at necropsy.</w:t>
      </w:r>
      <w:r w:rsidRPr="00974FDC">
        <w:rPr>
          <w:lang w:val="en-US" w:eastAsia="en-US"/>
        </w:rPr>
        <w:t xml:space="preserve"> </w:t>
      </w:r>
      <w:r w:rsidRPr="004B7EF4">
        <w:rPr>
          <w:lang w:val="en-US" w:eastAsia="en-US"/>
        </w:rPr>
        <w:t>Rats exposed to 20 ppm exhibited nasal irritation, difficulty with respiration, poor condition</w:t>
      </w:r>
      <w:r>
        <w:rPr>
          <w:lang w:val="en-US" w:eastAsia="en-US"/>
        </w:rPr>
        <w:t>,</w:t>
      </w:r>
      <w:r w:rsidRPr="004B7EF4">
        <w:rPr>
          <w:lang w:val="en-US" w:eastAsia="en-US"/>
        </w:rPr>
        <w:t xml:space="preserve"> and weight loss. Autopsies </w:t>
      </w:r>
      <w:r>
        <w:rPr>
          <w:lang w:val="en-US" w:eastAsia="en-US"/>
        </w:rPr>
        <w:t xml:space="preserve">of these animals </w:t>
      </w:r>
      <w:r w:rsidRPr="004B7EF4">
        <w:rPr>
          <w:lang w:val="en-US" w:eastAsia="en-US"/>
        </w:rPr>
        <w:t xml:space="preserve">revealed distension and haemorrhage of </w:t>
      </w:r>
      <w:r>
        <w:rPr>
          <w:lang w:val="en-US" w:eastAsia="en-US"/>
        </w:rPr>
        <w:t xml:space="preserve">the </w:t>
      </w:r>
      <w:r w:rsidRPr="004B7EF4">
        <w:rPr>
          <w:lang w:val="en-US" w:eastAsia="en-US"/>
        </w:rPr>
        <w:t>lungs.</w:t>
      </w:r>
      <w:r w:rsidR="00902FC7">
        <w:rPr>
          <w:lang w:val="en-US" w:eastAsia="en-US"/>
        </w:rPr>
        <w:t xml:space="preserve">  The limited numbers of animals, the short duration of the study </w:t>
      </w:r>
      <w:r w:rsidR="000C6589">
        <w:rPr>
          <w:lang w:val="en-US" w:eastAsia="en-US"/>
        </w:rPr>
        <w:t xml:space="preserve">at the high dose, </w:t>
      </w:r>
      <w:r w:rsidR="00902FC7">
        <w:rPr>
          <w:lang w:val="en-US" w:eastAsia="en-US"/>
        </w:rPr>
        <w:t xml:space="preserve">and the difference in numbers of exposures at the highest dose should be considered when evaluating data from this study.  </w:t>
      </w:r>
    </w:p>
    <w:p w:rsidR="001D41E2" w:rsidRPr="004B7EF4" w:rsidRDefault="001D41E2" w:rsidP="009C4680">
      <w:pPr>
        <w:pStyle w:val="BodyText"/>
        <w:spacing w:after="240"/>
        <w:rPr>
          <w:lang w:val="en-US"/>
        </w:rPr>
      </w:pPr>
      <w:r w:rsidRPr="004B7EF4">
        <w:rPr>
          <w:b/>
          <w:bCs/>
          <w:i/>
          <w:iCs/>
          <w:lang w:val="en-US"/>
        </w:rPr>
        <w:t>IpCF:</w:t>
      </w:r>
      <w:r w:rsidRPr="004B7EF4">
        <w:rPr>
          <w:lang w:val="en-US"/>
        </w:rPr>
        <w:t xml:space="preserve"> </w:t>
      </w:r>
      <w:r>
        <w:rPr>
          <w:lang w:val="en-US"/>
        </w:rPr>
        <w:t xml:space="preserve">In a repeated-dose inhalation toxicity study comparable to OECD TG 412, IpCF was administered via inhalation by whole body exposure to </w:t>
      </w:r>
      <w:r w:rsidRPr="004B7EF4">
        <w:rPr>
          <w:lang w:val="en-US"/>
        </w:rPr>
        <w:t>Sprague-Dawley rats</w:t>
      </w:r>
      <w:r>
        <w:rPr>
          <w:lang w:val="en-US"/>
        </w:rPr>
        <w:t xml:space="preserve"> (10</w:t>
      </w:r>
      <w:r w:rsidRPr="004B7EF4">
        <w:rPr>
          <w:lang w:val="en-US"/>
        </w:rPr>
        <w:t>/sex/</w:t>
      </w:r>
      <w:r>
        <w:rPr>
          <w:lang w:val="en-US"/>
        </w:rPr>
        <w:t>concentration)</w:t>
      </w:r>
      <w:r w:rsidRPr="004B7EF4">
        <w:rPr>
          <w:lang w:val="en-US"/>
        </w:rPr>
        <w:t xml:space="preserve"> </w:t>
      </w:r>
      <w:r>
        <w:rPr>
          <w:lang w:val="en-US"/>
        </w:rPr>
        <w:t xml:space="preserve">at </w:t>
      </w:r>
      <w:r w:rsidRPr="004B7EF4">
        <w:rPr>
          <w:lang w:val="en-US"/>
        </w:rPr>
        <w:t xml:space="preserve">0 (air control), 4, 12, or </w:t>
      </w:r>
      <w:r w:rsidRPr="004C2CEE">
        <w:rPr>
          <w:lang w:val="en-US"/>
        </w:rPr>
        <w:t>36 ppm IpCF (</w:t>
      </w:r>
      <w:r w:rsidRPr="00D6398E">
        <w:rPr>
          <w:lang w:val="en-US"/>
        </w:rPr>
        <w:t>0 (air), 20, 60 and 120 mg/m³/day</w:t>
      </w:r>
      <w:r>
        <w:rPr>
          <w:lang w:val="en-US"/>
        </w:rPr>
        <w:t xml:space="preserve"> (nominal concentrations)</w:t>
      </w:r>
      <w:r w:rsidRPr="004C2CEE">
        <w:rPr>
          <w:lang w:val="en-US"/>
        </w:rPr>
        <w:t xml:space="preserve">; </w:t>
      </w:r>
      <w:r>
        <w:rPr>
          <w:lang w:val="en-US"/>
        </w:rPr>
        <w:t xml:space="preserve">0 (air), 4.1, 12.4 or 36.1 ppm (analytical concentrations; </w:t>
      </w:r>
      <w:r w:rsidR="007D3E3E" w:rsidRPr="007D3E3E">
        <w:rPr>
          <w:szCs w:val="24"/>
        </w:rPr>
        <w:t xml:space="preserve">0 (air), 0.021, 0.062 and 0.181 </w:t>
      </w:r>
      <w:r w:rsidR="007D3E3E" w:rsidRPr="007D3E3E">
        <w:rPr>
          <w:szCs w:val="24"/>
          <w:lang w:val="en-US"/>
        </w:rPr>
        <w:t>mg/L</w:t>
      </w:r>
      <w:r w:rsidR="007D3E3E" w:rsidRPr="007D3E3E">
        <w:rPr>
          <w:szCs w:val="24"/>
        </w:rPr>
        <w:t>/day (analytical concentrations</w:t>
      </w:r>
      <w:r w:rsidRPr="004C2CEE">
        <w:rPr>
          <w:lang w:val="en-US"/>
        </w:rPr>
        <w:t>)</w:t>
      </w:r>
      <w:r>
        <w:rPr>
          <w:lang w:val="en-US"/>
        </w:rPr>
        <w:t>,</w:t>
      </w:r>
      <w:r w:rsidRPr="004C2CEE">
        <w:rPr>
          <w:lang w:val="en-US"/>
        </w:rPr>
        <w:t xml:space="preserve"> </w:t>
      </w:r>
      <w:r w:rsidRPr="00D6398E">
        <w:rPr>
          <w:lang w:val="en-US"/>
        </w:rPr>
        <w:t>for 6 h</w:t>
      </w:r>
      <w:r>
        <w:rPr>
          <w:lang w:val="en-US"/>
        </w:rPr>
        <w:t>ou</w:t>
      </w:r>
      <w:r w:rsidRPr="004C2CEE">
        <w:rPr>
          <w:lang w:val="en-US"/>
        </w:rPr>
        <w:t xml:space="preserve">rs/day, 5 days/week for </w:t>
      </w:r>
      <w:r>
        <w:rPr>
          <w:lang w:val="en-US"/>
        </w:rPr>
        <w:t>28 days</w:t>
      </w:r>
      <w:r w:rsidRPr="0065676A">
        <w:rPr>
          <w:lang w:val="en-US"/>
        </w:rPr>
        <w:t>.</w:t>
      </w:r>
      <w:r w:rsidRPr="004B7EF4">
        <w:rPr>
          <w:lang w:val="en-US"/>
        </w:rPr>
        <w:t xml:space="preserve"> Ten males and ten females from each dose level were euthanized after 4 weeks of exposure, 4 weeks of recovery and 12 weeks of recovery. No adverse effect</w:t>
      </w:r>
      <w:r>
        <w:rPr>
          <w:lang w:val="en-US"/>
        </w:rPr>
        <w:t>s</w:t>
      </w:r>
      <w:r w:rsidRPr="004B7EF4">
        <w:rPr>
          <w:lang w:val="en-US"/>
        </w:rPr>
        <w:t xml:space="preserve"> w</w:t>
      </w:r>
      <w:r>
        <w:rPr>
          <w:lang w:val="en-US"/>
        </w:rPr>
        <w:t>ere</w:t>
      </w:r>
      <w:r w:rsidRPr="004B7EF4">
        <w:rPr>
          <w:lang w:val="en-US"/>
        </w:rPr>
        <w:t xml:space="preserve"> observed at 4 ppm.  At 12 ppm</w:t>
      </w:r>
      <w:r>
        <w:rPr>
          <w:lang w:val="en-US"/>
        </w:rPr>
        <w:t>,</w:t>
      </w:r>
      <w:r w:rsidRPr="004B7EF4">
        <w:rPr>
          <w:lang w:val="en-US"/>
        </w:rPr>
        <w:t xml:space="preserve"> relative and absolute lung weights of males were significantly greater than controls after 4 weeks of </w:t>
      </w:r>
      <w:r>
        <w:rPr>
          <w:lang w:val="en-US"/>
        </w:rPr>
        <w:t>exposure</w:t>
      </w:r>
      <w:r w:rsidRPr="004B7EF4">
        <w:rPr>
          <w:lang w:val="en-US"/>
        </w:rPr>
        <w:t xml:space="preserve">. Mucous exudate in the nasal cavity (10/20) and peribronchial mononuclear cell infiltrate (7/20 animals) in the lung were noted after 4 weeks of exposure. </w:t>
      </w:r>
      <w:r>
        <w:rPr>
          <w:lang w:val="en-US"/>
        </w:rPr>
        <w:t>These</w:t>
      </w:r>
      <w:r w:rsidRPr="004B7EF4">
        <w:rPr>
          <w:lang w:val="en-US"/>
        </w:rPr>
        <w:t xml:space="preserve"> findings generally regressed within 4 weeks of recovery. At 36 ppm</w:t>
      </w:r>
      <w:r>
        <w:rPr>
          <w:lang w:val="en-US"/>
        </w:rPr>
        <w:t>,</w:t>
      </w:r>
      <w:r w:rsidRPr="004B7EF4">
        <w:rPr>
          <w:lang w:val="en-US"/>
        </w:rPr>
        <w:t xml:space="preserve"> one animal died following </w:t>
      </w:r>
      <w:r>
        <w:rPr>
          <w:lang w:val="en-US"/>
        </w:rPr>
        <w:t xml:space="preserve">exposure during </w:t>
      </w:r>
      <w:r w:rsidRPr="004B7EF4">
        <w:rPr>
          <w:lang w:val="en-US"/>
        </w:rPr>
        <w:t>the second week. The gross pathological examination revealed thyroid discoloration, mottled and uncollapsed lungs and redness and/or enlargement of the mediastinal, retropharyngeal and bronchial lymph nodes.  Mucous exudate was observed in the nasal cavity, trachea and bronchi</w:t>
      </w:r>
      <w:r>
        <w:rPr>
          <w:lang w:val="en-US"/>
        </w:rPr>
        <w:t>.</w:t>
      </w:r>
      <w:r w:rsidRPr="004B7EF4">
        <w:rPr>
          <w:lang w:val="en-US"/>
        </w:rPr>
        <w:t xml:space="preserve"> </w:t>
      </w:r>
      <w:r>
        <w:rPr>
          <w:lang w:val="en-US"/>
        </w:rPr>
        <w:t>P</w:t>
      </w:r>
      <w:r w:rsidRPr="004B7EF4">
        <w:rPr>
          <w:lang w:val="en-US"/>
        </w:rPr>
        <w:t xml:space="preserve">erivascular edema and peribronchial mononuclear cell infiltration were observed in the lung and hyperplasia was observed in the aforementioned lymph nodes. Clinical signs observed during treatment were nasal discharge/staining and abnormal respiration 1 or 2 days/week. Males and females had decreased body weight gains and food consumption from weeks 2-4 of exposure and week 2 only, respectively. Both of these parameters returned to normal in animals that were allowed to recover. Absolute and relative lung weight of animals killed after 4 weeks of treatment and animals allowed to recover for 4 weeks were greater than controls. After 12 weeks of recovery, relative lung weights of males and absolute lung weights of females were significantly higher than controls. </w:t>
      </w:r>
      <w:proofErr w:type="gramStart"/>
      <w:r w:rsidRPr="004B7EF4">
        <w:rPr>
          <w:lang w:val="en-US"/>
        </w:rPr>
        <w:t>Mucous exudate in the nasal cavity (19/20), peribronchial mononuclear cell infiltrate in the lungs (all animals), perivascular edema (3/20) and edema of the alveolar septa (3/20) of the lungs, and reactive hyperplasia of mediastinal (8/20), bronchial (11/20) and retropharyngeal (5/20) lymph nodes were noted after 4 weeks of treatment.</w:t>
      </w:r>
      <w:proofErr w:type="gramEnd"/>
      <w:r w:rsidRPr="004B7EF4">
        <w:rPr>
          <w:lang w:val="en-US"/>
        </w:rPr>
        <w:t xml:space="preserve">  These findings generally regressed within 4 weeks of recovery. </w:t>
      </w:r>
      <w:r w:rsidRPr="00E15FC5">
        <w:rPr>
          <w:lang w:val="en-US"/>
        </w:rPr>
        <w:t xml:space="preserve">Based on effects </w:t>
      </w:r>
      <w:r>
        <w:rPr>
          <w:lang w:val="en-US"/>
        </w:rPr>
        <w:t>to</w:t>
      </w:r>
      <w:r w:rsidRPr="00E15FC5">
        <w:rPr>
          <w:lang w:val="en-US"/>
        </w:rPr>
        <w:t xml:space="preserve"> the respiratory tract at 62 mg/m</w:t>
      </w:r>
      <w:r w:rsidRPr="00E15FC5">
        <w:rPr>
          <w:vertAlign w:val="superscript"/>
          <w:lang w:val="en-US"/>
        </w:rPr>
        <w:t>3</w:t>
      </w:r>
      <w:r w:rsidRPr="00E15FC5">
        <w:rPr>
          <w:lang w:val="en-US"/>
        </w:rPr>
        <w:t xml:space="preserve">/day </w:t>
      </w:r>
      <w:r>
        <w:rPr>
          <w:lang w:val="en-US"/>
        </w:rPr>
        <w:t xml:space="preserve">(0.062 mg/L/day) </w:t>
      </w:r>
      <w:r w:rsidRPr="00E15FC5">
        <w:rPr>
          <w:lang w:val="en-US"/>
        </w:rPr>
        <w:t>and above, the 28-day local NOAEC for IpCF is 21 mg/m</w:t>
      </w:r>
      <w:r w:rsidRPr="00E15FC5">
        <w:rPr>
          <w:vertAlign w:val="superscript"/>
          <w:lang w:val="en-US"/>
        </w:rPr>
        <w:t>3</w:t>
      </w:r>
      <w:r w:rsidRPr="00E15FC5">
        <w:rPr>
          <w:lang w:val="en-US"/>
        </w:rPr>
        <w:t>/day</w:t>
      </w:r>
      <w:r>
        <w:rPr>
          <w:lang w:val="en-US"/>
        </w:rPr>
        <w:t xml:space="preserve"> (0.021 mg/L/day)</w:t>
      </w:r>
      <w:r w:rsidRPr="00E15FC5">
        <w:rPr>
          <w:lang w:val="en-US"/>
        </w:rPr>
        <w:t>; based on treatment-related effects to the lungs and thyroid and decreased body weight gain and food consumption at 181 mg/m</w:t>
      </w:r>
      <w:r w:rsidRPr="00E15FC5">
        <w:rPr>
          <w:vertAlign w:val="superscript"/>
          <w:lang w:val="en-US"/>
        </w:rPr>
        <w:t>3</w:t>
      </w:r>
      <w:r w:rsidRPr="00E15FC5">
        <w:rPr>
          <w:lang w:val="en-US"/>
        </w:rPr>
        <w:t>/day</w:t>
      </w:r>
      <w:r>
        <w:rPr>
          <w:lang w:val="en-US"/>
        </w:rPr>
        <w:t xml:space="preserve"> (0.181 mg/L/day)</w:t>
      </w:r>
      <w:r w:rsidRPr="00E15FC5">
        <w:rPr>
          <w:lang w:val="en-US"/>
        </w:rPr>
        <w:t>, the 28-day systemic NOAEC for IpCF is 62 mg/m</w:t>
      </w:r>
      <w:r w:rsidRPr="00E15FC5">
        <w:rPr>
          <w:vertAlign w:val="superscript"/>
          <w:lang w:val="en-US"/>
        </w:rPr>
        <w:t>3</w:t>
      </w:r>
      <w:r w:rsidRPr="00E15FC5">
        <w:rPr>
          <w:lang w:val="en-US"/>
        </w:rPr>
        <w:t>/day</w:t>
      </w:r>
      <w:r>
        <w:rPr>
          <w:lang w:val="en-US"/>
        </w:rPr>
        <w:t xml:space="preserve"> (0.062 mg/L/day</w:t>
      </w:r>
      <w:r w:rsidRPr="004B7EF4">
        <w:rPr>
          <w:lang w:val="en-US"/>
        </w:rPr>
        <w:t xml:space="preserve"> (Lulham &amp; Procter 1986)</w:t>
      </w:r>
      <w:r>
        <w:rPr>
          <w:lang w:val="en-US"/>
        </w:rPr>
        <w:t>.</w:t>
      </w:r>
    </w:p>
    <w:p w:rsidR="001D41E2" w:rsidRPr="004B7EF4" w:rsidRDefault="001D41E2" w:rsidP="009C4680">
      <w:pPr>
        <w:pStyle w:val="BodyText"/>
        <w:rPr>
          <w:b/>
          <w:bCs/>
          <w:i/>
          <w:iCs/>
          <w:lang w:val="en-US"/>
        </w:rPr>
      </w:pPr>
      <w:r w:rsidRPr="004B7EF4">
        <w:rPr>
          <w:b/>
          <w:bCs/>
          <w:i/>
          <w:iCs/>
          <w:lang w:val="en-US"/>
        </w:rPr>
        <w:t>Hydrolysis products</w:t>
      </w:r>
    </w:p>
    <w:p w:rsidR="001D41E2" w:rsidRPr="004B7EF4" w:rsidRDefault="001D41E2" w:rsidP="009C4680">
      <w:pPr>
        <w:pStyle w:val="BodyText"/>
        <w:rPr>
          <w:lang w:val="en-US"/>
        </w:rPr>
      </w:pPr>
      <w:r>
        <w:rPr>
          <w:lang w:val="en-US"/>
        </w:rPr>
        <w:t xml:space="preserve">Detailed study descriptions for the hydrolysis products are available in the published SIDS Dossiers.  Short summaries are provided below, where appropriate, and the data summarized in   Table </w:t>
      </w:r>
      <w:r w:rsidR="002F054D">
        <w:rPr>
          <w:lang w:val="en-US"/>
        </w:rPr>
        <w:t>17</w:t>
      </w:r>
      <w:r>
        <w:rPr>
          <w:lang w:val="en-US"/>
        </w:rPr>
        <w:t>.</w:t>
      </w:r>
    </w:p>
    <w:p w:rsidR="001D41E2" w:rsidRDefault="001D41E2" w:rsidP="009C4680">
      <w:pPr>
        <w:pStyle w:val="BodyText"/>
        <w:rPr>
          <w:lang w:val="en-US"/>
        </w:rPr>
      </w:pPr>
      <w:r w:rsidRPr="004B7EF4">
        <w:rPr>
          <w:b/>
          <w:bCs/>
          <w:i/>
          <w:iCs/>
          <w:lang w:val="en-US"/>
        </w:rPr>
        <w:t>Me:</w:t>
      </w:r>
      <w:r w:rsidRPr="004B7EF4">
        <w:rPr>
          <w:lang w:val="en-US"/>
        </w:rPr>
        <w:t xml:space="preserve"> As discuss</w:t>
      </w:r>
      <w:r>
        <w:rPr>
          <w:lang w:val="en-US"/>
        </w:rPr>
        <w:t>ed in the SIAR (OECD 2004a) for m</w:t>
      </w:r>
      <w:r w:rsidRPr="004B7EF4">
        <w:rPr>
          <w:lang w:val="en-US"/>
        </w:rPr>
        <w:t>ethanol</w:t>
      </w:r>
      <w:r>
        <w:rPr>
          <w:lang w:val="en-US"/>
        </w:rPr>
        <w:t>,</w:t>
      </w:r>
      <w:r w:rsidRPr="004B7EF4">
        <w:rPr>
          <w:lang w:val="en-US"/>
        </w:rPr>
        <w:t xml:space="preserve"> </w:t>
      </w:r>
      <w:r>
        <w:rPr>
          <w:lang w:val="en-US"/>
        </w:rPr>
        <w:t>r</w:t>
      </w:r>
      <w:r w:rsidRPr="004B7EF4">
        <w:rPr>
          <w:lang w:val="en-US"/>
        </w:rPr>
        <w:t>ats and mice were exposed to 0.0013, 0.13, and 1.3 mg/L in a 12</w:t>
      </w:r>
      <w:r>
        <w:rPr>
          <w:lang w:val="en-US"/>
        </w:rPr>
        <w:t>-</w:t>
      </w:r>
      <w:r w:rsidRPr="004B7EF4">
        <w:rPr>
          <w:lang w:val="en-US"/>
        </w:rPr>
        <w:t xml:space="preserve">month chronic inhalation study (whole body exposure). The </w:t>
      </w:r>
      <w:r>
        <w:rPr>
          <w:lang w:val="en-US"/>
        </w:rPr>
        <w:t xml:space="preserve">12-month </w:t>
      </w:r>
      <w:r w:rsidRPr="004B7EF4">
        <w:rPr>
          <w:lang w:val="en-US"/>
        </w:rPr>
        <w:t>NO</w:t>
      </w:r>
      <w:r>
        <w:rPr>
          <w:lang w:val="en-US"/>
        </w:rPr>
        <w:t>A</w:t>
      </w:r>
      <w:r w:rsidRPr="004B7EF4">
        <w:rPr>
          <w:lang w:val="en-US"/>
        </w:rPr>
        <w:t xml:space="preserve">EC was 0.13 mg/L </w:t>
      </w:r>
      <w:r>
        <w:rPr>
          <w:lang w:val="en-US"/>
        </w:rPr>
        <w:t>(130 mg/m</w:t>
      </w:r>
      <w:r w:rsidR="007D3E3E" w:rsidRPr="007D3E3E">
        <w:rPr>
          <w:szCs w:val="24"/>
          <w:vertAlign w:val="superscript"/>
          <w:lang w:val="en-US"/>
        </w:rPr>
        <w:t>3</w:t>
      </w:r>
      <w:r>
        <w:rPr>
          <w:lang w:val="en-US"/>
        </w:rPr>
        <w:t xml:space="preserve">/day) </w:t>
      </w:r>
      <w:r w:rsidRPr="004B7EF4">
        <w:rPr>
          <w:lang w:val="en-US"/>
        </w:rPr>
        <w:t>for rat</w:t>
      </w:r>
      <w:r>
        <w:rPr>
          <w:lang w:val="en-US"/>
        </w:rPr>
        <w:t>s</w:t>
      </w:r>
      <w:r w:rsidRPr="004B7EF4">
        <w:rPr>
          <w:lang w:val="en-US"/>
        </w:rPr>
        <w:t xml:space="preserve"> and mice based on moderate fatty degeneration of the liver in male mice at 1.3 mg/L</w:t>
      </w:r>
      <w:r>
        <w:rPr>
          <w:lang w:val="en-US"/>
        </w:rPr>
        <w:t>/day</w:t>
      </w:r>
      <w:r w:rsidRPr="004B7EF4">
        <w:rPr>
          <w:lang w:val="en-US"/>
        </w:rPr>
        <w:t xml:space="preserve">. </w:t>
      </w:r>
    </w:p>
    <w:p w:rsidR="001D41E2" w:rsidRPr="004B7EF4" w:rsidRDefault="001D41E2" w:rsidP="009C4680">
      <w:pPr>
        <w:pStyle w:val="BodyText"/>
        <w:rPr>
          <w:lang w:val="en-US"/>
        </w:rPr>
      </w:pPr>
      <w:r w:rsidRPr="004B7EF4">
        <w:rPr>
          <w:lang w:val="en-US"/>
        </w:rPr>
        <w:t xml:space="preserve">In a whole body inhalation study in monkeys exposed to 0.013, 0.13, and 1.3 mg/L </w:t>
      </w:r>
      <w:r>
        <w:rPr>
          <w:lang w:val="en-US"/>
        </w:rPr>
        <w:t xml:space="preserve">methanol, </w:t>
      </w:r>
      <w:r w:rsidRPr="004B7EF4">
        <w:rPr>
          <w:lang w:val="en-US"/>
        </w:rPr>
        <w:t>21 hours per day 7 days per week for 7, 19, and 29 months, several general clinical signs as well as degenerative effects in the brain (at 0.13 and 1.3 mg/L), slight peripheral nerve damage (at 0.13 and 1.3 mg/L), very slight degeneration of the optic nerve (concentrations not noted), increased fat granules and slight fibrosis in the liver (all concentrations), and Sudan positive granules in the kidney were observed (at 0.13 and 1.3 mg/L). Also, a slight myocardial disorder (at 0.13 and 1.3 mg/L) and localized effects in the trachea and possible slight fibrosis in the lungs (concentrat</w:t>
      </w:r>
      <w:r>
        <w:rPr>
          <w:lang w:val="en-US"/>
        </w:rPr>
        <w:t>ions not noted) were observed.  Based on clinical signs and histopathological changes at 0.13 and 1.3 mg/L/day, the 29-month NOAEC was 0.013 mg/L/day (13 mg/m</w:t>
      </w:r>
      <w:r w:rsidR="007D3E3E" w:rsidRPr="007D3E3E">
        <w:rPr>
          <w:szCs w:val="24"/>
          <w:vertAlign w:val="superscript"/>
          <w:lang w:val="en-US"/>
        </w:rPr>
        <w:t>3</w:t>
      </w:r>
      <w:r>
        <w:rPr>
          <w:lang w:val="en-US"/>
        </w:rPr>
        <w:t xml:space="preserve">/day).  </w:t>
      </w:r>
    </w:p>
    <w:p w:rsidR="001D41E2" w:rsidRPr="004B7EF4" w:rsidRDefault="001D41E2" w:rsidP="009C4680">
      <w:pPr>
        <w:pStyle w:val="BodyText"/>
        <w:rPr>
          <w:lang w:val="en-US"/>
        </w:rPr>
      </w:pPr>
      <w:r w:rsidRPr="004B7EF4">
        <w:rPr>
          <w:b/>
          <w:bCs/>
          <w:i/>
          <w:iCs/>
          <w:lang w:val="en-US"/>
        </w:rPr>
        <w:t>Pr:</w:t>
      </w:r>
      <w:r w:rsidRPr="004B7EF4">
        <w:rPr>
          <w:lang w:val="en-US"/>
        </w:rPr>
        <w:t xml:space="preserve"> In a repeated inhalation study, </w:t>
      </w:r>
      <w:r>
        <w:rPr>
          <w:lang w:val="en-US"/>
        </w:rPr>
        <w:t xml:space="preserve">Sprague-Dawley </w:t>
      </w:r>
      <w:r w:rsidRPr="004B7EF4">
        <w:rPr>
          <w:lang w:val="en-US"/>
        </w:rPr>
        <w:t>rats</w:t>
      </w:r>
      <w:r>
        <w:rPr>
          <w:lang w:val="en-US"/>
        </w:rPr>
        <w:t xml:space="preserve"> of both sexes</w:t>
      </w:r>
      <w:r w:rsidRPr="004B7EF4">
        <w:rPr>
          <w:lang w:val="en-US"/>
        </w:rPr>
        <w:t xml:space="preserve"> were exposed to 100, 500 and 1000 ppm (246, 1230, 2460 mg/m</w:t>
      </w:r>
      <w:r w:rsidRPr="00642578">
        <w:rPr>
          <w:vertAlign w:val="superscript"/>
          <w:lang w:val="en-US"/>
        </w:rPr>
        <w:t>3</w:t>
      </w:r>
      <w:r w:rsidRPr="004B7EF4">
        <w:rPr>
          <w:lang w:val="en-US"/>
        </w:rPr>
        <w:t xml:space="preserve">) </w:t>
      </w:r>
      <w:r>
        <w:rPr>
          <w:lang w:val="en-US"/>
        </w:rPr>
        <w:t xml:space="preserve">propanol </w:t>
      </w:r>
      <w:r w:rsidRPr="004B7EF4">
        <w:rPr>
          <w:lang w:val="en-US"/>
        </w:rPr>
        <w:t>for 6 hours/day</w:t>
      </w:r>
      <w:r>
        <w:rPr>
          <w:lang w:val="en-US"/>
        </w:rPr>
        <w:t>, 5 days/week</w:t>
      </w:r>
      <w:r w:rsidRPr="004B7EF4">
        <w:rPr>
          <w:lang w:val="en-US"/>
        </w:rPr>
        <w:t xml:space="preserve"> (9 exposure days). No mortalities occur</w:t>
      </w:r>
      <w:r>
        <w:rPr>
          <w:lang w:val="en-US"/>
        </w:rPr>
        <w:t>red</w:t>
      </w:r>
      <w:r w:rsidRPr="004B7EF4">
        <w:rPr>
          <w:lang w:val="en-US"/>
        </w:rPr>
        <w:t xml:space="preserve"> during this study. No adverse changes were observed with respect to body weight, urinalysis and urine chemistry</w:t>
      </w:r>
      <w:r>
        <w:rPr>
          <w:lang w:val="en-US"/>
        </w:rPr>
        <w:t>,</w:t>
      </w:r>
      <w:r w:rsidRPr="004B7EF4">
        <w:rPr>
          <w:lang w:val="en-US"/>
        </w:rPr>
        <w:t xml:space="preserve"> and hematology. In addition, no exposure-related organ weight changes were observed, and no exposure-related gross or microscopic lesions were found in any of the tissues examined from rats exposed to </w:t>
      </w:r>
      <w:r>
        <w:rPr>
          <w:lang w:val="en-US"/>
        </w:rPr>
        <w:t>Pr</w:t>
      </w:r>
      <w:r w:rsidRPr="004B7EF4">
        <w:rPr>
          <w:lang w:val="en-US"/>
        </w:rPr>
        <w:t xml:space="preserve"> vapor. Exposure-related clinical observations were limited to slightly swollen periocular tissue, and minimal perinasal and periocular encrustations in the 1000 ppm exposure concentration group (</w:t>
      </w:r>
      <w:r w:rsidRPr="004B7EF4">
        <w:t>ECB, 2008</w:t>
      </w:r>
      <w:r>
        <w:t xml:space="preserve">: </w:t>
      </w:r>
      <w:r w:rsidRPr="004B7EF4">
        <w:rPr>
          <w:lang w:val="en-US"/>
        </w:rPr>
        <w:t>Bushy Run</w:t>
      </w:r>
      <w:r>
        <w:rPr>
          <w:lang w:val="en-US"/>
        </w:rPr>
        <w:t>,</w:t>
      </w:r>
      <w:r w:rsidRPr="004B7EF4">
        <w:rPr>
          <w:lang w:val="en-US"/>
        </w:rPr>
        <w:t xml:space="preserve"> 1992</w:t>
      </w:r>
      <w:r>
        <w:rPr>
          <w:lang w:val="en-US"/>
        </w:rPr>
        <w:t>a</w:t>
      </w:r>
      <w:r w:rsidRPr="004B7EF4">
        <w:rPr>
          <w:lang w:val="en-US"/>
        </w:rPr>
        <w:t xml:space="preserve">). Because there </w:t>
      </w:r>
      <w:proofErr w:type="gramStart"/>
      <w:r w:rsidRPr="004B7EF4">
        <w:rPr>
          <w:lang w:val="en-US"/>
        </w:rPr>
        <w:t>was no correlation in histopathology and other parameters at all doses</w:t>
      </w:r>
      <w:proofErr w:type="gramEnd"/>
      <w:r w:rsidRPr="004B7EF4">
        <w:rPr>
          <w:lang w:val="en-US"/>
        </w:rPr>
        <w:t xml:space="preserve">, </w:t>
      </w:r>
      <w:r>
        <w:rPr>
          <w:lang w:val="en-US"/>
        </w:rPr>
        <w:t xml:space="preserve">the 9-day NOAEC was </w:t>
      </w:r>
      <w:r w:rsidRPr="004B7EF4">
        <w:rPr>
          <w:lang w:val="en-US"/>
        </w:rPr>
        <w:t>500 ppm (1230 mg/m</w:t>
      </w:r>
      <w:r w:rsidRPr="00642578">
        <w:rPr>
          <w:vertAlign w:val="superscript"/>
          <w:lang w:val="en-US"/>
        </w:rPr>
        <w:t>3</w:t>
      </w:r>
      <w:r>
        <w:rPr>
          <w:lang w:val="en-US"/>
        </w:rPr>
        <w:t>/day</w:t>
      </w:r>
      <w:r w:rsidRPr="004B7EF4">
        <w:rPr>
          <w:lang w:val="en-US"/>
        </w:rPr>
        <w:t>)</w:t>
      </w:r>
      <w:r>
        <w:rPr>
          <w:lang w:val="en-US"/>
        </w:rPr>
        <w:t>.</w:t>
      </w:r>
      <w:r w:rsidRPr="004B7EF4">
        <w:rPr>
          <w:lang w:val="en-US"/>
        </w:rPr>
        <w:t xml:space="preserve"> </w:t>
      </w:r>
    </w:p>
    <w:p w:rsidR="001D41E2" w:rsidRPr="004B7EF4" w:rsidRDefault="001D41E2" w:rsidP="009C4680">
      <w:pPr>
        <w:pStyle w:val="BodyText"/>
        <w:rPr>
          <w:lang w:val="en-US"/>
        </w:rPr>
      </w:pPr>
      <w:r w:rsidRPr="004B7EF4">
        <w:rPr>
          <w:b/>
          <w:bCs/>
          <w:i/>
          <w:iCs/>
          <w:lang w:val="en-US"/>
        </w:rPr>
        <w:t xml:space="preserve">Ip: </w:t>
      </w:r>
      <w:r w:rsidRPr="004B7EF4">
        <w:rPr>
          <w:lang w:val="en-US"/>
        </w:rPr>
        <w:t>Fisher F344 rats</w:t>
      </w:r>
      <w:r>
        <w:rPr>
          <w:lang w:val="en-US"/>
        </w:rPr>
        <w:t xml:space="preserve"> (10</w:t>
      </w:r>
      <w:r w:rsidRPr="004B7EF4">
        <w:rPr>
          <w:lang w:val="en-US"/>
        </w:rPr>
        <w:t>/sex</w:t>
      </w:r>
      <w:r>
        <w:rPr>
          <w:lang w:val="en-US"/>
        </w:rPr>
        <w:t>)</w:t>
      </w:r>
      <w:r w:rsidRPr="004B7EF4">
        <w:rPr>
          <w:lang w:val="en-US"/>
        </w:rPr>
        <w:t xml:space="preserve"> were exposed for 6 h/ day, 5 days a week </w:t>
      </w:r>
      <w:r>
        <w:rPr>
          <w:lang w:val="en-US"/>
        </w:rPr>
        <w:t xml:space="preserve">for 13 weeks </w:t>
      </w:r>
      <w:r w:rsidRPr="004B7EF4">
        <w:rPr>
          <w:lang w:val="en-US"/>
        </w:rPr>
        <w:t>to 0, 100, 500, 1500 or 5000 ppm</w:t>
      </w:r>
      <w:r>
        <w:rPr>
          <w:lang w:val="en-US"/>
        </w:rPr>
        <w:t xml:space="preserve"> </w:t>
      </w:r>
      <w:r w:rsidRPr="004B7EF4">
        <w:rPr>
          <w:lang w:val="en-US"/>
        </w:rPr>
        <w:t xml:space="preserve"> Ip (</w:t>
      </w:r>
      <w:r>
        <w:rPr>
          <w:lang w:val="en-US"/>
        </w:rPr>
        <w:t xml:space="preserve">nominal </w:t>
      </w:r>
      <w:r w:rsidRPr="004B7EF4">
        <w:rPr>
          <w:lang w:val="en-US"/>
        </w:rPr>
        <w:t>vapor</w:t>
      </w:r>
      <w:r>
        <w:rPr>
          <w:lang w:val="en-US"/>
        </w:rPr>
        <w:t xml:space="preserve">: </w:t>
      </w:r>
      <w:r w:rsidRPr="0075265A">
        <w:rPr>
          <w:lang w:val="en-US"/>
        </w:rPr>
        <w:t>0, 0.25, 1.25, 3.75 and 12.5 mg/</w:t>
      </w:r>
      <w:r>
        <w:rPr>
          <w:lang w:val="en-US"/>
        </w:rPr>
        <w:t>L</w:t>
      </w:r>
      <w:r w:rsidRPr="004B7EF4">
        <w:rPr>
          <w:lang w:val="en-US"/>
        </w:rPr>
        <w:t>)</w:t>
      </w:r>
      <w:r>
        <w:rPr>
          <w:lang w:val="en-US"/>
        </w:rPr>
        <w:t xml:space="preserve"> in an </w:t>
      </w:r>
      <w:r w:rsidRPr="00BF49C1">
        <w:rPr>
          <w:lang w:val="en-US"/>
        </w:rPr>
        <w:t>EPA OTS 798.2450 (90-Day Inhalation Toxicity)</w:t>
      </w:r>
      <w:r w:rsidRPr="004B7EF4">
        <w:rPr>
          <w:lang w:val="en-US"/>
        </w:rPr>
        <w:t xml:space="preserve"> </w:t>
      </w:r>
      <w:r>
        <w:rPr>
          <w:lang w:val="en-US"/>
        </w:rPr>
        <w:t>No exposure-</w:t>
      </w:r>
      <w:r w:rsidRPr="004B7EF4">
        <w:rPr>
          <w:lang w:val="en-US"/>
        </w:rPr>
        <w:t xml:space="preserve">related mortalities occurred. Narcotic effects of </w:t>
      </w:r>
      <w:r>
        <w:rPr>
          <w:lang w:val="en-US"/>
        </w:rPr>
        <w:t>Ip</w:t>
      </w:r>
      <w:r w:rsidRPr="004B7EF4">
        <w:rPr>
          <w:lang w:val="en-US"/>
        </w:rPr>
        <w:t xml:space="preserve"> were observed only during exposures to 1500 ppm and 5000 ppm. After exposure the only clinical signs remaining were swollen periocular tissue, perinasal encrustation</w:t>
      </w:r>
      <w:r>
        <w:rPr>
          <w:lang w:val="en-US"/>
        </w:rPr>
        <w:t xml:space="preserve">, and </w:t>
      </w:r>
      <w:r w:rsidRPr="004B7EF4">
        <w:rPr>
          <w:lang w:val="en-US"/>
        </w:rPr>
        <w:t>ataxia in the 5000 ppm group. No changes in any of the parameters of the FOB were observed. However, an increase in motor activity was observed in female rats of the 5000 ppm group. No alterations in motor activity were noted at any time point for male rats.  The only organ in which possible exposure-related weight effects occurred was the liver</w:t>
      </w:r>
      <w:r>
        <w:rPr>
          <w:lang w:val="en-US"/>
        </w:rPr>
        <w:t>.</w:t>
      </w:r>
      <w:r w:rsidRPr="004B7EF4">
        <w:rPr>
          <w:lang w:val="en-US"/>
        </w:rPr>
        <w:t xml:space="preserve"> Relative liver weight, as a percentage of body weight, was increased 8 and 5% for male and</w:t>
      </w:r>
      <w:r>
        <w:rPr>
          <w:lang w:val="en-US"/>
        </w:rPr>
        <w:t xml:space="preserve"> female of the 5000 ppm group, </w:t>
      </w:r>
      <w:r w:rsidRPr="004B7EF4">
        <w:rPr>
          <w:lang w:val="en-US"/>
        </w:rPr>
        <w:t xml:space="preserve">respectively. However, no corresponding microscopic changes </w:t>
      </w:r>
      <w:r>
        <w:rPr>
          <w:lang w:val="en-US"/>
        </w:rPr>
        <w:t xml:space="preserve">were </w:t>
      </w:r>
      <w:r w:rsidRPr="004B7EF4">
        <w:rPr>
          <w:lang w:val="en-US"/>
        </w:rPr>
        <w:t>observed.</w:t>
      </w:r>
      <w:r w:rsidRPr="00BF49C1">
        <w:rPr>
          <w:lang w:val="en-US"/>
        </w:rPr>
        <w:t xml:space="preserve"> </w:t>
      </w:r>
      <w:r>
        <w:rPr>
          <w:lang w:val="en-US"/>
        </w:rPr>
        <w:t>Based on narcotic effects being observed at 1500 and 5000 ppm, the</w:t>
      </w:r>
      <w:r w:rsidRPr="004B7EF4">
        <w:rPr>
          <w:lang w:val="en-US"/>
        </w:rPr>
        <w:t xml:space="preserve"> </w:t>
      </w:r>
      <w:r>
        <w:rPr>
          <w:lang w:val="en-US"/>
        </w:rPr>
        <w:t xml:space="preserve">13-week </w:t>
      </w:r>
      <w:r w:rsidRPr="004B7EF4">
        <w:rPr>
          <w:lang w:val="en-US"/>
        </w:rPr>
        <w:t>NOAE</w:t>
      </w:r>
      <w:r>
        <w:rPr>
          <w:lang w:val="en-US"/>
        </w:rPr>
        <w:t>C</w:t>
      </w:r>
      <w:r w:rsidRPr="004B7EF4">
        <w:rPr>
          <w:lang w:val="en-US"/>
        </w:rPr>
        <w:t xml:space="preserve"> </w:t>
      </w:r>
      <w:r>
        <w:rPr>
          <w:lang w:val="en-US"/>
        </w:rPr>
        <w:t>was</w:t>
      </w:r>
      <w:r w:rsidRPr="004B7EF4">
        <w:rPr>
          <w:lang w:val="en-US"/>
        </w:rPr>
        <w:t xml:space="preserve"> 500 ppm (equals 1.25 mg</w:t>
      </w:r>
      <w:r>
        <w:rPr>
          <w:lang w:val="en-US"/>
        </w:rPr>
        <w:t xml:space="preserve">/L/day; </w:t>
      </w:r>
      <w:r w:rsidRPr="004B7EF4">
        <w:t>OECD</w:t>
      </w:r>
      <w:r>
        <w:t>,</w:t>
      </w:r>
      <w:r w:rsidRPr="004B7EF4">
        <w:t xml:space="preserve"> 2000</w:t>
      </w:r>
      <w:r>
        <w:t xml:space="preserve">: </w:t>
      </w:r>
      <w:r w:rsidRPr="00BF49C1">
        <w:t xml:space="preserve">Burleigh-Flayer H.D. </w:t>
      </w:r>
      <w:r w:rsidRPr="00956920">
        <w:rPr>
          <w:i/>
          <w:iCs/>
        </w:rPr>
        <w:t>et al</w:t>
      </w:r>
      <w:r w:rsidRPr="00BF49C1">
        <w:t xml:space="preserve">. </w:t>
      </w:r>
      <w:r>
        <w:t>1994).</w:t>
      </w:r>
    </w:p>
    <w:p w:rsidR="001D41E2" w:rsidRPr="004B7EF4" w:rsidRDefault="001D41E2" w:rsidP="009C4680">
      <w:pPr>
        <w:pStyle w:val="BodyText"/>
        <w:rPr>
          <w:lang w:val="en-US"/>
        </w:rPr>
      </w:pPr>
      <w:r w:rsidRPr="004B7EF4">
        <w:rPr>
          <w:lang w:val="en-US"/>
        </w:rPr>
        <w:t>In a parallel study</w:t>
      </w:r>
      <w:r>
        <w:rPr>
          <w:lang w:val="en-US"/>
        </w:rPr>
        <w:t xml:space="preserve"> (</w:t>
      </w:r>
      <w:r w:rsidRPr="00BF49C1">
        <w:rPr>
          <w:lang w:val="en-US"/>
        </w:rPr>
        <w:t xml:space="preserve">EPA OTS 798.2450 </w:t>
      </w:r>
      <w:r w:rsidRPr="004B7EF4">
        <w:t>OECD</w:t>
      </w:r>
      <w:r>
        <w:t>,</w:t>
      </w:r>
      <w:r w:rsidRPr="004B7EF4">
        <w:t xml:space="preserve"> 2000</w:t>
      </w:r>
      <w:r>
        <w:t xml:space="preserve">: </w:t>
      </w:r>
      <w:r w:rsidRPr="00BF49C1">
        <w:t xml:space="preserve">Burleigh-Flayer H.D. </w:t>
      </w:r>
      <w:r w:rsidRPr="00956920">
        <w:rPr>
          <w:i/>
          <w:iCs/>
        </w:rPr>
        <w:t>et al</w:t>
      </w:r>
      <w:r w:rsidRPr="00BF49C1">
        <w:t xml:space="preserve">. </w:t>
      </w:r>
      <w:r>
        <w:t>1994))</w:t>
      </w:r>
      <w:r w:rsidRPr="00BF49C1">
        <w:t xml:space="preserve"> </w:t>
      </w:r>
      <w:r>
        <w:rPr>
          <w:lang w:val="en-US"/>
        </w:rPr>
        <w:t>,</w:t>
      </w:r>
      <w:r w:rsidRPr="004B7EF4">
        <w:rPr>
          <w:lang w:val="en-US"/>
        </w:rPr>
        <w:t xml:space="preserve"> 10 CD-1 mice/sex were exposed for 6 h/day, 5 days a week to 0, 100, 500, 1500 or 5000 ppm Ip (vapor). Findings in the mouse study were </w:t>
      </w:r>
      <w:r>
        <w:rPr>
          <w:lang w:val="en-US"/>
        </w:rPr>
        <w:t xml:space="preserve">similar to those seen </w:t>
      </w:r>
      <w:r w:rsidRPr="004B7EF4">
        <w:rPr>
          <w:lang w:val="en-US"/>
        </w:rPr>
        <w:t>in the rat study. However</w:t>
      </w:r>
      <w:r>
        <w:rPr>
          <w:lang w:val="en-US"/>
        </w:rPr>
        <w:t>,</w:t>
      </w:r>
      <w:r w:rsidRPr="004B7EF4">
        <w:rPr>
          <w:lang w:val="en-US"/>
        </w:rPr>
        <w:t xml:space="preserve"> there was no FOB examination and a significant increase in body weight was observed in females of the 5000 ppm group. </w:t>
      </w:r>
      <w:r>
        <w:rPr>
          <w:lang w:val="en-US"/>
        </w:rPr>
        <w:t>The b</w:t>
      </w:r>
      <w:r w:rsidRPr="004B7EF4">
        <w:rPr>
          <w:lang w:val="en-US"/>
        </w:rPr>
        <w:t>ody weight increase correspond</w:t>
      </w:r>
      <w:r>
        <w:rPr>
          <w:lang w:val="en-US"/>
        </w:rPr>
        <w:t>ed</w:t>
      </w:r>
      <w:r w:rsidRPr="004B7EF4">
        <w:rPr>
          <w:lang w:val="en-US"/>
        </w:rPr>
        <w:t xml:space="preserve"> to increased </w:t>
      </w:r>
      <w:r>
        <w:rPr>
          <w:lang w:val="en-US"/>
        </w:rPr>
        <w:t>water</w:t>
      </w:r>
      <w:r w:rsidRPr="004B7EF4">
        <w:rPr>
          <w:lang w:val="en-US"/>
        </w:rPr>
        <w:t xml:space="preserve"> consumption</w:t>
      </w:r>
      <w:r>
        <w:rPr>
          <w:lang w:val="en-US"/>
        </w:rPr>
        <w:t xml:space="preserve"> (no changes in food consumption)</w:t>
      </w:r>
      <w:r w:rsidRPr="004B7EF4">
        <w:rPr>
          <w:lang w:val="en-US"/>
        </w:rPr>
        <w:t xml:space="preserve">. </w:t>
      </w:r>
      <w:r>
        <w:rPr>
          <w:lang w:val="en-US"/>
        </w:rPr>
        <w:t xml:space="preserve">Based on narcotic effects being observed at 1500 and 5000 ppm, the 13-week </w:t>
      </w:r>
      <w:r w:rsidRPr="004B7EF4">
        <w:rPr>
          <w:lang w:val="en-US"/>
        </w:rPr>
        <w:t>NOAE</w:t>
      </w:r>
      <w:r>
        <w:rPr>
          <w:lang w:val="en-US"/>
        </w:rPr>
        <w:t>C</w:t>
      </w:r>
      <w:r w:rsidRPr="004B7EF4">
        <w:rPr>
          <w:lang w:val="en-US"/>
        </w:rPr>
        <w:t xml:space="preserve"> </w:t>
      </w:r>
      <w:r>
        <w:rPr>
          <w:lang w:val="en-US"/>
        </w:rPr>
        <w:t>was</w:t>
      </w:r>
      <w:r w:rsidRPr="004B7EF4">
        <w:rPr>
          <w:lang w:val="en-US"/>
        </w:rPr>
        <w:t xml:space="preserve"> 500 ppm (1.25 mg/L</w:t>
      </w:r>
      <w:r>
        <w:rPr>
          <w:lang w:val="en-US"/>
        </w:rPr>
        <w:t>/day</w:t>
      </w:r>
      <w:r w:rsidRPr="004B7EF4">
        <w:rPr>
          <w:lang w:val="en-US"/>
        </w:rPr>
        <w:t>).</w:t>
      </w:r>
    </w:p>
    <w:p w:rsidR="001D41E2" w:rsidRPr="004B7EF4" w:rsidRDefault="001D41E2" w:rsidP="009C4680">
      <w:pPr>
        <w:pStyle w:val="BodyText"/>
        <w:rPr>
          <w:lang w:val="en-US"/>
        </w:rPr>
      </w:pPr>
      <w:r w:rsidRPr="004B7EF4">
        <w:rPr>
          <w:b/>
          <w:bCs/>
          <w:lang w:val="en-US"/>
        </w:rPr>
        <w:t xml:space="preserve">Eh: </w:t>
      </w:r>
      <w:r w:rsidRPr="004B7EF4">
        <w:rPr>
          <w:lang w:val="en-US"/>
        </w:rPr>
        <w:t xml:space="preserve">In a subchronic inhalation study </w:t>
      </w:r>
      <w:r>
        <w:rPr>
          <w:lang w:val="en-US"/>
        </w:rPr>
        <w:t>(</w:t>
      </w:r>
      <w:r w:rsidRPr="004B7EF4">
        <w:rPr>
          <w:lang w:val="en-US"/>
        </w:rPr>
        <w:t xml:space="preserve">OECD </w:t>
      </w:r>
      <w:r>
        <w:rPr>
          <w:lang w:val="en-US"/>
        </w:rPr>
        <w:t xml:space="preserve">TG </w:t>
      </w:r>
      <w:r w:rsidRPr="004B7EF4">
        <w:rPr>
          <w:lang w:val="en-US"/>
        </w:rPr>
        <w:t>413</w:t>
      </w:r>
      <w:r>
        <w:rPr>
          <w:lang w:val="en-US"/>
        </w:rPr>
        <w:t>)</w:t>
      </w:r>
      <w:r w:rsidRPr="004B7EF4">
        <w:rPr>
          <w:lang w:val="en-US"/>
        </w:rPr>
        <w:t xml:space="preserve"> Wistar rats</w:t>
      </w:r>
      <w:r>
        <w:rPr>
          <w:lang w:val="en-US"/>
        </w:rPr>
        <w:t xml:space="preserve"> (10</w:t>
      </w:r>
      <w:r w:rsidRPr="004B7EF4">
        <w:rPr>
          <w:lang w:val="en-US"/>
        </w:rPr>
        <w:t>/sex/</w:t>
      </w:r>
      <w:r>
        <w:rPr>
          <w:lang w:val="en-US"/>
        </w:rPr>
        <w:t>concentration)</w:t>
      </w:r>
      <w:r w:rsidRPr="004B7EF4">
        <w:rPr>
          <w:lang w:val="en-US"/>
        </w:rPr>
        <w:t xml:space="preserve"> were exposed (whole body) to 15, 40, and 120 ppm Eh (0.080, 0.213, 0.640 mg/L, analytical concentrations) 6 h/day, 5 days/week for 90 days. Clinical signs, hematology, clinical chemistry </w:t>
      </w:r>
      <w:r>
        <w:rPr>
          <w:lang w:val="en-US"/>
        </w:rPr>
        <w:t xml:space="preserve">and </w:t>
      </w:r>
      <w:r w:rsidRPr="004B7EF4">
        <w:rPr>
          <w:lang w:val="en-US"/>
        </w:rPr>
        <w:t>ophthalmological examinations were carried out. At the end of the 90-day exposure period</w:t>
      </w:r>
      <w:r>
        <w:rPr>
          <w:lang w:val="en-US"/>
        </w:rPr>
        <w:t>,</w:t>
      </w:r>
      <w:r w:rsidRPr="004B7EF4">
        <w:rPr>
          <w:lang w:val="en-US"/>
        </w:rPr>
        <w:t xml:space="preserve"> all animals were necropsied and assessed by gross pathology. The body weight and the weight of the lungs, liver, kidneys, adrenal glands</w:t>
      </w:r>
      <w:r>
        <w:rPr>
          <w:lang w:val="en-US"/>
        </w:rPr>
        <w:t>,</w:t>
      </w:r>
      <w:r w:rsidRPr="004B7EF4">
        <w:rPr>
          <w:lang w:val="en-US"/>
        </w:rPr>
        <w:t xml:space="preserve"> and testes were determined. Organs or tissues required by guidelines were examined macroscopically and microscopically. </w:t>
      </w:r>
      <w:r>
        <w:rPr>
          <w:lang w:val="en-US"/>
        </w:rPr>
        <w:t>Based on no</w:t>
      </w:r>
      <w:r w:rsidRPr="004B7EF4">
        <w:rPr>
          <w:lang w:val="en-US"/>
        </w:rPr>
        <w:t xml:space="preserve"> effect</w:t>
      </w:r>
      <w:r>
        <w:rPr>
          <w:lang w:val="en-US"/>
        </w:rPr>
        <w:t>s</w:t>
      </w:r>
      <w:r w:rsidRPr="004B7EF4">
        <w:rPr>
          <w:lang w:val="en-US"/>
        </w:rPr>
        <w:t xml:space="preserve"> of toxicological relevance</w:t>
      </w:r>
      <w:r>
        <w:rPr>
          <w:lang w:val="en-US"/>
        </w:rPr>
        <w:t>,</w:t>
      </w:r>
      <w:r w:rsidRPr="004B7EF4">
        <w:rPr>
          <w:lang w:val="en-US"/>
        </w:rPr>
        <w:t xml:space="preserve"> </w:t>
      </w:r>
      <w:r>
        <w:rPr>
          <w:lang w:val="en-US"/>
        </w:rPr>
        <w:t>the 13-</w:t>
      </w:r>
      <w:proofErr w:type="gramStart"/>
      <w:r>
        <w:rPr>
          <w:lang w:val="en-US"/>
        </w:rPr>
        <w:t>week  NO</w:t>
      </w:r>
      <w:r w:rsidRPr="004B7EF4">
        <w:rPr>
          <w:lang w:val="en-US"/>
        </w:rPr>
        <w:t>E</w:t>
      </w:r>
      <w:r>
        <w:rPr>
          <w:lang w:val="en-US"/>
        </w:rPr>
        <w:t>C</w:t>
      </w:r>
      <w:proofErr w:type="gramEnd"/>
      <w:r w:rsidRPr="004B7EF4">
        <w:rPr>
          <w:lang w:val="en-US"/>
        </w:rPr>
        <w:t xml:space="preserve"> </w:t>
      </w:r>
      <w:r>
        <w:rPr>
          <w:lang w:val="en-US"/>
        </w:rPr>
        <w:t>was</w:t>
      </w:r>
      <w:r w:rsidRPr="004B7EF4">
        <w:rPr>
          <w:lang w:val="en-US"/>
        </w:rPr>
        <w:t xml:space="preserve"> </w:t>
      </w:r>
      <w:r>
        <w:rPr>
          <w:lang w:val="en-US"/>
        </w:rPr>
        <w:t>120</w:t>
      </w:r>
      <w:r w:rsidRPr="004B7EF4">
        <w:rPr>
          <w:lang w:val="en-US"/>
        </w:rPr>
        <w:t xml:space="preserve"> ppm </w:t>
      </w:r>
      <w:r>
        <w:rPr>
          <w:lang w:val="en-US"/>
        </w:rPr>
        <w:t>(0.64</w:t>
      </w:r>
      <w:r w:rsidRPr="004B7EF4">
        <w:rPr>
          <w:lang w:val="en-US"/>
        </w:rPr>
        <w:t xml:space="preserve"> mg/L</w:t>
      </w:r>
      <w:r>
        <w:rPr>
          <w:lang w:val="en-US"/>
        </w:rPr>
        <w:t>/day</w:t>
      </w:r>
      <w:r w:rsidRPr="004B7EF4">
        <w:rPr>
          <w:lang w:val="en-US"/>
        </w:rPr>
        <w:t>)</w:t>
      </w:r>
      <w:r>
        <w:rPr>
          <w:lang w:val="en-US"/>
        </w:rPr>
        <w:t xml:space="preserve"> (BASF 1992)</w:t>
      </w:r>
      <w:r w:rsidRPr="004B7EF4">
        <w:rPr>
          <w:lang w:val="en-US"/>
        </w:rPr>
        <w:t>.</w:t>
      </w:r>
    </w:p>
    <w:p w:rsidR="001D41E2" w:rsidRPr="002E4793" w:rsidRDefault="001D41E2" w:rsidP="009C4680">
      <w:pPr>
        <w:pStyle w:val="BodyText"/>
        <w:rPr>
          <w:lang w:val="en-US"/>
        </w:rPr>
      </w:pPr>
      <w:r w:rsidRPr="002E4793">
        <w:rPr>
          <w:b/>
          <w:bCs/>
          <w:lang w:val="en-US"/>
        </w:rPr>
        <w:t>HCl:</w:t>
      </w:r>
      <w:r w:rsidRPr="002E4793">
        <w:rPr>
          <w:lang w:val="en-US"/>
        </w:rPr>
        <w:t xml:space="preserve"> As stated in the SIAR for HCl, “</w:t>
      </w:r>
      <w:proofErr w:type="gramStart"/>
      <w:r w:rsidRPr="002E4793">
        <w:rPr>
          <w:lang w:val="en-US"/>
        </w:rPr>
        <w:t>for</w:t>
      </w:r>
      <w:proofErr w:type="gramEnd"/>
      <w:r w:rsidRPr="002E4793">
        <w:rPr>
          <w:lang w:val="en-US"/>
        </w:rPr>
        <w:t xml:space="preserve"> repeated dose toxicity, 13 inhalation studies have been reported. Among those, only the inhalation studies reported by CIIT (1984) were considered reliable, as they were conducted in compliance with FDA GLPs and were considered to be the critical studies for assessment (</w:t>
      </w:r>
      <w:r>
        <w:rPr>
          <w:lang w:val="en-US"/>
        </w:rPr>
        <w:t xml:space="preserve">OECD 2002b; </w:t>
      </w:r>
      <w:hyperlink r:id="rId52" w:history="1">
        <w:r w:rsidRPr="00E80A48">
          <w:rPr>
            <w:rStyle w:val="Hyperlink"/>
            <w:sz w:val="24"/>
            <w:szCs w:val="24"/>
            <w:lang w:val="en-US"/>
          </w:rPr>
          <w:t>http://www.chem.unep.ch/irptc/sids/oecdsids/ 7647010.pdf</w:t>
        </w:r>
      </w:hyperlink>
      <w:r w:rsidRPr="002E4793">
        <w:rPr>
          <w:lang w:val="en-US"/>
        </w:rPr>
        <w:t>). Four groups of 10 males and 10 females (mice: B6C3F1; rats: SD and F344) individually housed were exposed to hydrogen chloride gas at concentration</w:t>
      </w:r>
      <w:r>
        <w:rPr>
          <w:lang w:val="en-US"/>
        </w:rPr>
        <w:t>s</w:t>
      </w:r>
      <w:r w:rsidRPr="002E4793">
        <w:rPr>
          <w:lang w:val="en-US"/>
        </w:rPr>
        <w:t xml:space="preserve"> of 0, 10, 20 and 50 ppm (approximately 0, 0.015, 0.030 and 0.075 mg/L, respectively) for 90 days (6 hours/day, 5 days/week). For 50 ppm male and female mice, decrease in body weight gain and food consumption, decrease in liver weight (male) were noted. For 50 ppm male SD rats, decrease in food consumption was observed. For F344 rats, decrease in body weight gain in 50 ppm male and decrease in food consumption in 20 and 50 ppm of both sexes were observed. No biologically significant difference was observed in urinalysis, hematology and serum chemistry. Inflammatory microscopic changes in lips or nasal cavity were observed in B6C3F1 mice and F344 rats above 10 ppm or in SD rats above 20 ppm. </w:t>
      </w:r>
      <w:r>
        <w:rPr>
          <w:lang w:val="en-US"/>
        </w:rPr>
        <w:t>Based on effects of body weight, food consumption, t</w:t>
      </w:r>
      <w:r w:rsidRPr="002E4793">
        <w:rPr>
          <w:lang w:val="en-US"/>
        </w:rPr>
        <w:t xml:space="preserve">he </w:t>
      </w:r>
      <w:r>
        <w:rPr>
          <w:lang w:val="en-US"/>
        </w:rPr>
        <w:t xml:space="preserve">13-week </w:t>
      </w:r>
      <w:r w:rsidRPr="002E4793">
        <w:rPr>
          <w:lang w:val="en-US"/>
        </w:rPr>
        <w:t>NOAEC for repeated dose inhalation toxicity, except for the effects of irritation, is considered to be 20 ppm (0.03 mg/L</w:t>
      </w:r>
      <w:r>
        <w:rPr>
          <w:lang w:val="en-US"/>
        </w:rPr>
        <w:t>/day</w:t>
      </w:r>
      <w:r w:rsidRPr="002E4793">
        <w:rPr>
          <w:lang w:val="en-US"/>
        </w:rPr>
        <w:t>) for SD rats and B6C3F1 mice. Other inhalation studies with rats, mice, rabbits, guinea pigs and monkeys are not appropriate for initial assessment, as the methods of the experiments had some defects.”</w:t>
      </w:r>
    </w:p>
    <w:p w:rsidR="001D41E2" w:rsidRPr="004B7EF4" w:rsidRDefault="001D41E2" w:rsidP="00142E86">
      <w:pPr>
        <w:pStyle w:val="Caption"/>
        <w:ind w:left="0"/>
      </w:pPr>
      <w:bookmarkStart w:id="71" w:name="_Toc264983293"/>
      <w:r w:rsidRPr="004B7EF4">
        <w:t xml:space="preserve">Table </w:t>
      </w:r>
      <w:r>
        <w:t>1</w:t>
      </w:r>
      <w:r w:rsidR="002F054D">
        <w:t>7</w:t>
      </w:r>
      <w:r w:rsidR="00142E86">
        <w:t xml:space="preserve">     </w:t>
      </w:r>
      <w:r>
        <w:t xml:space="preserve"> </w:t>
      </w:r>
      <w:r w:rsidRPr="004B7EF4">
        <w:t xml:space="preserve">Summary </w:t>
      </w:r>
      <w:r>
        <w:t xml:space="preserve">of </w:t>
      </w:r>
      <w:r w:rsidR="002F054D">
        <w:t>R</w:t>
      </w:r>
      <w:r>
        <w:t xml:space="preserve">epeated </w:t>
      </w:r>
      <w:r w:rsidR="002F054D">
        <w:t>I</w:t>
      </w:r>
      <w:r>
        <w:t xml:space="preserve">nhalation </w:t>
      </w:r>
      <w:r w:rsidR="002F054D">
        <w:t>S</w:t>
      </w:r>
      <w:r>
        <w:t>tudies</w:t>
      </w:r>
      <w:bookmarkEnd w:id="71"/>
      <w:r>
        <w:t xml:space="preserve"> </w:t>
      </w:r>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6"/>
        <w:gridCol w:w="1340"/>
        <w:gridCol w:w="4264"/>
        <w:gridCol w:w="2315"/>
      </w:tblGrid>
      <w:tr w:rsidR="001D41E2" w:rsidRPr="004B7EF4" w:rsidTr="00AA48A4">
        <w:tc>
          <w:tcPr>
            <w:tcW w:w="1908"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 xml:space="preserve">Category member / </w:t>
            </w:r>
            <w:r w:rsidRPr="00071FE0">
              <w:rPr>
                <w:b/>
                <w:bCs/>
                <w:highlight w:val="lightGray"/>
              </w:rPr>
              <w:t>hydrolysis product</w:t>
            </w:r>
          </w:p>
        </w:tc>
        <w:tc>
          <w:tcPr>
            <w:tcW w:w="1320"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Test species</w:t>
            </w:r>
          </w:p>
        </w:tc>
        <w:tc>
          <w:tcPr>
            <w:tcW w:w="4200"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Result</w:t>
            </w:r>
          </w:p>
        </w:tc>
        <w:tc>
          <w:tcPr>
            <w:tcW w:w="2280" w:type="dxa"/>
            <w:tcBorders>
              <w:top w:val="single" w:sz="12" w:space="0" w:color="auto"/>
              <w:bottom w:val="single" w:sz="12" w:space="0" w:color="auto"/>
            </w:tcBorders>
            <w:vAlign w:val="center"/>
          </w:tcPr>
          <w:p w:rsidR="001D41E2" w:rsidRPr="004B7EF4" w:rsidRDefault="001D41E2" w:rsidP="009C4680">
            <w:pPr>
              <w:pStyle w:val="Tabletext"/>
              <w:jc w:val="center"/>
              <w:rPr>
                <w:b/>
                <w:bCs/>
              </w:rPr>
            </w:pPr>
            <w:r w:rsidRPr="004B7EF4">
              <w:rPr>
                <w:b/>
                <w:bCs/>
              </w:rPr>
              <w:t>Reference</w:t>
            </w:r>
          </w:p>
        </w:tc>
      </w:tr>
      <w:tr w:rsidR="001D41E2" w:rsidRPr="003B00E5" w:rsidTr="00AA48A4">
        <w:trPr>
          <w:trHeight w:val="567"/>
        </w:trPr>
        <w:tc>
          <w:tcPr>
            <w:tcW w:w="1908" w:type="dxa"/>
            <w:tcBorders>
              <w:top w:val="single" w:sz="12" w:space="0" w:color="auto"/>
            </w:tcBorders>
            <w:vAlign w:val="center"/>
          </w:tcPr>
          <w:p w:rsidR="001D41E2" w:rsidRPr="004B7EF4" w:rsidRDefault="001D41E2" w:rsidP="009C4680">
            <w:pPr>
              <w:pStyle w:val="Tabletext"/>
              <w:jc w:val="center"/>
            </w:pPr>
            <w:r w:rsidRPr="004B7EF4">
              <w:t>MeCF</w:t>
            </w:r>
          </w:p>
        </w:tc>
        <w:tc>
          <w:tcPr>
            <w:tcW w:w="1320" w:type="dxa"/>
            <w:tcBorders>
              <w:top w:val="single" w:sz="12" w:space="0" w:color="auto"/>
            </w:tcBorders>
            <w:vAlign w:val="center"/>
          </w:tcPr>
          <w:p w:rsidR="001D41E2" w:rsidRPr="002E4793" w:rsidRDefault="001D41E2" w:rsidP="009C4680">
            <w:pPr>
              <w:jc w:val="center"/>
              <w:rPr>
                <w:sz w:val="20"/>
                <w:szCs w:val="20"/>
              </w:rPr>
            </w:pPr>
            <w:r w:rsidRPr="002E4793">
              <w:rPr>
                <w:sz w:val="20"/>
                <w:szCs w:val="20"/>
              </w:rPr>
              <w:t>rat</w:t>
            </w:r>
          </w:p>
        </w:tc>
        <w:tc>
          <w:tcPr>
            <w:tcW w:w="4200" w:type="dxa"/>
            <w:tcBorders>
              <w:top w:val="single" w:sz="12" w:space="0" w:color="auto"/>
            </w:tcBorders>
            <w:vAlign w:val="center"/>
          </w:tcPr>
          <w:p w:rsidR="001D41E2" w:rsidRPr="004B7EF4" w:rsidRDefault="001D41E2" w:rsidP="009C4680">
            <w:pPr>
              <w:pStyle w:val="Tabletext"/>
              <w:jc w:val="center"/>
            </w:pPr>
            <w:r w:rsidRPr="004B7EF4">
              <w:t>90</w:t>
            </w:r>
            <w:r>
              <w:t>-</w:t>
            </w:r>
            <w:r w:rsidRPr="004B7EF4">
              <w:t xml:space="preserve">day </w:t>
            </w:r>
            <w:r>
              <w:t xml:space="preserve">local </w:t>
            </w:r>
            <w:r w:rsidRPr="004B7EF4">
              <w:t xml:space="preserve">NOAEC </w:t>
            </w:r>
            <w:r>
              <w:t>0.0016 mg/L/day; 90-day systemic 0.0078 mg/L/day</w:t>
            </w:r>
          </w:p>
          <w:p w:rsidR="001D41E2" w:rsidRPr="004B7EF4" w:rsidRDefault="001D41E2" w:rsidP="00AA48A4">
            <w:pPr>
              <w:pStyle w:val="Tabletext"/>
              <w:spacing w:after="0"/>
              <w:jc w:val="center"/>
            </w:pPr>
            <w:r w:rsidRPr="004B7EF4">
              <w:t>28</w:t>
            </w:r>
            <w:r>
              <w:t>-</w:t>
            </w:r>
            <w:r w:rsidRPr="004B7EF4">
              <w:t>day</w:t>
            </w:r>
            <w:r>
              <w:t xml:space="preserve"> local </w:t>
            </w:r>
            <w:r w:rsidRPr="004B7EF4">
              <w:t xml:space="preserve">NOAEC  </w:t>
            </w:r>
            <w:r>
              <w:t>0.0039 mg/L</w:t>
            </w:r>
            <w:r w:rsidRPr="004B7EF4">
              <w:t>/day</w:t>
            </w:r>
            <w:r>
              <w:t>; 28-day systemic NOAEC 0.012 mg/L/day</w:t>
            </w:r>
          </w:p>
        </w:tc>
        <w:tc>
          <w:tcPr>
            <w:tcW w:w="2280" w:type="dxa"/>
            <w:tcBorders>
              <w:top w:val="single" w:sz="12" w:space="0" w:color="auto"/>
            </w:tcBorders>
            <w:vAlign w:val="center"/>
          </w:tcPr>
          <w:p w:rsidR="001D41E2" w:rsidRPr="001D41E2" w:rsidRDefault="007D3E3E" w:rsidP="009C4680">
            <w:pPr>
              <w:pStyle w:val="Tabletext"/>
              <w:jc w:val="center"/>
            </w:pPr>
            <w:r w:rsidRPr="007D3E3E">
              <w:t>BASF AG, 1999c</w:t>
            </w:r>
          </w:p>
          <w:p w:rsidR="001D41E2" w:rsidRDefault="001D41E2" w:rsidP="009C4680">
            <w:pPr>
              <w:pStyle w:val="Tabletext"/>
              <w:jc w:val="center"/>
            </w:pPr>
          </w:p>
          <w:p w:rsidR="001D41E2" w:rsidRPr="001D41E2" w:rsidRDefault="007D3E3E" w:rsidP="00AA48A4">
            <w:pPr>
              <w:pStyle w:val="Tabletext"/>
              <w:jc w:val="center"/>
            </w:pPr>
            <w:r w:rsidRPr="007D3E3E">
              <w:t>HRC, 1992</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Me</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p w:rsidR="001D41E2" w:rsidRPr="00071FE0" w:rsidRDefault="007D3E3E" w:rsidP="009C4680">
            <w:pPr>
              <w:jc w:val="center"/>
              <w:rPr>
                <w:sz w:val="20"/>
                <w:szCs w:val="20"/>
                <w:highlight w:val="lightGray"/>
              </w:rPr>
            </w:pPr>
            <w:r w:rsidRPr="007D3E3E">
              <w:rPr>
                <w:sz w:val="20"/>
                <w:szCs w:val="20"/>
                <w:highlight w:val="lightGray"/>
              </w:rPr>
              <w:t>monkey</w:t>
            </w:r>
          </w:p>
        </w:tc>
        <w:tc>
          <w:tcPr>
            <w:tcW w:w="420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12-month NOAEC 0.13 mg/L/day;</w:t>
            </w:r>
          </w:p>
          <w:p w:rsidR="001D41E2" w:rsidRPr="00071FE0" w:rsidRDefault="007D3E3E" w:rsidP="009C4680">
            <w:pPr>
              <w:pStyle w:val="Tabletext"/>
              <w:jc w:val="center"/>
              <w:rPr>
                <w:highlight w:val="lightGray"/>
              </w:rPr>
            </w:pPr>
            <w:r w:rsidRPr="007D3E3E">
              <w:rPr>
                <w:highlight w:val="lightGray"/>
              </w:rPr>
              <w:t>29-month NOAEC 0.013 mg/L/day</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OECD,  2004a</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EtCF</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 xml:space="preserve">28-day NOAEC  0.004.5 mg/L/day </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Gage, 1970</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Pr</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9-day NOAEC = 1.230 mg/L/day</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ECB, 2008</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IpCF</w:t>
            </w:r>
          </w:p>
        </w:tc>
        <w:tc>
          <w:tcPr>
            <w:tcW w:w="1320" w:type="dxa"/>
            <w:shd w:val="clear" w:color="auto" w:fill="BFBFBF" w:themeFill="background1" w:themeFillShade="BF"/>
            <w:vAlign w:val="center"/>
          </w:tcPr>
          <w:p w:rsidR="001D41E2" w:rsidRPr="00071FE0" w:rsidRDefault="007D3E3E" w:rsidP="009C4680">
            <w:pPr>
              <w:jc w:val="center"/>
              <w:rPr>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9C4680">
            <w:pPr>
              <w:pStyle w:val="Tabletext"/>
              <w:jc w:val="center"/>
              <w:rPr>
                <w:sz w:val="24"/>
                <w:szCs w:val="24"/>
                <w:highlight w:val="lightGray"/>
              </w:rPr>
            </w:pPr>
            <w:r w:rsidRPr="007D3E3E">
              <w:rPr>
                <w:highlight w:val="lightGray"/>
              </w:rPr>
              <w:t>28-day local NOAEC =  0.021 mg/L/day ; 28-day systemic NOAEC = 0.062 mg/L/</w:t>
            </w:r>
          </w:p>
        </w:tc>
        <w:tc>
          <w:tcPr>
            <w:tcW w:w="2280" w:type="dxa"/>
            <w:shd w:val="clear" w:color="auto" w:fill="BFBFBF" w:themeFill="background1" w:themeFillShade="BF"/>
            <w:vAlign w:val="center"/>
          </w:tcPr>
          <w:p w:rsidR="001D41E2" w:rsidRPr="00071FE0" w:rsidRDefault="007D3E3E" w:rsidP="009C4680">
            <w:pPr>
              <w:pStyle w:val="Tabletext"/>
              <w:jc w:val="center"/>
              <w:rPr>
                <w:sz w:val="24"/>
                <w:szCs w:val="24"/>
                <w:highlight w:val="lightGray"/>
              </w:rPr>
            </w:pPr>
            <w:r w:rsidRPr="007D3E3E">
              <w:rPr>
                <w:highlight w:val="lightGray"/>
              </w:rPr>
              <w:t>Lulham &amp; Procter, 1986</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Ip</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p w:rsidR="001D41E2" w:rsidRPr="00071FE0" w:rsidRDefault="007D3E3E" w:rsidP="009C4680">
            <w:pPr>
              <w:jc w:val="center"/>
              <w:rPr>
                <w:sz w:val="20"/>
                <w:szCs w:val="20"/>
                <w:highlight w:val="lightGray"/>
              </w:rPr>
            </w:pPr>
            <w:r w:rsidRPr="007D3E3E">
              <w:rPr>
                <w:sz w:val="20"/>
                <w:szCs w:val="20"/>
                <w:highlight w:val="lightGray"/>
              </w:rPr>
              <w:t>mouse</w:t>
            </w:r>
          </w:p>
        </w:tc>
        <w:tc>
          <w:tcPr>
            <w:tcW w:w="420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13-weeks NOAEC = 1.25 mg/L/day</w:t>
            </w:r>
          </w:p>
          <w:p w:rsidR="001D41E2" w:rsidRPr="00071FE0" w:rsidRDefault="007D3E3E" w:rsidP="009C4680">
            <w:pPr>
              <w:pStyle w:val="Tabletext"/>
              <w:jc w:val="center"/>
              <w:rPr>
                <w:highlight w:val="lightGray"/>
              </w:rPr>
            </w:pPr>
            <w:r w:rsidRPr="007D3E3E">
              <w:rPr>
                <w:highlight w:val="lightGray"/>
              </w:rPr>
              <w:t>13-weeks NOAEC = 1.25 mg/L/day</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OECD, 2000</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Eh</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9C4680">
            <w:pPr>
              <w:pStyle w:val="Tabletext"/>
              <w:rPr>
                <w:highlight w:val="lightGray"/>
              </w:rPr>
            </w:pPr>
            <w:r w:rsidRPr="007D3E3E">
              <w:rPr>
                <w:highlight w:val="lightGray"/>
              </w:rPr>
              <w:t>13-weeks NOEC</w:t>
            </w:r>
            <w:r w:rsidR="005A7522">
              <w:rPr>
                <w:highlight w:val="lightGray"/>
              </w:rPr>
              <w:t xml:space="preserve">= </w:t>
            </w:r>
            <w:r w:rsidRPr="007D3E3E">
              <w:rPr>
                <w:highlight w:val="lightGray"/>
              </w:rPr>
              <w:t>0.64 mg/L/day</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BASF AG, 1992</w:t>
            </w:r>
          </w:p>
        </w:tc>
      </w:tr>
      <w:tr w:rsidR="001D41E2" w:rsidRPr="004B7EF4" w:rsidTr="00AA48A4">
        <w:trPr>
          <w:trHeight w:val="567"/>
        </w:trPr>
        <w:tc>
          <w:tcPr>
            <w:tcW w:w="1908"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HCl</w:t>
            </w:r>
          </w:p>
        </w:tc>
        <w:tc>
          <w:tcPr>
            <w:tcW w:w="1320" w:type="dxa"/>
            <w:shd w:val="clear" w:color="auto" w:fill="BFBFBF" w:themeFill="background1" w:themeFillShade="BF"/>
            <w:vAlign w:val="center"/>
          </w:tcPr>
          <w:p w:rsidR="001D41E2" w:rsidRPr="00071FE0" w:rsidRDefault="007D3E3E" w:rsidP="009C468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9C4680">
            <w:pPr>
              <w:pStyle w:val="Tabletext"/>
              <w:rPr>
                <w:highlight w:val="lightGray"/>
              </w:rPr>
            </w:pPr>
            <w:r w:rsidRPr="007D3E3E">
              <w:rPr>
                <w:highlight w:val="lightGray"/>
              </w:rPr>
              <w:t>13-weeks NOAEC = 0.03 mg/L/day</w:t>
            </w:r>
          </w:p>
        </w:tc>
        <w:tc>
          <w:tcPr>
            <w:tcW w:w="2280" w:type="dxa"/>
            <w:shd w:val="clear" w:color="auto" w:fill="BFBFBF" w:themeFill="background1" w:themeFillShade="BF"/>
            <w:vAlign w:val="center"/>
          </w:tcPr>
          <w:p w:rsidR="001D41E2" w:rsidRPr="00071FE0" w:rsidRDefault="007D3E3E" w:rsidP="009C4680">
            <w:pPr>
              <w:pStyle w:val="Tabletext"/>
              <w:jc w:val="center"/>
              <w:rPr>
                <w:highlight w:val="lightGray"/>
              </w:rPr>
            </w:pPr>
            <w:r w:rsidRPr="007D3E3E">
              <w:rPr>
                <w:highlight w:val="lightGray"/>
              </w:rPr>
              <w:t>OECD,  2002a</w:t>
            </w:r>
          </w:p>
        </w:tc>
      </w:tr>
    </w:tbl>
    <w:p w:rsidR="001D41E2" w:rsidRPr="004B7EF4" w:rsidRDefault="001D41E2" w:rsidP="00142E86">
      <w:pPr>
        <w:pStyle w:val="Heading9"/>
        <w:spacing w:before="240"/>
        <w:rPr>
          <w:lang w:val="en-US"/>
        </w:rPr>
      </w:pPr>
      <w:r w:rsidRPr="004B7EF4">
        <w:rPr>
          <w:lang w:val="en-US"/>
        </w:rPr>
        <w:t>Dermal</w:t>
      </w:r>
    </w:p>
    <w:p w:rsidR="001D41E2" w:rsidRPr="004B7EF4" w:rsidRDefault="001D41E2" w:rsidP="009C4680">
      <w:pPr>
        <w:pStyle w:val="BodyText"/>
        <w:rPr>
          <w:lang w:val="en-US"/>
        </w:rPr>
      </w:pPr>
      <w:r w:rsidRPr="004B7EF4">
        <w:rPr>
          <w:lang w:val="en-US"/>
        </w:rPr>
        <w:t xml:space="preserve">No data </w:t>
      </w:r>
      <w:r>
        <w:rPr>
          <w:lang w:val="en-US"/>
        </w:rPr>
        <w:t>available.</w:t>
      </w:r>
    </w:p>
    <w:p w:rsidR="001D41E2" w:rsidRPr="004B7EF4" w:rsidRDefault="001D41E2" w:rsidP="009C4680">
      <w:pPr>
        <w:pStyle w:val="Heading9"/>
        <w:rPr>
          <w:lang w:val="en-US"/>
        </w:rPr>
      </w:pPr>
      <w:r w:rsidRPr="004B7EF4">
        <w:rPr>
          <w:lang w:val="en-US"/>
        </w:rPr>
        <w:t>Oral</w:t>
      </w:r>
    </w:p>
    <w:p w:rsidR="001D41E2" w:rsidRDefault="001D41E2" w:rsidP="009C4680">
      <w:pPr>
        <w:pStyle w:val="BodyText"/>
        <w:rPr>
          <w:lang w:val="en-US"/>
        </w:rPr>
      </w:pPr>
      <w:r w:rsidRPr="004B7EF4">
        <w:rPr>
          <w:lang w:val="en-US"/>
        </w:rPr>
        <w:t xml:space="preserve">No data </w:t>
      </w:r>
      <w:r w:rsidR="005A7522">
        <w:rPr>
          <w:lang w:val="en-US"/>
        </w:rPr>
        <w:t xml:space="preserve">on parent compounds </w:t>
      </w:r>
      <w:r>
        <w:rPr>
          <w:lang w:val="en-US"/>
        </w:rPr>
        <w:t>available.</w:t>
      </w:r>
    </w:p>
    <w:p w:rsidR="001D41E2" w:rsidRPr="004B7EF4" w:rsidRDefault="001D41E2" w:rsidP="009C4680">
      <w:pPr>
        <w:pStyle w:val="Heading8"/>
        <w:rPr>
          <w:lang w:val="en-US"/>
        </w:rPr>
      </w:pPr>
      <w:r w:rsidRPr="004B7EF4">
        <w:rPr>
          <w:lang w:val="en-US"/>
        </w:rPr>
        <w:t>Studies in Humans</w:t>
      </w:r>
    </w:p>
    <w:p w:rsidR="001D41E2" w:rsidRPr="004B7EF4" w:rsidRDefault="001D41E2" w:rsidP="009C4680">
      <w:pPr>
        <w:pStyle w:val="BodyText"/>
        <w:rPr>
          <w:lang w:val="en-US"/>
        </w:rPr>
      </w:pPr>
      <w:r w:rsidRPr="004B7EF4">
        <w:rPr>
          <w:lang w:val="en-US"/>
        </w:rPr>
        <w:t xml:space="preserve">No data </w:t>
      </w:r>
      <w:r w:rsidR="005A7522">
        <w:rPr>
          <w:lang w:val="en-US"/>
        </w:rPr>
        <w:t xml:space="preserve">on parent </w:t>
      </w:r>
      <w:proofErr w:type="gramStart"/>
      <w:r w:rsidR="005A7522">
        <w:rPr>
          <w:lang w:val="en-US"/>
        </w:rPr>
        <w:t xml:space="preserve">compounds  </w:t>
      </w:r>
      <w:r w:rsidRPr="004B7EF4">
        <w:rPr>
          <w:lang w:val="en-US"/>
        </w:rPr>
        <w:t>available</w:t>
      </w:r>
      <w:proofErr w:type="gramEnd"/>
      <w:r w:rsidRPr="004B7EF4">
        <w:rPr>
          <w:lang w:val="en-US"/>
        </w:rPr>
        <w:t>.</w:t>
      </w:r>
    </w:p>
    <w:p w:rsidR="001D41E2" w:rsidRPr="004B7EF4" w:rsidRDefault="001D41E2" w:rsidP="009C4680">
      <w:pPr>
        <w:pStyle w:val="Heading8"/>
        <w:rPr>
          <w:lang w:val="en-US"/>
        </w:rPr>
      </w:pPr>
      <w:r w:rsidRPr="004B7EF4">
        <w:rPr>
          <w:lang w:val="en-US"/>
        </w:rPr>
        <w:t>Conclusion</w:t>
      </w:r>
    </w:p>
    <w:p w:rsidR="001D41E2" w:rsidRDefault="001D41E2" w:rsidP="009C4680">
      <w:pPr>
        <w:pStyle w:val="BodyText"/>
        <w:rPr>
          <w:lang w:val="en-US"/>
        </w:rPr>
      </w:pPr>
      <w:r>
        <w:rPr>
          <w:lang w:val="en-US"/>
        </w:rPr>
        <w:t xml:space="preserve">Repeated-dose inhalation toxicity studies are available for </w:t>
      </w:r>
      <w:r w:rsidRPr="004B7EF4">
        <w:rPr>
          <w:lang w:val="en-US"/>
        </w:rPr>
        <w:t>MeCF</w:t>
      </w:r>
      <w:r>
        <w:rPr>
          <w:lang w:val="en-US"/>
        </w:rPr>
        <w:t xml:space="preserve"> (28-day and 90-days), EtCF (28-day), and IpCF (28-day</w:t>
      </w:r>
      <w:r w:rsidRPr="004C2CEE">
        <w:rPr>
          <w:lang w:val="en-US"/>
        </w:rPr>
        <w:t xml:space="preserve">).  </w:t>
      </w:r>
      <w:r w:rsidR="007D3E3E" w:rsidRPr="007D3E3E">
        <w:rPr>
          <w:szCs w:val="24"/>
          <w:lang w:val="en-US"/>
        </w:rPr>
        <w:t>In these repeated-dose studies, the inflammatory response in the respiratory tract was severe and mortality occurred at the highest exposure concentrations.</w:t>
      </w:r>
      <w:r w:rsidRPr="00396720">
        <w:rPr>
          <w:sz w:val="22"/>
          <w:szCs w:val="22"/>
          <w:lang w:val="en-US"/>
        </w:rPr>
        <w:t xml:space="preserve"> </w:t>
      </w:r>
      <w:r w:rsidRPr="004B7EF4">
        <w:rPr>
          <w:lang w:val="en-US"/>
        </w:rPr>
        <w:t xml:space="preserve">Toxicity to tissues other than the respiratory tract was not noted at concentrations up to approximately </w:t>
      </w:r>
      <w:r w:rsidRPr="0065676A">
        <w:rPr>
          <w:lang w:val="en-US"/>
        </w:rPr>
        <w:t>35 ppm</w:t>
      </w:r>
      <w:r>
        <w:rPr>
          <w:lang w:val="en-US"/>
        </w:rPr>
        <w:t xml:space="preserve"> (0.012 mg/L/day) of MeCF, EtCF, and IpCF</w:t>
      </w:r>
      <w:r w:rsidRPr="0065676A">
        <w:rPr>
          <w:lang w:val="en-US"/>
        </w:rPr>
        <w:t>.</w:t>
      </w:r>
      <w:r w:rsidRPr="004B7EF4">
        <w:rPr>
          <w:lang w:val="en-US"/>
        </w:rPr>
        <w:t xml:space="preserve">  </w:t>
      </w:r>
      <w:r w:rsidR="007D3E3E" w:rsidRPr="007D3E3E">
        <w:rPr>
          <w:szCs w:val="24"/>
        </w:rPr>
        <w:t xml:space="preserve">In a repeated dose inhalation toxicity study following OECD TG 412, MeCF was administered via inhalation by whole body exposure to rats (5/sex/concentration) at 0 (air), 0.00052, 0.0015, 0.0039, 0.012, or 0.035 mg/L/day, for 6 hours/day, 5 days/weeks for 28 days.  </w:t>
      </w:r>
      <w:r w:rsidR="007D3E3E" w:rsidRPr="007D3E3E">
        <w:rPr>
          <w:szCs w:val="24"/>
          <w:lang w:val="en-US"/>
        </w:rPr>
        <w:t xml:space="preserve">Based on no treatment-related effects to the respiratory tract, the local 28-day NOAEC for MeCF was 0.0039 mg/L/day; based on mortality, decreased body weight and food consumption and changes in hematological/clinical chemistry parameters at 0.035 mg/L/day, the systemic 28-day NOAEC for MeCF was 0.012 mg/L/day. </w:t>
      </w:r>
      <w:r w:rsidR="007D3E3E" w:rsidRPr="007D3E3E">
        <w:rPr>
          <w:szCs w:val="24"/>
        </w:rPr>
        <w:t>In a repeated-dose inhalation toxicity study following OECD TG 413 (but without hematology or clinical chemistry evaluation and focusing on respiratory tract irritation), MeCF was administered via inhalation by whole body exposure to rats (10/sex/concentration) at 0 (air), 0.0016, 0.0078, 0.0157, or 0.0307 mg/L/day, for 6 hours/day, 5 days/weeks for 3, 10, 20 and 65 exposures (</w:t>
      </w:r>
      <w:r w:rsidR="007D3E3E" w:rsidRPr="007D3E3E">
        <w:rPr>
          <w:szCs w:val="24"/>
          <w:lang w:val="en-US"/>
        </w:rPr>
        <w:t>90-day study with interim necropsies after 3, 14 and 28 study days)</w:t>
      </w:r>
      <w:r w:rsidR="007D3E3E" w:rsidRPr="007D3E3E">
        <w:rPr>
          <w:szCs w:val="24"/>
        </w:rPr>
        <w:t xml:space="preserve">.  </w:t>
      </w:r>
      <w:r w:rsidR="007D3E3E" w:rsidRPr="007D3E3E">
        <w:rPr>
          <w:szCs w:val="24"/>
          <w:lang w:val="en-US"/>
        </w:rPr>
        <w:t xml:space="preserve">Based on substance-related pathological alterations and changes in DNA replication in the respiratory tract at 0.0078 mg/L/day and above, the local 90-day NOAEC for MeCF was 0.0016 mg/L/day; based on significant weight loss at 0.0157 mg/L/day, the systemic 90-day NOAEC for MeCF was 0.0078 mg/L/day. In a repeated dose inhalation toxicity study comparable to OECD TG 412, EtCF was administered via whole body exposure to rats (4/sex/concentration) at 0.0045 or 0.0226 mg/L/day, for 6 hours/day, 5 days/week for 28 days.  Based on reduced weight gains at 0.0226 mg/L/day, the systemic 28-day NOAEC for EtCF was 0.0045 mg/L/day. </w:t>
      </w:r>
      <w:r w:rsidR="007D3E3E" w:rsidRPr="007D3E3E">
        <w:rPr>
          <w:szCs w:val="24"/>
        </w:rPr>
        <w:t xml:space="preserve">In a repeated-dose inhalation toxicity study comparable to OECD TG 412, IpCF was administered via inhalation by whole body exposure to rats (10/sex/concentration) at 0 (air), 0.021, 0.062 and 0.181 </w:t>
      </w:r>
      <w:r w:rsidR="007D3E3E" w:rsidRPr="007D3E3E">
        <w:rPr>
          <w:szCs w:val="24"/>
          <w:lang w:val="en-US"/>
        </w:rPr>
        <w:t>mg/L</w:t>
      </w:r>
      <w:r w:rsidR="007D3E3E" w:rsidRPr="007D3E3E">
        <w:rPr>
          <w:szCs w:val="24"/>
        </w:rPr>
        <w:t xml:space="preserve">/day (analytical concentrations), for 6 hours/day, 5 days/weeks for 28 days.  </w:t>
      </w:r>
      <w:r w:rsidR="007D3E3E" w:rsidRPr="007D3E3E">
        <w:rPr>
          <w:szCs w:val="24"/>
          <w:lang w:val="en-US"/>
        </w:rPr>
        <w:t>Based on effects to the respiratory tract at 0.062 mg/L/day and above, the 28-day local NOAEC for IpCF is 0.021 mg/L/day; based on treatment-related effects to the lungs and thyroid and decreased body weight gain and food consumption at 0.181 mg/L/day, the 28-day systemic NOAEC for IpCF is 0.062 mg/L/day.</w:t>
      </w:r>
    </w:p>
    <w:p w:rsidR="009D5214" w:rsidRDefault="001D41E2">
      <w:pPr>
        <w:pStyle w:val="Heading3"/>
        <w:numPr>
          <w:ilvl w:val="2"/>
          <w:numId w:val="28"/>
        </w:numPr>
        <w:tabs>
          <w:tab w:val="clear" w:pos="1077"/>
          <w:tab w:val="clear" w:pos="1440"/>
          <w:tab w:val="clear" w:pos="2160"/>
        </w:tabs>
        <w:ind w:left="839" w:hanging="839"/>
        <w:rPr>
          <w:lang w:val="en-US"/>
        </w:rPr>
      </w:pPr>
      <w:bookmarkStart w:id="72" w:name="_Toc32726034"/>
      <w:bookmarkStart w:id="73" w:name="_Toc32727217"/>
      <w:bookmarkStart w:id="74" w:name="_Toc43868665"/>
      <w:bookmarkStart w:id="75" w:name="_Toc200358253"/>
      <w:bookmarkStart w:id="76" w:name="_Toc264983268"/>
      <w:bookmarkEnd w:id="47"/>
      <w:bookmarkEnd w:id="48"/>
      <w:bookmarkEnd w:id="49"/>
      <w:bookmarkEnd w:id="50"/>
      <w:r w:rsidRPr="0068764F">
        <w:rPr>
          <w:lang w:val="en-US"/>
        </w:rPr>
        <w:t>Mutagenicity</w:t>
      </w:r>
      <w:bookmarkEnd w:id="72"/>
      <w:bookmarkEnd w:id="73"/>
      <w:bookmarkEnd w:id="74"/>
      <w:bookmarkEnd w:id="75"/>
      <w:bookmarkEnd w:id="76"/>
    </w:p>
    <w:p w:rsidR="001D41E2" w:rsidRPr="004B7EF4" w:rsidRDefault="001D41E2" w:rsidP="00DE56B0">
      <w:pPr>
        <w:pStyle w:val="BodyText"/>
        <w:rPr>
          <w:lang w:val="en-US"/>
        </w:rPr>
      </w:pPr>
      <w:r>
        <w:rPr>
          <w:lang w:val="en-US"/>
        </w:rPr>
        <w:t>Data for mutagenicity are available for all members of the chloroformates category.  The data are summarized in T</w:t>
      </w:r>
      <w:r w:rsidRPr="004B7EF4">
        <w:rPr>
          <w:lang w:val="en-US"/>
        </w:rPr>
        <w:t xml:space="preserve">able </w:t>
      </w:r>
      <w:r>
        <w:rPr>
          <w:lang w:val="en-US"/>
        </w:rPr>
        <w:t>1</w:t>
      </w:r>
      <w:r w:rsidR="002F054D">
        <w:rPr>
          <w:lang w:val="en-US"/>
        </w:rPr>
        <w:t>8</w:t>
      </w:r>
      <w:r>
        <w:rPr>
          <w:lang w:val="en-US"/>
        </w:rPr>
        <w:t>. Data are available for</w:t>
      </w:r>
      <w:r>
        <w:rPr>
          <w:snapToGrid w:val="0"/>
          <w:color w:val="000000"/>
          <w:lang w:val="en-US"/>
        </w:rPr>
        <w:t xml:space="preserve"> an </w:t>
      </w:r>
      <w:r w:rsidRPr="00B263AD">
        <w:rPr>
          <w:i/>
          <w:iCs/>
          <w:snapToGrid w:val="0"/>
          <w:color w:val="000000"/>
          <w:lang w:val="en-US"/>
        </w:rPr>
        <w:t>in vitro</w:t>
      </w:r>
      <w:r w:rsidRPr="004B7EF4">
        <w:rPr>
          <w:snapToGrid w:val="0"/>
          <w:color w:val="000000"/>
          <w:lang w:val="en-US"/>
        </w:rPr>
        <w:t xml:space="preserve"> </w:t>
      </w:r>
      <w:r>
        <w:rPr>
          <w:snapToGrid w:val="0"/>
          <w:color w:val="000000"/>
          <w:lang w:val="en-US"/>
        </w:rPr>
        <w:t>ch</w:t>
      </w:r>
      <w:r w:rsidRPr="004B7EF4">
        <w:rPr>
          <w:snapToGrid w:val="0"/>
          <w:color w:val="000000"/>
          <w:lang w:val="en-US"/>
        </w:rPr>
        <w:t>romosomal aberration</w:t>
      </w:r>
      <w:r>
        <w:rPr>
          <w:snapToGrid w:val="0"/>
          <w:color w:val="000000"/>
          <w:lang w:val="en-US"/>
        </w:rPr>
        <w:t>s</w:t>
      </w:r>
      <w:r w:rsidRPr="004B7EF4">
        <w:rPr>
          <w:snapToGrid w:val="0"/>
          <w:color w:val="000000"/>
          <w:lang w:val="en-US"/>
        </w:rPr>
        <w:t xml:space="preserve"> study </w:t>
      </w:r>
      <w:r>
        <w:rPr>
          <w:snapToGrid w:val="0"/>
          <w:color w:val="000000"/>
          <w:lang w:val="en-US"/>
        </w:rPr>
        <w:t xml:space="preserve">on MeCF.  Except for Ip, </w:t>
      </w:r>
      <w:r w:rsidRPr="00B263AD">
        <w:rPr>
          <w:i/>
          <w:iCs/>
          <w:snapToGrid w:val="0"/>
          <w:color w:val="000000"/>
          <w:lang w:val="en-US"/>
        </w:rPr>
        <w:t>in vitro</w:t>
      </w:r>
      <w:r>
        <w:rPr>
          <w:snapToGrid w:val="0"/>
          <w:color w:val="000000"/>
          <w:lang w:val="en-US"/>
        </w:rPr>
        <w:t xml:space="preserve"> mutagenicity and chromosomal aberrations data are available for all the hydrolysis products</w:t>
      </w:r>
      <w:r w:rsidRPr="004B7EF4">
        <w:rPr>
          <w:snapToGrid w:val="0"/>
          <w:color w:val="000000"/>
          <w:lang w:val="en-US"/>
        </w:rPr>
        <w:t>.</w:t>
      </w:r>
      <w:r>
        <w:rPr>
          <w:snapToGrid w:val="0"/>
          <w:color w:val="000000"/>
          <w:lang w:val="en-US"/>
        </w:rPr>
        <w:t xml:space="preserve"> The data are summarized in Table 1</w:t>
      </w:r>
      <w:r w:rsidR="002F054D">
        <w:rPr>
          <w:snapToGrid w:val="0"/>
          <w:color w:val="000000"/>
          <w:lang w:val="en-US"/>
        </w:rPr>
        <w:t>9</w:t>
      </w:r>
      <w:r>
        <w:rPr>
          <w:snapToGrid w:val="0"/>
          <w:color w:val="000000"/>
          <w:lang w:val="en-US"/>
        </w:rPr>
        <w:t xml:space="preserve">. </w:t>
      </w:r>
      <w:r w:rsidRPr="00B263AD">
        <w:rPr>
          <w:i/>
          <w:iCs/>
          <w:snapToGrid w:val="0"/>
          <w:color w:val="000000"/>
          <w:lang w:val="en-US"/>
        </w:rPr>
        <w:t>In vivo</w:t>
      </w:r>
      <w:r>
        <w:rPr>
          <w:snapToGrid w:val="0"/>
          <w:color w:val="000000"/>
          <w:lang w:val="en-US"/>
        </w:rPr>
        <w:t xml:space="preserve"> cytogenicity data are available for selected hydrolysis products: Me, </w:t>
      </w:r>
      <w:proofErr w:type="gramStart"/>
      <w:r>
        <w:rPr>
          <w:snapToGrid w:val="0"/>
          <w:color w:val="000000"/>
          <w:lang w:val="en-US"/>
        </w:rPr>
        <w:t>Et</w:t>
      </w:r>
      <w:proofErr w:type="gramEnd"/>
      <w:r>
        <w:rPr>
          <w:snapToGrid w:val="0"/>
          <w:color w:val="000000"/>
          <w:lang w:val="en-US"/>
        </w:rPr>
        <w:t xml:space="preserve">, Pr, Ip, and Eh. The data are summarized in Table </w:t>
      </w:r>
      <w:r w:rsidR="002F054D">
        <w:rPr>
          <w:snapToGrid w:val="0"/>
          <w:color w:val="000000"/>
          <w:lang w:val="en-US"/>
        </w:rPr>
        <w:t>20</w:t>
      </w:r>
      <w:r>
        <w:rPr>
          <w:snapToGrid w:val="0"/>
          <w:color w:val="000000"/>
          <w:lang w:val="en-US"/>
        </w:rPr>
        <w:t xml:space="preserve">. </w:t>
      </w:r>
    </w:p>
    <w:p w:rsidR="001D41E2" w:rsidRPr="004B7EF4" w:rsidRDefault="001D41E2" w:rsidP="00142E86">
      <w:pPr>
        <w:pStyle w:val="Heading8"/>
        <w:pageBreakBefore/>
        <w:rPr>
          <w:lang w:val="en-US"/>
        </w:rPr>
      </w:pPr>
      <w:r w:rsidRPr="004B7EF4">
        <w:rPr>
          <w:lang w:val="en-US"/>
        </w:rPr>
        <w:t>In vitro Studies</w:t>
      </w:r>
    </w:p>
    <w:p w:rsidR="001D41E2" w:rsidRPr="004B7EF4" w:rsidRDefault="001D41E2" w:rsidP="00DE56B0">
      <w:pPr>
        <w:pStyle w:val="BodyText"/>
        <w:rPr>
          <w:b/>
          <w:bCs/>
          <w:i/>
          <w:iCs/>
          <w:lang w:val="en-US"/>
        </w:rPr>
      </w:pPr>
      <w:r w:rsidRPr="004B7EF4">
        <w:rPr>
          <w:b/>
          <w:bCs/>
          <w:i/>
          <w:iCs/>
          <w:lang w:val="en-US"/>
        </w:rPr>
        <w:t>Sponsored substances</w:t>
      </w:r>
    </w:p>
    <w:p w:rsidR="00C441AE" w:rsidRPr="004B7EF4" w:rsidRDefault="001D41E2" w:rsidP="00DE56B0">
      <w:pPr>
        <w:pStyle w:val="BodyText"/>
        <w:spacing w:after="240"/>
        <w:rPr>
          <w:lang w:val="en-US"/>
        </w:rPr>
      </w:pPr>
      <w:r w:rsidRPr="004B7EF4">
        <w:rPr>
          <w:b/>
          <w:bCs/>
          <w:i/>
          <w:iCs/>
          <w:lang w:val="en-US"/>
        </w:rPr>
        <w:t>MeCF</w:t>
      </w:r>
      <w:r w:rsidRPr="004B7EF4">
        <w:rPr>
          <w:lang w:val="en-US"/>
        </w:rPr>
        <w:t>:  MeCF was tested in the pre incubation assay</w:t>
      </w:r>
      <w:r>
        <w:rPr>
          <w:lang w:val="en-US"/>
        </w:rPr>
        <w:t xml:space="preserve"> according to OECD TG 471</w:t>
      </w:r>
      <w:r w:rsidRPr="004B7EF4">
        <w:rPr>
          <w:lang w:val="en-US"/>
        </w:rPr>
        <w:t xml:space="preserve"> with and without metabolic activation in S. </w:t>
      </w:r>
      <w:r w:rsidRPr="00B263AD">
        <w:rPr>
          <w:i/>
          <w:iCs/>
          <w:lang w:val="en-US"/>
        </w:rPr>
        <w:t>typhimurium</w:t>
      </w:r>
      <w:r w:rsidRPr="004B7EF4">
        <w:rPr>
          <w:lang w:val="en-US"/>
        </w:rPr>
        <w:t xml:space="preserve"> TA98, TA100, TA1535 and TA1537 at dose levels of 5 -5000 µg</w:t>
      </w:r>
      <w:r w:rsidDel="00D021F9">
        <w:rPr>
          <w:lang w:val="en-US"/>
        </w:rPr>
        <w:t xml:space="preserve"> </w:t>
      </w:r>
      <w:r w:rsidRPr="004B7EF4">
        <w:rPr>
          <w:lang w:val="en-US"/>
        </w:rPr>
        <w:t xml:space="preserve">/plate. No increase in the number of revertants was detected in any strain with and without metabolic activation. Vehicle controls and positive controls were valid. </w:t>
      </w:r>
      <w:r>
        <w:rPr>
          <w:lang w:val="en-US"/>
        </w:rPr>
        <w:t>Cytotoxicity was observed (concentrations not stated).  MeCF was not mutagenic in this assay</w:t>
      </w:r>
      <w:r w:rsidRPr="004B7EF4">
        <w:rPr>
          <w:lang w:val="en-US"/>
        </w:rPr>
        <w:t xml:space="preserve"> (BASF</w:t>
      </w:r>
      <w:r>
        <w:rPr>
          <w:lang w:val="en-US"/>
        </w:rPr>
        <w:t xml:space="preserve"> AG,</w:t>
      </w:r>
      <w:r w:rsidRPr="004B7EF4">
        <w:rPr>
          <w:lang w:val="en-US"/>
        </w:rPr>
        <w:t xml:space="preserve"> 1988</w:t>
      </w:r>
      <w:r>
        <w:rPr>
          <w:lang w:val="en-US"/>
        </w:rPr>
        <w:t>c</w:t>
      </w:r>
      <w:r w:rsidRPr="004B7EF4">
        <w:rPr>
          <w:lang w:val="en-US"/>
        </w:rPr>
        <w:t>).</w:t>
      </w:r>
    </w:p>
    <w:p w:rsidR="001D41E2" w:rsidRPr="004B7EF4" w:rsidRDefault="001D41E2" w:rsidP="00DE56B0">
      <w:pPr>
        <w:spacing w:after="240" w:line="230" w:lineRule="atLeast"/>
        <w:jc w:val="both"/>
      </w:pPr>
      <w:r w:rsidRPr="00941A08">
        <w:t>MeCF was tested for chromosomal aberrations in a study comparable to OECD TG 473, with V79 cells at concentrations of 0.1, 1.0, 2.5 µl/mL. Positive and negative controls reacted appropriately. Cytotoxicity was observed (concentration not stated).  Under the conditions described in this report, there was an unequivocal enhancement of the aberration rates 7 h and 28 h after the treatment of the</w:t>
      </w:r>
      <w:r>
        <w:t xml:space="preserve"> cells </w:t>
      </w:r>
      <w:proofErr w:type="gramStart"/>
      <w:r>
        <w:t>with 2</w:t>
      </w:r>
      <w:r w:rsidRPr="004B7EF4">
        <w:t xml:space="preserve">.5 </w:t>
      </w:r>
      <w:r>
        <w:t>µl</w:t>
      </w:r>
      <w:r w:rsidRPr="004B7EF4">
        <w:t xml:space="preserve">/ml in the presence of </w:t>
      </w:r>
      <w:r>
        <w:t>metabolic activation,</w:t>
      </w:r>
      <w:proofErr w:type="gramEnd"/>
      <w:r w:rsidRPr="004B7EF4">
        <w:t xml:space="preserve"> but </w:t>
      </w:r>
      <w:r>
        <w:t>the results were</w:t>
      </w:r>
      <w:r w:rsidRPr="004B7EF4">
        <w:t xml:space="preserve"> negative after 18 hours. No </w:t>
      </w:r>
      <w:r>
        <w:t>chromosomal aberrations</w:t>
      </w:r>
      <w:r w:rsidRPr="004B7EF4">
        <w:t xml:space="preserve"> were observed in the absence </w:t>
      </w:r>
      <w:r>
        <w:t xml:space="preserve">of metabolic activation. MeCF is considered positive for chromosomal aberrations in the presence of metabolic activation </w:t>
      </w:r>
      <w:r w:rsidRPr="004B7EF4">
        <w:t>(LMP</w:t>
      </w:r>
      <w:r>
        <w:t>,</w:t>
      </w:r>
      <w:r w:rsidRPr="004B7EF4">
        <w:t xml:space="preserve"> 1986).</w:t>
      </w:r>
    </w:p>
    <w:p w:rsidR="001D41E2" w:rsidRDefault="001D41E2" w:rsidP="00DE56B0">
      <w:pPr>
        <w:pStyle w:val="BodyText"/>
        <w:spacing w:after="240"/>
        <w:rPr>
          <w:lang w:val="en-US"/>
        </w:rPr>
      </w:pPr>
      <w:r w:rsidRPr="004B7EF4">
        <w:rPr>
          <w:b/>
          <w:bCs/>
          <w:i/>
          <w:iCs/>
          <w:lang w:val="en-US"/>
        </w:rPr>
        <w:t>EtCF</w:t>
      </w:r>
      <w:r w:rsidRPr="004B7EF4">
        <w:rPr>
          <w:lang w:val="en-US"/>
        </w:rPr>
        <w:t xml:space="preserve">: </w:t>
      </w:r>
      <w:r>
        <w:rPr>
          <w:lang w:val="en-US"/>
        </w:rPr>
        <w:t xml:space="preserve">In a reverse-mutation bacterial assay (OECD TG 471), </w:t>
      </w:r>
      <w:r w:rsidRPr="004B7EF4">
        <w:rPr>
          <w:lang w:val="en-US"/>
        </w:rPr>
        <w:t xml:space="preserve">S. </w:t>
      </w:r>
      <w:r w:rsidRPr="004748A4">
        <w:rPr>
          <w:i/>
          <w:iCs/>
          <w:lang w:val="en-US"/>
        </w:rPr>
        <w:t>typhimurium</w:t>
      </w:r>
      <w:r w:rsidRPr="004B7EF4">
        <w:rPr>
          <w:lang w:val="en-US"/>
        </w:rPr>
        <w:t xml:space="preserve"> </w:t>
      </w:r>
      <w:r>
        <w:rPr>
          <w:lang w:val="en-US"/>
        </w:rPr>
        <w:t xml:space="preserve">strains </w:t>
      </w:r>
      <w:r w:rsidRPr="004B7EF4">
        <w:rPr>
          <w:lang w:val="en-US"/>
        </w:rPr>
        <w:t xml:space="preserve">TA98, TA100, TA1535 and TA1537 </w:t>
      </w:r>
      <w:r>
        <w:rPr>
          <w:lang w:val="en-US"/>
        </w:rPr>
        <w:t xml:space="preserve">were exposed to EtCF </w:t>
      </w:r>
      <w:r w:rsidRPr="004B7EF4">
        <w:rPr>
          <w:lang w:val="en-US"/>
        </w:rPr>
        <w:t>at dose levels of 5 -5000 µ</w:t>
      </w:r>
      <w:r>
        <w:rPr>
          <w:lang w:val="en-US"/>
        </w:rPr>
        <w:t>L</w:t>
      </w:r>
      <w:r w:rsidRPr="004B7EF4">
        <w:rPr>
          <w:lang w:val="en-US"/>
        </w:rPr>
        <w:t>/plate</w:t>
      </w:r>
      <w:r>
        <w:rPr>
          <w:lang w:val="en-US"/>
        </w:rPr>
        <w:t xml:space="preserve"> with and without metabolic activation</w:t>
      </w:r>
      <w:r w:rsidRPr="004B7EF4">
        <w:rPr>
          <w:lang w:val="en-US"/>
        </w:rPr>
        <w:t xml:space="preserve">.  No increase in the number of revertants was detected in any strain with and without metabolic activation. Vehicle controls and positive controls were valid. Cytotoxicity was </w:t>
      </w:r>
      <w:r>
        <w:rPr>
          <w:lang w:val="en-US"/>
        </w:rPr>
        <w:t xml:space="preserve">observed at concentrations ≥ 0.015 </w:t>
      </w:r>
      <w:r w:rsidRPr="004B7EF4">
        <w:rPr>
          <w:lang w:val="en-US"/>
        </w:rPr>
        <w:t>µ</w:t>
      </w:r>
      <w:r>
        <w:rPr>
          <w:lang w:val="en-US"/>
        </w:rPr>
        <w:t>L</w:t>
      </w:r>
      <w:r w:rsidRPr="004B7EF4">
        <w:rPr>
          <w:lang w:val="en-US"/>
        </w:rPr>
        <w:t>/plate</w:t>
      </w:r>
      <w:r>
        <w:rPr>
          <w:lang w:val="en-US"/>
        </w:rPr>
        <w:t xml:space="preserve"> (without activation) and ≥ 0.2 </w:t>
      </w:r>
      <w:r w:rsidRPr="004B7EF4">
        <w:rPr>
          <w:lang w:val="en-US"/>
        </w:rPr>
        <w:t>µ</w:t>
      </w:r>
      <w:r>
        <w:rPr>
          <w:lang w:val="en-US"/>
        </w:rPr>
        <w:t>L</w:t>
      </w:r>
      <w:r w:rsidRPr="004B7EF4">
        <w:rPr>
          <w:lang w:val="en-US"/>
        </w:rPr>
        <w:t>/plate</w:t>
      </w:r>
      <w:r>
        <w:rPr>
          <w:lang w:val="en-US"/>
        </w:rPr>
        <w:t xml:space="preserve"> (with activation).</w:t>
      </w:r>
      <w:r w:rsidRPr="004B7EF4">
        <w:rPr>
          <w:lang w:val="en-US"/>
        </w:rPr>
        <w:t xml:space="preserve"> No precipitation was reported</w:t>
      </w:r>
      <w:r>
        <w:rPr>
          <w:lang w:val="en-US"/>
        </w:rPr>
        <w:t>.  EtCF was not mutagenic in this assay</w:t>
      </w:r>
      <w:r w:rsidRPr="004B7EF4">
        <w:rPr>
          <w:lang w:val="en-US"/>
        </w:rPr>
        <w:t xml:space="preserve"> (BASF</w:t>
      </w:r>
      <w:r>
        <w:rPr>
          <w:lang w:val="en-US"/>
        </w:rPr>
        <w:t xml:space="preserve"> AG,</w:t>
      </w:r>
      <w:r w:rsidRPr="004B7EF4">
        <w:rPr>
          <w:lang w:val="en-US"/>
        </w:rPr>
        <w:t xml:space="preserve"> 1988</w:t>
      </w:r>
      <w:r>
        <w:rPr>
          <w:lang w:val="en-US"/>
        </w:rPr>
        <w:t>d</w:t>
      </w:r>
      <w:r w:rsidRPr="004B7EF4">
        <w:rPr>
          <w:lang w:val="en-US"/>
        </w:rPr>
        <w:t>).</w:t>
      </w:r>
    </w:p>
    <w:p w:rsidR="001D41E2" w:rsidRPr="004B7EF4" w:rsidRDefault="001D41E2" w:rsidP="00DE56B0">
      <w:pPr>
        <w:pStyle w:val="BodyText"/>
        <w:spacing w:after="240"/>
        <w:rPr>
          <w:lang w:val="en-US"/>
        </w:rPr>
      </w:pPr>
      <w:r w:rsidRPr="004B7EF4">
        <w:rPr>
          <w:b/>
          <w:bCs/>
          <w:i/>
          <w:iCs/>
          <w:lang w:val="en-US"/>
        </w:rPr>
        <w:t>PrCF:</w:t>
      </w:r>
      <w:r w:rsidRPr="004B7EF4">
        <w:rPr>
          <w:lang w:val="en-US"/>
        </w:rPr>
        <w:t xml:space="preserve"> </w:t>
      </w:r>
      <w:r>
        <w:rPr>
          <w:lang w:val="en-US"/>
        </w:rPr>
        <w:t xml:space="preserve">In a reverse-mutation bacterial assay (OECD TG 471), </w:t>
      </w:r>
      <w:r w:rsidRPr="004B7EF4">
        <w:rPr>
          <w:lang w:val="en-US"/>
        </w:rPr>
        <w:t xml:space="preserve">S. </w:t>
      </w:r>
      <w:r w:rsidRPr="004748A4">
        <w:rPr>
          <w:i/>
          <w:iCs/>
          <w:lang w:val="en-US"/>
        </w:rPr>
        <w:t>typhimurium</w:t>
      </w:r>
      <w:r w:rsidRPr="004B7EF4">
        <w:rPr>
          <w:lang w:val="en-US"/>
        </w:rPr>
        <w:t xml:space="preserve"> </w:t>
      </w:r>
      <w:r>
        <w:rPr>
          <w:lang w:val="en-US"/>
        </w:rPr>
        <w:t xml:space="preserve">strains </w:t>
      </w:r>
      <w:r w:rsidRPr="004B7EF4">
        <w:rPr>
          <w:lang w:val="en-US"/>
        </w:rPr>
        <w:t xml:space="preserve">TA98, TA100, TA1535 and TA1537 </w:t>
      </w:r>
      <w:r>
        <w:rPr>
          <w:lang w:val="en-US"/>
        </w:rPr>
        <w:t xml:space="preserve">were exposed to PrCF </w:t>
      </w:r>
      <w:r w:rsidRPr="004B7EF4">
        <w:rPr>
          <w:lang w:val="en-US"/>
        </w:rPr>
        <w:t xml:space="preserve">at dose levels of </w:t>
      </w:r>
      <w:r>
        <w:rPr>
          <w:lang w:val="en-US"/>
        </w:rPr>
        <w:t>0.0005-5µL</w:t>
      </w:r>
      <w:r w:rsidRPr="004B7EF4">
        <w:rPr>
          <w:lang w:val="en-US"/>
        </w:rPr>
        <w:t>/plate</w:t>
      </w:r>
      <w:r>
        <w:rPr>
          <w:lang w:val="en-US"/>
        </w:rPr>
        <w:t xml:space="preserve"> with and without metabolic activation</w:t>
      </w:r>
      <w:r w:rsidRPr="004B7EF4">
        <w:rPr>
          <w:lang w:val="en-US"/>
        </w:rPr>
        <w:t xml:space="preserve">. No increase in the number of revertants was detected in any strain with and without metabolic activation. Vehicle controls and positive controls were valid. Cytotoxicity was </w:t>
      </w:r>
      <w:r>
        <w:rPr>
          <w:lang w:val="en-US"/>
        </w:rPr>
        <w:t>observed &gt; 0.002-0.005 µL</w:t>
      </w:r>
      <w:r w:rsidRPr="004B7EF4">
        <w:rPr>
          <w:lang w:val="en-US"/>
        </w:rPr>
        <w:t>/plate</w:t>
      </w:r>
      <w:r>
        <w:rPr>
          <w:lang w:val="en-US"/>
        </w:rPr>
        <w:t xml:space="preserve"> (without activation) and ≥ 0.3 – </w:t>
      </w:r>
      <w:proofErr w:type="gramStart"/>
      <w:r>
        <w:rPr>
          <w:lang w:val="en-US"/>
        </w:rPr>
        <w:t>0.5 µL</w:t>
      </w:r>
      <w:r w:rsidRPr="004B7EF4">
        <w:rPr>
          <w:lang w:val="en-US"/>
        </w:rPr>
        <w:t>/plate</w:t>
      </w:r>
      <w:r>
        <w:rPr>
          <w:lang w:val="en-US"/>
        </w:rPr>
        <w:t xml:space="preserve"> (with activation)</w:t>
      </w:r>
      <w:proofErr w:type="gramEnd"/>
      <w:r w:rsidRPr="004B7EF4">
        <w:rPr>
          <w:lang w:val="en-US"/>
        </w:rPr>
        <w:t>. No precipitation was reported</w:t>
      </w:r>
      <w:r>
        <w:rPr>
          <w:lang w:val="en-US"/>
        </w:rPr>
        <w:t>.  PrCF was not mutagenic in this assay</w:t>
      </w:r>
      <w:r w:rsidRPr="004B7EF4">
        <w:rPr>
          <w:lang w:val="en-US"/>
        </w:rPr>
        <w:t xml:space="preserve"> (BASF</w:t>
      </w:r>
      <w:r>
        <w:rPr>
          <w:lang w:val="en-US"/>
        </w:rPr>
        <w:t>,</w:t>
      </w:r>
      <w:r w:rsidRPr="004B7EF4">
        <w:rPr>
          <w:lang w:val="en-US"/>
        </w:rPr>
        <w:t xml:space="preserve"> 1988</w:t>
      </w:r>
      <w:r>
        <w:rPr>
          <w:lang w:val="en-US"/>
        </w:rPr>
        <w:t>b</w:t>
      </w:r>
      <w:r w:rsidRPr="004B7EF4">
        <w:rPr>
          <w:lang w:val="en-US"/>
        </w:rPr>
        <w:t>).</w:t>
      </w:r>
    </w:p>
    <w:p w:rsidR="001D41E2" w:rsidRPr="004B7EF4" w:rsidRDefault="001D41E2" w:rsidP="00DE56B0">
      <w:pPr>
        <w:spacing w:after="240" w:line="230" w:lineRule="atLeast"/>
        <w:jc w:val="both"/>
      </w:pPr>
      <w:r w:rsidRPr="004B7EF4">
        <w:rPr>
          <w:b/>
          <w:bCs/>
          <w:i/>
          <w:iCs/>
        </w:rPr>
        <w:t>IpCF:</w:t>
      </w:r>
      <w:r w:rsidRPr="004B7EF4">
        <w:t xml:space="preserve"> </w:t>
      </w:r>
      <w:r>
        <w:t xml:space="preserve">In two guideline studies (OECD TGs 471 and 472) </w:t>
      </w:r>
      <w:r w:rsidRPr="004B7EF4">
        <w:t xml:space="preserve">S. </w:t>
      </w:r>
      <w:r w:rsidRPr="00E3060F">
        <w:rPr>
          <w:i/>
          <w:iCs/>
        </w:rPr>
        <w:t>typhimurium</w:t>
      </w:r>
      <w:r w:rsidRPr="004B7EF4">
        <w:t xml:space="preserve"> (</w:t>
      </w:r>
      <w:r>
        <w:t xml:space="preserve">strains </w:t>
      </w:r>
      <w:r w:rsidRPr="004B7EF4">
        <w:t xml:space="preserve">TA98, TA100, TA1535 and TA1537) or E. </w:t>
      </w:r>
      <w:r w:rsidRPr="00E3060F">
        <w:rPr>
          <w:i/>
          <w:iCs/>
        </w:rPr>
        <w:t>coli</w:t>
      </w:r>
      <w:r w:rsidRPr="004B7EF4">
        <w:t xml:space="preserve"> (E. </w:t>
      </w:r>
      <w:r>
        <w:rPr>
          <w:i/>
          <w:iCs/>
        </w:rPr>
        <w:t>c</w:t>
      </w:r>
      <w:r w:rsidRPr="00E3060F">
        <w:rPr>
          <w:i/>
          <w:iCs/>
        </w:rPr>
        <w:t>oli</w:t>
      </w:r>
      <w:r w:rsidRPr="004B7EF4">
        <w:t xml:space="preserve"> WP2) (standard plate: 20 - 5000 µg/plate; preincubation 4 - 2500 µg/plate), </w:t>
      </w:r>
      <w:r>
        <w:t xml:space="preserve">did not show an increase in the number of revertants </w:t>
      </w:r>
      <w:r w:rsidRPr="004B7EF4">
        <w:t xml:space="preserve">in </w:t>
      </w:r>
      <w:r>
        <w:t xml:space="preserve">either </w:t>
      </w:r>
      <w:r w:rsidRPr="004B7EF4">
        <w:t xml:space="preserve">the standard plate test or in the preincubation test, with or without metabolic activation. Vehicle controls and positive controls were valid. Cytotoxicity was </w:t>
      </w:r>
      <w:r>
        <w:t>observed at ≥ 25</w:t>
      </w:r>
      <w:r w:rsidRPr="004B7EF4">
        <w:t>00 µg/plate</w:t>
      </w:r>
      <w:r>
        <w:t xml:space="preserve"> (standard plate test) and ≥ 5</w:t>
      </w:r>
      <w:r w:rsidRPr="004B7EF4">
        <w:t>00 µg/plate</w:t>
      </w:r>
      <w:r>
        <w:t xml:space="preserve"> (preincubation test)</w:t>
      </w:r>
      <w:r w:rsidRPr="004B7EF4">
        <w:t>. No precipitation was reported</w:t>
      </w:r>
      <w:r>
        <w:t>. IpCF was not mutagenic in this assay</w:t>
      </w:r>
      <w:r w:rsidRPr="004B7EF4">
        <w:t xml:space="preserve"> (BASF</w:t>
      </w:r>
      <w:r>
        <w:t xml:space="preserve"> AG,</w:t>
      </w:r>
      <w:r w:rsidRPr="004B7EF4">
        <w:t xml:space="preserve"> 1999d).</w:t>
      </w:r>
    </w:p>
    <w:p w:rsidR="001D41E2" w:rsidRPr="004B7EF4" w:rsidRDefault="001D41E2" w:rsidP="00DE56B0">
      <w:pPr>
        <w:spacing w:after="240" w:line="230" w:lineRule="atLeast"/>
        <w:jc w:val="both"/>
      </w:pPr>
      <w:r w:rsidRPr="004B7EF4">
        <w:rPr>
          <w:b/>
          <w:bCs/>
          <w:i/>
          <w:iCs/>
        </w:rPr>
        <w:t>SbCF:</w:t>
      </w:r>
      <w:r w:rsidRPr="004B7EF4">
        <w:t xml:space="preserve"> </w:t>
      </w:r>
      <w:r>
        <w:t xml:space="preserve">In two guideline studies (OECD TGs 471 and 472) </w:t>
      </w:r>
      <w:r w:rsidRPr="004B7EF4">
        <w:t xml:space="preserve">S. </w:t>
      </w:r>
      <w:r w:rsidRPr="00A40A28">
        <w:rPr>
          <w:i/>
          <w:iCs/>
        </w:rPr>
        <w:t>typhimurium</w:t>
      </w:r>
      <w:r w:rsidRPr="004B7EF4">
        <w:t xml:space="preserve"> (</w:t>
      </w:r>
      <w:r>
        <w:t xml:space="preserve">strains </w:t>
      </w:r>
      <w:r w:rsidRPr="004B7EF4">
        <w:t xml:space="preserve">TA98, TA100, TA1535 and TA1537) or E. </w:t>
      </w:r>
      <w:r w:rsidRPr="00A40A28">
        <w:rPr>
          <w:i/>
          <w:iCs/>
        </w:rPr>
        <w:t>coli</w:t>
      </w:r>
      <w:r w:rsidRPr="004B7EF4">
        <w:t xml:space="preserve"> (E. </w:t>
      </w:r>
      <w:r>
        <w:rPr>
          <w:i/>
          <w:iCs/>
        </w:rPr>
        <w:t>c</w:t>
      </w:r>
      <w:r w:rsidRPr="00A40A28">
        <w:rPr>
          <w:i/>
          <w:iCs/>
        </w:rPr>
        <w:t>oli</w:t>
      </w:r>
      <w:r w:rsidRPr="004B7EF4">
        <w:t xml:space="preserve"> WP2) (standard plate: 20 - 5000 µg/plate; preincubation 125 - 2000 µg/plate), </w:t>
      </w:r>
      <w:r>
        <w:t xml:space="preserve">did not show an increase in the number of revertants </w:t>
      </w:r>
      <w:r w:rsidRPr="004B7EF4">
        <w:t xml:space="preserve">in </w:t>
      </w:r>
      <w:r>
        <w:t xml:space="preserve">either </w:t>
      </w:r>
      <w:r w:rsidRPr="004B7EF4">
        <w:t xml:space="preserve">the standard plate test or in the preincubation test, with or without metabolic activation. Vehicle controls and positive controls were valid. Cytotoxicity was found at </w:t>
      </w:r>
      <w:r>
        <w:t>≥</w:t>
      </w:r>
      <w:r w:rsidRPr="004B7EF4">
        <w:t>1000 µg/plate depending on the strain and metabolic activation. No precipitation was reported</w:t>
      </w:r>
      <w:r>
        <w:t>.  SbCF was not mutagenic in this assay</w:t>
      </w:r>
      <w:r w:rsidRPr="004B7EF4">
        <w:t xml:space="preserve"> (BASF </w:t>
      </w:r>
      <w:r>
        <w:t xml:space="preserve">AG, </w:t>
      </w:r>
      <w:r w:rsidRPr="004B7EF4">
        <w:t>1999e).</w:t>
      </w:r>
    </w:p>
    <w:p w:rsidR="001D41E2" w:rsidRPr="004B7EF4" w:rsidRDefault="001D41E2" w:rsidP="00DE56B0">
      <w:pPr>
        <w:spacing w:after="240" w:line="230" w:lineRule="atLeast"/>
        <w:jc w:val="both"/>
      </w:pPr>
      <w:r w:rsidRPr="004B7EF4">
        <w:rPr>
          <w:b/>
          <w:bCs/>
          <w:i/>
          <w:iCs/>
        </w:rPr>
        <w:t>ObCF</w:t>
      </w:r>
      <w:r w:rsidRPr="004B7EF4">
        <w:t xml:space="preserve">: </w:t>
      </w:r>
      <w:r>
        <w:t>In a reverse-mutation bacterial assay (OECD TG 471) S</w:t>
      </w:r>
      <w:r w:rsidRPr="004B7EF4">
        <w:t xml:space="preserve">. </w:t>
      </w:r>
      <w:r w:rsidRPr="00A40A28">
        <w:rPr>
          <w:i/>
          <w:iCs/>
        </w:rPr>
        <w:t>typhimurium</w:t>
      </w:r>
      <w:r w:rsidRPr="004B7EF4">
        <w:t xml:space="preserve"> </w:t>
      </w:r>
      <w:r>
        <w:t xml:space="preserve">strains </w:t>
      </w:r>
      <w:r w:rsidRPr="004B7EF4">
        <w:t xml:space="preserve">TA98, TA100, TA1535 and TA1537 </w:t>
      </w:r>
      <w:r>
        <w:t xml:space="preserve">were tested </w:t>
      </w:r>
      <w:r w:rsidRPr="004B7EF4">
        <w:t>at 20-5000 µg/plate</w:t>
      </w:r>
      <w:r>
        <w:t xml:space="preserve"> ObCF with and without metabolic activation</w:t>
      </w:r>
      <w:r w:rsidRPr="004B7EF4">
        <w:t xml:space="preserve">.  No increase in the number of revertants was detected in any strain with and without metabolic activation. Vehicle controls and positive controls were valid. Cytotoxicity was </w:t>
      </w:r>
      <w:r>
        <w:t xml:space="preserve">observed in strain TA 98 at concentrations ≥ 2500 </w:t>
      </w:r>
      <w:r w:rsidRPr="004B7EF4">
        <w:t>µg/plate</w:t>
      </w:r>
      <w:r>
        <w:t xml:space="preserve"> (without activation)</w:t>
      </w:r>
      <w:r w:rsidRPr="004B7EF4">
        <w:t>. No precipitation was reported</w:t>
      </w:r>
      <w:r>
        <w:t>.  ObCF was not mutagenic in this assay</w:t>
      </w:r>
      <w:r w:rsidRPr="004B7EF4">
        <w:t xml:space="preserve"> (BASF</w:t>
      </w:r>
      <w:r>
        <w:t xml:space="preserve"> AG,</w:t>
      </w:r>
      <w:r w:rsidRPr="004B7EF4">
        <w:t xml:space="preserve"> 19</w:t>
      </w:r>
      <w:r>
        <w:t>98c</w:t>
      </w:r>
      <w:r w:rsidRPr="004B7EF4">
        <w:t>).</w:t>
      </w:r>
    </w:p>
    <w:p w:rsidR="001D41E2" w:rsidRDefault="001D41E2" w:rsidP="00DE56B0">
      <w:pPr>
        <w:spacing w:after="240" w:line="230" w:lineRule="atLeast"/>
        <w:jc w:val="both"/>
      </w:pPr>
      <w:r w:rsidRPr="004B7EF4">
        <w:rPr>
          <w:b/>
          <w:bCs/>
          <w:i/>
          <w:iCs/>
        </w:rPr>
        <w:t>EhCF:</w:t>
      </w:r>
      <w:r w:rsidRPr="004B7EF4">
        <w:t xml:space="preserve"> </w:t>
      </w:r>
      <w:r>
        <w:t xml:space="preserve">In a reverse-mutation bacterial assay (OECD TG 471) </w:t>
      </w:r>
      <w:r w:rsidRPr="004B7EF4">
        <w:t xml:space="preserve"> S. </w:t>
      </w:r>
      <w:r w:rsidRPr="00FF22BD">
        <w:rPr>
          <w:i/>
          <w:iCs/>
        </w:rPr>
        <w:t>typhimurium</w:t>
      </w:r>
      <w:r w:rsidRPr="004B7EF4">
        <w:t xml:space="preserve"> (</w:t>
      </w:r>
      <w:r>
        <w:t xml:space="preserve">strains </w:t>
      </w:r>
      <w:r w:rsidRPr="004B7EF4">
        <w:t xml:space="preserve">TA98, TA100, TA1535 and TA1537) or E. </w:t>
      </w:r>
      <w:r w:rsidRPr="00FF22BD">
        <w:rPr>
          <w:i/>
          <w:iCs/>
        </w:rPr>
        <w:t>coli</w:t>
      </w:r>
      <w:r w:rsidRPr="004B7EF4">
        <w:t xml:space="preserve"> (E. </w:t>
      </w:r>
      <w:r w:rsidRPr="00FF22BD">
        <w:rPr>
          <w:i/>
          <w:iCs/>
        </w:rPr>
        <w:t>coli</w:t>
      </w:r>
      <w:r w:rsidRPr="004B7EF4">
        <w:t xml:space="preserve"> WP2) (standard plate: 0.8 - 5000 µg/plate; preincubation 0</w:t>
      </w:r>
      <w:r>
        <w:t>.</w:t>
      </w:r>
      <w:r w:rsidRPr="004B7EF4">
        <w:t xml:space="preserve">8 - 500 µg/plate), </w:t>
      </w:r>
      <w:r>
        <w:t>did not show an increase in the number of revertants</w:t>
      </w:r>
      <w:r w:rsidRPr="004B7EF4">
        <w:t xml:space="preserve">  in </w:t>
      </w:r>
      <w:r>
        <w:t xml:space="preserve">either </w:t>
      </w:r>
      <w:r w:rsidRPr="004B7EF4">
        <w:t>the standard plate test or the preincubation test, with or without metabolic activation. Vehicle controls and positive controls were valid. Cytotoxic</w:t>
      </w:r>
      <w:r>
        <w:t>ity was observed at</w:t>
      </w:r>
      <w:r w:rsidRPr="004B7EF4">
        <w:t xml:space="preserve"> concentrations</w:t>
      </w:r>
      <w:r>
        <w:t xml:space="preserve"> ≥ 2500 </w:t>
      </w:r>
      <w:r w:rsidRPr="004B7EF4">
        <w:t>µg/plate</w:t>
      </w:r>
      <w:r>
        <w:t xml:space="preserve"> (standard plate test) and ≥ 100 </w:t>
      </w:r>
      <w:r w:rsidRPr="004B7EF4">
        <w:t>µg/plate</w:t>
      </w:r>
      <w:r>
        <w:t xml:space="preserve"> (preincubation test)</w:t>
      </w:r>
      <w:r w:rsidRPr="004B7EF4">
        <w:t>. No precipitation was reported</w:t>
      </w:r>
      <w:r>
        <w:t>.  EhCF was not mutagenic in this assay</w:t>
      </w:r>
      <w:r w:rsidRPr="004B7EF4">
        <w:t xml:space="preserve"> (BASF</w:t>
      </w:r>
      <w:r>
        <w:t xml:space="preserve"> AG,</w:t>
      </w:r>
      <w:r w:rsidRPr="004B7EF4">
        <w:t xml:space="preserve"> 2000).</w:t>
      </w:r>
    </w:p>
    <w:p w:rsidR="001D41E2" w:rsidRPr="004B7EF4" w:rsidRDefault="001D41E2" w:rsidP="00AA48A4">
      <w:pPr>
        <w:pStyle w:val="Caption"/>
        <w:ind w:left="0"/>
      </w:pPr>
      <w:bookmarkStart w:id="77" w:name="_Toc264983294"/>
      <w:r>
        <w:t>Table 1</w:t>
      </w:r>
      <w:r w:rsidR="002F054D">
        <w:t>8</w:t>
      </w:r>
      <w:r w:rsidR="00AA48A4">
        <w:t xml:space="preserve">    </w:t>
      </w:r>
      <w:r>
        <w:t xml:space="preserve"> Summary of Gene Mutation Tests</w:t>
      </w:r>
      <w:bookmarkEnd w:id="77"/>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13"/>
        <w:gridCol w:w="3129"/>
        <w:gridCol w:w="1203"/>
        <w:gridCol w:w="1324"/>
        <w:gridCol w:w="2286"/>
      </w:tblGrid>
      <w:tr w:rsidR="001D41E2" w:rsidRPr="00AA48A4" w:rsidTr="00AA48A4">
        <w:trPr>
          <w:tblHeader/>
        </w:trPr>
        <w:tc>
          <w:tcPr>
            <w:tcW w:w="1908" w:type="dxa"/>
            <w:tcBorders>
              <w:top w:val="single" w:sz="12" w:space="0" w:color="auto"/>
              <w:bottom w:val="single" w:sz="12" w:space="0" w:color="auto"/>
            </w:tcBorders>
            <w:vAlign w:val="center"/>
          </w:tcPr>
          <w:p w:rsidR="001D41E2" w:rsidRPr="00AA48A4" w:rsidRDefault="001D41E2" w:rsidP="00DE56B0">
            <w:pPr>
              <w:pStyle w:val="Tabletext"/>
              <w:rPr>
                <w:b/>
                <w:bCs/>
              </w:rPr>
            </w:pPr>
            <w:r w:rsidRPr="00AA48A4">
              <w:rPr>
                <w:b/>
                <w:bCs/>
              </w:rPr>
              <w:t>Category member / hydrolysis product</w:t>
            </w:r>
          </w:p>
        </w:tc>
        <w:tc>
          <w:tcPr>
            <w:tcW w:w="31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Test strains</w:t>
            </w:r>
          </w:p>
        </w:tc>
        <w:tc>
          <w:tcPr>
            <w:tcW w:w="120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Metabolic activation</w:t>
            </w:r>
          </w:p>
        </w:tc>
        <w:tc>
          <w:tcPr>
            <w:tcW w:w="13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Result</w:t>
            </w:r>
          </w:p>
        </w:tc>
        <w:tc>
          <w:tcPr>
            <w:tcW w:w="228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Reference</w:t>
            </w:r>
          </w:p>
        </w:tc>
      </w:tr>
      <w:tr w:rsidR="001D41E2" w:rsidRPr="00AA48A4" w:rsidTr="00AA48A4">
        <w:trPr>
          <w:trHeight w:val="397"/>
        </w:trPr>
        <w:tc>
          <w:tcPr>
            <w:tcW w:w="9828" w:type="dxa"/>
            <w:gridSpan w:val="5"/>
            <w:tcBorders>
              <w:top w:val="single" w:sz="12" w:space="0" w:color="auto"/>
            </w:tcBorders>
            <w:vAlign w:val="center"/>
          </w:tcPr>
          <w:p w:rsidR="001D41E2" w:rsidRPr="00AA48A4" w:rsidRDefault="001D41E2" w:rsidP="00AA48A4">
            <w:pPr>
              <w:pStyle w:val="Tabletext"/>
              <w:jc w:val="center"/>
            </w:pPr>
            <w:r w:rsidRPr="00AA48A4">
              <w:rPr>
                <w:b/>
                <w:bCs/>
              </w:rPr>
              <w:t>Gene Mutation: Ames Test; CHO/HPRT Test; Mouse Lymphoma test</w:t>
            </w:r>
          </w:p>
        </w:tc>
      </w:tr>
      <w:tr w:rsidR="001D41E2" w:rsidRPr="00AA48A4" w:rsidTr="00AA48A4">
        <w:trPr>
          <w:trHeight w:val="567"/>
        </w:trPr>
        <w:tc>
          <w:tcPr>
            <w:tcW w:w="1908" w:type="dxa"/>
            <w:vAlign w:val="center"/>
          </w:tcPr>
          <w:p w:rsidR="001D41E2" w:rsidRPr="00AA48A4" w:rsidRDefault="001D41E2" w:rsidP="00AA48A4">
            <w:pPr>
              <w:pStyle w:val="Tabletext"/>
              <w:ind w:left="282"/>
            </w:pPr>
            <w:r w:rsidRPr="00AA48A4">
              <w:t>MeCF</w:t>
            </w:r>
          </w:p>
        </w:tc>
        <w:tc>
          <w:tcPr>
            <w:tcW w:w="3120" w:type="dxa"/>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TA98, TA100, TA1535, TA1537</w:t>
            </w:r>
          </w:p>
        </w:tc>
        <w:tc>
          <w:tcPr>
            <w:tcW w:w="1200" w:type="dxa"/>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vAlign w:val="center"/>
          </w:tcPr>
          <w:p w:rsidR="001D41E2" w:rsidRPr="00AA48A4" w:rsidRDefault="001D41E2" w:rsidP="00AA48A4">
            <w:pPr>
              <w:pStyle w:val="NormalWeb"/>
              <w:spacing w:before="120" w:after="120"/>
              <w:ind w:left="367"/>
              <w:rPr>
                <w:sz w:val="20"/>
                <w:szCs w:val="20"/>
                <w:lang w:val="en-US"/>
              </w:rPr>
            </w:pPr>
            <w:r w:rsidRPr="00AA48A4">
              <w:rPr>
                <w:sz w:val="20"/>
                <w:szCs w:val="20"/>
                <w:lang w:val="en-US"/>
              </w:rPr>
              <w:t>BASF AG, 1988c</w:t>
            </w: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Me</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2004a</w:t>
            </w:r>
          </w:p>
        </w:tc>
      </w:tr>
      <w:tr w:rsidR="001D41E2" w:rsidRPr="00AA48A4" w:rsidTr="00AA48A4">
        <w:trPr>
          <w:trHeight w:val="473"/>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1D41E2" w:rsidP="008D2C3D">
            <w:pPr>
              <w:jc w:val="center"/>
              <w:rPr>
                <w:sz w:val="20"/>
                <w:szCs w:val="20"/>
              </w:rPr>
            </w:pPr>
            <w:r w:rsidRPr="00AA48A4">
              <w:rPr>
                <w:sz w:val="20"/>
                <w:szCs w:val="20"/>
              </w:rPr>
              <w:t>TA102</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 xml:space="preserve">ambiguous </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357"/>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mouse lymphoma cells L5178Y TK+/-</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positive</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EtCF</w:t>
            </w:r>
          </w:p>
        </w:tc>
        <w:tc>
          <w:tcPr>
            <w:tcW w:w="3120" w:type="dxa"/>
            <w:vAlign w:val="center"/>
          </w:tcPr>
          <w:p w:rsidR="001D41E2" w:rsidRPr="00AA48A4" w:rsidRDefault="001D41E2" w:rsidP="008D2C3D">
            <w:pPr>
              <w:jc w:val="center"/>
              <w:rPr>
                <w:sz w:val="20"/>
                <w:szCs w:val="20"/>
              </w:rPr>
            </w:pPr>
            <w:r w:rsidRPr="00AA48A4">
              <w:rPr>
                <w:sz w:val="20"/>
                <w:szCs w:val="20"/>
              </w:rPr>
              <w:t>TA98, TA100, TA1535, TA1537</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1988d</w:t>
            </w: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Et</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 97, TA98, TA100, TA 102, TA 104</w:t>
            </w:r>
            <w:proofErr w:type="gramStart"/>
            <w:r w:rsidRPr="00AA48A4">
              <w:rPr>
                <w:sz w:val="20"/>
                <w:szCs w:val="20"/>
                <w:lang w:val="fr-FR"/>
              </w:rPr>
              <w:t>,TA1535</w:t>
            </w:r>
            <w:proofErr w:type="gramEnd"/>
            <w:r w:rsidRPr="00AA48A4">
              <w:rPr>
                <w:sz w:val="20"/>
                <w:szCs w:val="20"/>
                <w:lang w:val="fr-FR"/>
              </w:rPr>
              <w:t xml:space="preserve">, TA1537, TA 1538, </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2005</w:t>
            </w:r>
          </w:p>
          <w:p w:rsidR="001D41E2" w:rsidRPr="00AA48A4" w:rsidRDefault="001D41E2" w:rsidP="00AA48A4">
            <w:pPr>
              <w:ind w:left="367"/>
              <w:rPr>
                <w:sz w:val="20"/>
                <w:szCs w:val="20"/>
              </w:rPr>
            </w:pPr>
          </w:p>
        </w:tc>
      </w:tr>
      <w:tr w:rsidR="001D41E2" w:rsidRPr="00AA48A4" w:rsidTr="00AA48A4">
        <w:trPr>
          <w:trHeight w:val="567"/>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mouse lymphoma cells L5178Y TK+/-</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 xml:space="preserve"> weakly positive</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PrCF</w:t>
            </w:r>
          </w:p>
        </w:tc>
        <w:tc>
          <w:tcPr>
            <w:tcW w:w="3120" w:type="dxa"/>
            <w:vAlign w:val="center"/>
          </w:tcPr>
          <w:p w:rsidR="001D41E2" w:rsidRPr="00AA48A4" w:rsidRDefault="001D41E2" w:rsidP="008D2C3D">
            <w:pPr>
              <w:jc w:val="center"/>
              <w:rPr>
                <w:sz w:val="20"/>
                <w:szCs w:val="20"/>
              </w:rPr>
            </w:pPr>
            <w:r w:rsidRPr="00AA48A4">
              <w:rPr>
                <w:sz w:val="20"/>
                <w:szCs w:val="20"/>
              </w:rPr>
              <w:t>TA98, TA100, TA1535, TA1537</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1988b</w:t>
            </w: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Pr</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 xml:space="preserve">TA 98, TA 100, </w:t>
            </w:r>
          </w:p>
          <w:p w:rsidR="001D41E2" w:rsidRPr="00AA48A4" w:rsidRDefault="007D3E3E" w:rsidP="008D2C3D">
            <w:pPr>
              <w:jc w:val="center"/>
              <w:rPr>
                <w:sz w:val="20"/>
                <w:szCs w:val="20"/>
                <w:lang w:val="fr-FR"/>
              </w:rPr>
            </w:pPr>
            <w:r w:rsidRPr="00AA48A4">
              <w:rPr>
                <w:sz w:val="20"/>
                <w:szCs w:val="20"/>
                <w:lang w:val="fr-FR"/>
              </w:rPr>
              <w:t>E.Coli CA274hfr lac125</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p w:rsidR="001D41E2" w:rsidRPr="00AA48A4" w:rsidRDefault="001D41E2" w:rsidP="008D2C3D">
            <w:pPr>
              <w:jc w:val="center"/>
              <w:rPr>
                <w:sz w:val="20"/>
                <w:szCs w:val="20"/>
              </w:rPr>
            </w:pPr>
            <w:r w:rsidRPr="00AA48A4">
              <w:rPr>
                <w:sz w:val="20"/>
                <w:szCs w:val="20"/>
              </w:rPr>
              <w:t>ambiguous</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ECB, 2008</w:t>
            </w:r>
          </w:p>
        </w:tc>
      </w:tr>
      <w:tr w:rsidR="001D41E2" w:rsidRPr="00AA48A4" w:rsidTr="00AA48A4">
        <w:trPr>
          <w:trHeight w:val="567"/>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1D41E2" w:rsidP="008D2C3D">
            <w:pPr>
              <w:jc w:val="center"/>
              <w:rPr>
                <w:sz w:val="20"/>
                <w:szCs w:val="20"/>
              </w:rPr>
            </w:pPr>
            <w:proofErr w:type="gramStart"/>
            <w:r w:rsidRPr="00AA48A4">
              <w:rPr>
                <w:sz w:val="20"/>
                <w:szCs w:val="20"/>
              </w:rPr>
              <w:t>mouse</w:t>
            </w:r>
            <w:proofErr w:type="gramEnd"/>
            <w:r w:rsidRPr="00AA48A4">
              <w:rPr>
                <w:sz w:val="20"/>
                <w:szCs w:val="20"/>
              </w:rPr>
              <w:t xml:space="preserve"> lymph. cells L5178Y TK+/-</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IpCF</w:t>
            </w:r>
          </w:p>
        </w:tc>
        <w:tc>
          <w:tcPr>
            <w:tcW w:w="3120" w:type="dxa"/>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1999d</w:t>
            </w: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Ip</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 97, TA98, TA100, TA102, TA104, TA1535, TA1537, TA1538</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2000</w:t>
            </w:r>
          </w:p>
        </w:tc>
      </w:tr>
      <w:tr w:rsidR="001D41E2" w:rsidRPr="00AA48A4" w:rsidTr="00AA48A4">
        <w:trPr>
          <w:trHeight w:val="248"/>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1D41E2" w:rsidP="008D2C3D">
            <w:pPr>
              <w:jc w:val="center"/>
              <w:rPr>
                <w:sz w:val="20"/>
                <w:szCs w:val="20"/>
              </w:rPr>
            </w:pPr>
            <w:r w:rsidRPr="00AA48A4">
              <w:rPr>
                <w:sz w:val="20"/>
                <w:szCs w:val="20"/>
              </w:rPr>
              <w:t xml:space="preserve">CHO/HGPRT </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SbCF</w:t>
            </w:r>
          </w:p>
        </w:tc>
        <w:tc>
          <w:tcPr>
            <w:tcW w:w="3120" w:type="dxa"/>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1999e</w:t>
            </w:r>
          </w:p>
        </w:tc>
      </w:tr>
      <w:tr w:rsidR="001D41E2" w:rsidRPr="00AA48A4" w:rsidTr="00AA48A4">
        <w:trPr>
          <w:trHeight w:val="567"/>
        </w:trPr>
        <w:tc>
          <w:tcPr>
            <w:tcW w:w="1908" w:type="dxa"/>
            <w:shd w:val="clear" w:color="auto" w:fill="C0C0C0"/>
            <w:vAlign w:val="center"/>
          </w:tcPr>
          <w:p w:rsidR="001D41E2" w:rsidRPr="00AA48A4" w:rsidRDefault="001D41E2" w:rsidP="00AA48A4">
            <w:pPr>
              <w:ind w:left="282"/>
              <w:rPr>
                <w:sz w:val="20"/>
                <w:szCs w:val="20"/>
              </w:rPr>
            </w:pPr>
            <w:r w:rsidRPr="00AA48A4">
              <w:rPr>
                <w:sz w:val="20"/>
                <w:szCs w:val="20"/>
              </w:rPr>
              <w:t>Sb</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shd w:val="clear" w:color="auto" w:fill="C0C0C0"/>
            <w:vAlign w:val="center"/>
          </w:tcPr>
          <w:p w:rsidR="001D41E2" w:rsidRPr="00AA48A4" w:rsidRDefault="001D41E2" w:rsidP="00AA48A4">
            <w:pPr>
              <w:ind w:left="367"/>
              <w:rPr>
                <w:sz w:val="20"/>
                <w:szCs w:val="20"/>
              </w:rPr>
            </w:pPr>
            <w:r w:rsidRPr="00AA48A4">
              <w:rPr>
                <w:sz w:val="20"/>
                <w:szCs w:val="20"/>
              </w:rPr>
              <w:t>OECD, 2002b</w:t>
            </w: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ObCF</w:t>
            </w:r>
          </w:p>
        </w:tc>
        <w:tc>
          <w:tcPr>
            <w:tcW w:w="3120" w:type="dxa"/>
            <w:vAlign w:val="center"/>
          </w:tcPr>
          <w:p w:rsidR="001D41E2" w:rsidRPr="00AA48A4" w:rsidRDefault="001D41E2" w:rsidP="008D2C3D">
            <w:pPr>
              <w:jc w:val="center"/>
              <w:rPr>
                <w:sz w:val="20"/>
                <w:szCs w:val="20"/>
              </w:rPr>
            </w:pPr>
            <w:r w:rsidRPr="00AA48A4">
              <w:rPr>
                <w:sz w:val="20"/>
                <w:szCs w:val="20"/>
              </w:rPr>
              <w:t>TA98, TA100, TA1535, TA1537</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1998c</w:t>
            </w: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DEG</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TA98, TA100, TA1535, TA1537, TA 1538</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2004b</w:t>
            </w:r>
          </w:p>
        </w:tc>
      </w:tr>
      <w:tr w:rsidR="001D41E2" w:rsidRPr="00AA48A4" w:rsidTr="00AA48A4">
        <w:trPr>
          <w:trHeight w:val="230"/>
        </w:trPr>
        <w:tc>
          <w:tcPr>
            <w:tcW w:w="1908" w:type="dxa"/>
            <w:vMerge/>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1D41E2" w:rsidP="008D2C3D">
            <w:pPr>
              <w:jc w:val="center"/>
              <w:rPr>
                <w:sz w:val="20"/>
                <w:szCs w:val="20"/>
              </w:rPr>
            </w:pPr>
            <w:r w:rsidRPr="00AA48A4">
              <w:rPr>
                <w:sz w:val="20"/>
                <w:szCs w:val="20"/>
              </w:rPr>
              <w:t xml:space="preserve">CHO/HGPRT </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Align w:val="center"/>
          </w:tcPr>
          <w:p w:rsidR="001D41E2" w:rsidRPr="00AA48A4" w:rsidRDefault="001D41E2" w:rsidP="00AA48A4">
            <w:pPr>
              <w:ind w:left="282"/>
              <w:rPr>
                <w:sz w:val="20"/>
                <w:szCs w:val="20"/>
              </w:rPr>
            </w:pPr>
            <w:r w:rsidRPr="00AA48A4">
              <w:rPr>
                <w:sz w:val="20"/>
                <w:szCs w:val="20"/>
              </w:rPr>
              <w:t>EhCF</w:t>
            </w:r>
          </w:p>
        </w:tc>
        <w:tc>
          <w:tcPr>
            <w:tcW w:w="3120" w:type="dxa"/>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vAlign w:val="center"/>
          </w:tcPr>
          <w:p w:rsidR="001D41E2" w:rsidRPr="00AA48A4" w:rsidRDefault="001D41E2" w:rsidP="008D2C3D">
            <w:pPr>
              <w:jc w:val="center"/>
              <w:rPr>
                <w:sz w:val="20"/>
                <w:szCs w:val="20"/>
              </w:rPr>
            </w:pPr>
            <w:r w:rsidRPr="00AA48A4">
              <w:rPr>
                <w:sz w:val="20"/>
                <w:szCs w:val="20"/>
              </w:rPr>
              <w:t>+/-</w:t>
            </w:r>
          </w:p>
        </w:tc>
        <w:tc>
          <w:tcPr>
            <w:tcW w:w="1320" w:type="dxa"/>
            <w:vAlign w:val="center"/>
          </w:tcPr>
          <w:p w:rsidR="001D41E2" w:rsidRPr="00AA48A4" w:rsidRDefault="001D41E2" w:rsidP="008D2C3D">
            <w:pPr>
              <w:jc w:val="center"/>
              <w:rPr>
                <w:sz w:val="20"/>
                <w:szCs w:val="20"/>
              </w:rPr>
            </w:pPr>
            <w:r w:rsidRPr="00AA48A4">
              <w:rPr>
                <w:sz w:val="20"/>
                <w:szCs w:val="20"/>
              </w:rPr>
              <w:t>negative</w:t>
            </w:r>
          </w:p>
        </w:tc>
        <w:tc>
          <w:tcPr>
            <w:tcW w:w="2280" w:type="dxa"/>
            <w:vAlign w:val="center"/>
          </w:tcPr>
          <w:p w:rsidR="001D41E2" w:rsidRPr="00AA48A4" w:rsidRDefault="001D41E2" w:rsidP="00AA48A4">
            <w:pPr>
              <w:ind w:left="367"/>
              <w:rPr>
                <w:sz w:val="20"/>
                <w:szCs w:val="20"/>
              </w:rPr>
            </w:pPr>
            <w:r w:rsidRPr="00AA48A4">
              <w:rPr>
                <w:sz w:val="20"/>
                <w:szCs w:val="20"/>
              </w:rPr>
              <w:t>BASF AG, 2000</w:t>
            </w:r>
          </w:p>
        </w:tc>
      </w:tr>
      <w:tr w:rsidR="001D41E2" w:rsidRPr="00AA48A4" w:rsidTr="00AA48A4">
        <w:trPr>
          <w:trHeight w:val="521"/>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Eh</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TA98, TA100, TA1535, TA1537, E. Coli WP2</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1995</w:t>
            </w:r>
          </w:p>
        </w:tc>
      </w:tr>
      <w:tr w:rsidR="001D41E2" w:rsidRPr="00AA48A4" w:rsidTr="00AA48A4">
        <w:trPr>
          <w:trHeight w:val="350"/>
        </w:trPr>
        <w:tc>
          <w:tcPr>
            <w:tcW w:w="1908" w:type="dxa"/>
            <w:vMerge/>
            <w:shd w:val="clear" w:color="auto" w:fill="C0C0C0"/>
            <w:vAlign w:val="center"/>
          </w:tcPr>
          <w:p w:rsidR="001D41E2" w:rsidRPr="00AA48A4" w:rsidRDefault="001D41E2" w:rsidP="00AA48A4">
            <w:pPr>
              <w:ind w:left="282"/>
              <w:rPr>
                <w:sz w:val="20"/>
                <w:szCs w:val="20"/>
              </w:rPr>
            </w:pPr>
          </w:p>
        </w:tc>
        <w:tc>
          <w:tcPr>
            <w:tcW w:w="3120" w:type="dxa"/>
            <w:shd w:val="clear" w:color="auto" w:fill="C0C0C0"/>
            <w:vAlign w:val="center"/>
          </w:tcPr>
          <w:p w:rsidR="001D41E2" w:rsidRPr="00AA48A4" w:rsidRDefault="001D41E2" w:rsidP="008D2C3D">
            <w:pPr>
              <w:jc w:val="center"/>
              <w:rPr>
                <w:sz w:val="20"/>
                <w:szCs w:val="20"/>
              </w:rPr>
            </w:pPr>
            <w:r w:rsidRPr="00AA48A4">
              <w:rPr>
                <w:sz w:val="20"/>
                <w:szCs w:val="20"/>
              </w:rPr>
              <w:t xml:space="preserve">CHO/HGPRT </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shd w:val="clear" w:color="auto" w:fill="C0C0C0"/>
            <w:vAlign w:val="center"/>
          </w:tcPr>
          <w:p w:rsidR="001D41E2" w:rsidRPr="00AA48A4" w:rsidRDefault="001D41E2" w:rsidP="00AA48A4">
            <w:pPr>
              <w:ind w:left="367"/>
              <w:rPr>
                <w:sz w:val="20"/>
                <w:szCs w:val="20"/>
              </w:rPr>
            </w:pPr>
          </w:p>
        </w:tc>
      </w:tr>
      <w:tr w:rsidR="001D41E2" w:rsidRPr="00AA48A4" w:rsidTr="00AA48A4">
        <w:trPr>
          <w:trHeight w:val="567"/>
        </w:trPr>
        <w:tc>
          <w:tcPr>
            <w:tcW w:w="1908" w:type="dxa"/>
            <w:vMerge w:val="restart"/>
            <w:shd w:val="clear" w:color="auto" w:fill="C0C0C0"/>
            <w:vAlign w:val="center"/>
          </w:tcPr>
          <w:p w:rsidR="001D41E2" w:rsidRPr="00AA48A4" w:rsidRDefault="001D41E2" w:rsidP="00AA48A4">
            <w:pPr>
              <w:ind w:left="282"/>
              <w:rPr>
                <w:sz w:val="20"/>
                <w:szCs w:val="20"/>
              </w:rPr>
            </w:pPr>
            <w:r w:rsidRPr="00AA48A4">
              <w:rPr>
                <w:sz w:val="20"/>
                <w:szCs w:val="20"/>
              </w:rPr>
              <w:t>HCl</w:t>
            </w:r>
          </w:p>
        </w:tc>
        <w:tc>
          <w:tcPr>
            <w:tcW w:w="3120" w:type="dxa"/>
            <w:shd w:val="clear" w:color="auto" w:fill="C0C0C0"/>
            <w:vAlign w:val="center"/>
          </w:tcPr>
          <w:p w:rsidR="001D41E2" w:rsidRPr="00AA48A4" w:rsidRDefault="007D3E3E" w:rsidP="008D2C3D">
            <w:pPr>
              <w:jc w:val="center"/>
              <w:rPr>
                <w:sz w:val="20"/>
                <w:szCs w:val="20"/>
                <w:lang w:val="fr-FR"/>
              </w:rPr>
            </w:pPr>
            <w:r w:rsidRPr="00AA48A4">
              <w:rPr>
                <w:sz w:val="20"/>
                <w:szCs w:val="20"/>
                <w:lang w:val="fr-FR"/>
              </w:rPr>
              <w:t>TA98, TA100, TA1535, TA1537, TA 1538</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val="restart"/>
            <w:shd w:val="clear" w:color="auto" w:fill="C0C0C0"/>
            <w:vAlign w:val="center"/>
          </w:tcPr>
          <w:p w:rsidR="001D41E2" w:rsidRPr="00AA48A4" w:rsidRDefault="001D41E2" w:rsidP="00AA48A4">
            <w:pPr>
              <w:ind w:left="367"/>
              <w:rPr>
                <w:sz w:val="20"/>
                <w:szCs w:val="20"/>
              </w:rPr>
            </w:pPr>
            <w:r w:rsidRPr="00AA48A4">
              <w:rPr>
                <w:sz w:val="20"/>
                <w:szCs w:val="20"/>
              </w:rPr>
              <w:t>OECD, 2002a</w:t>
            </w:r>
          </w:p>
        </w:tc>
      </w:tr>
      <w:tr w:rsidR="001D41E2" w:rsidRPr="00AA48A4" w:rsidTr="00AA48A4">
        <w:trPr>
          <w:trHeight w:val="567"/>
        </w:trPr>
        <w:tc>
          <w:tcPr>
            <w:tcW w:w="1908" w:type="dxa"/>
            <w:vMerge/>
            <w:shd w:val="clear" w:color="auto" w:fill="C0C0C0"/>
            <w:vAlign w:val="center"/>
          </w:tcPr>
          <w:p w:rsidR="001D41E2" w:rsidRPr="00AA48A4" w:rsidRDefault="001D41E2" w:rsidP="008D2C3D">
            <w:pPr>
              <w:jc w:val="center"/>
              <w:rPr>
                <w:sz w:val="20"/>
                <w:szCs w:val="20"/>
              </w:rPr>
            </w:pPr>
          </w:p>
        </w:tc>
        <w:tc>
          <w:tcPr>
            <w:tcW w:w="3120" w:type="dxa"/>
            <w:shd w:val="clear" w:color="auto" w:fill="C0C0C0"/>
            <w:vAlign w:val="center"/>
          </w:tcPr>
          <w:p w:rsidR="001D41E2" w:rsidRPr="00AA48A4" w:rsidRDefault="001D41E2" w:rsidP="008D2C3D">
            <w:pPr>
              <w:jc w:val="center"/>
              <w:rPr>
                <w:sz w:val="20"/>
                <w:szCs w:val="20"/>
              </w:rPr>
            </w:pPr>
            <w:proofErr w:type="gramStart"/>
            <w:r w:rsidRPr="00AA48A4">
              <w:rPr>
                <w:sz w:val="20"/>
                <w:szCs w:val="20"/>
              </w:rPr>
              <w:t>mouse</w:t>
            </w:r>
            <w:proofErr w:type="gramEnd"/>
            <w:r w:rsidRPr="00AA48A4">
              <w:rPr>
                <w:sz w:val="20"/>
                <w:szCs w:val="20"/>
              </w:rPr>
              <w:t xml:space="preserve"> lymph. cells L5178Y TK+/-</w:t>
            </w:r>
          </w:p>
        </w:tc>
        <w:tc>
          <w:tcPr>
            <w:tcW w:w="1200" w:type="dxa"/>
            <w:shd w:val="clear" w:color="auto" w:fill="C0C0C0"/>
            <w:vAlign w:val="center"/>
          </w:tcPr>
          <w:p w:rsidR="001D41E2" w:rsidRPr="00AA48A4" w:rsidRDefault="001D41E2" w:rsidP="008D2C3D">
            <w:pPr>
              <w:jc w:val="center"/>
              <w:rPr>
                <w:sz w:val="20"/>
                <w:szCs w:val="20"/>
              </w:rPr>
            </w:pPr>
            <w:r w:rsidRPr="00AA48A4">
              <w:rPr>
                <w:sz w:val="20"/>
                <w:szCs w:val="20"/>
              </w:rPr>
              <w:t>+/-</w:t>
            </w:r>
          </w:p>
        </w:tc>
        <w:tc>
          <w:tcPr>
            <w:tcW w:w="1320" w:type="dxa"/>
            <w:shd w:val="clear" w:color="auto" w:fill="C0C0C0"/>
            <w:vAlign w:val="center"/>
          </w:tcPr>
          <w:p w:rsidR="001D41E2" w:rsidRPr="00AA48A4" w:rsidRDefault="001D41E2" w:rsidP="008D2C3D">
            <w:pPr>
              <w:jc w:val="center"/>
              <w:rPr>
                <w:sz w:val="20"/>
                <w:szCs w:val="20"/>
              </w:rPr>
            </w:pPr>
            <w:r w:rsidRPr="00AA48A4">
              <w:rPr>
                <w:sz w:val="20"/>
                <w:szCs w:val="20"/>
              </w:rPr>
              <w:t>negative</w:t>
            </w:r>
          </w:p>
        </w:tc>
        <w:tc>
          <w:tcPr>
            <w:tcW w:w="2280" w:type="dxa"/>
            <w:vMerge/>
            <w:shd w:val="clear" w:color="auto" w:fill="C0C0C0"/>
            <w:vAlign w:val="center"/>
          </w:tcPr>
          <w:p w:rsidR="001D41E2" w:rsidRPr="00AA48A4" w:rsidRDefault="001D41E2" w:rsidP="008D2C3D">
            <w:pPr>
              <w:jc w:val="center"/>
              <w:rPr>
                <w:sz w:val="20"/>
                <w:szCs w:val="20"/>
              </w:rPr>
            </w:pPr>
          </w:p>
        </w:tc>
      </w:tr>
    </w:tbl>
    <w:p w:rsidR="001D41E2" w:rsidRPr="004B7EF4" w:rsidRDefault="001D41E2" w:rsidP="00AA48A4">
      <w:pPr>
        <w:pStyle w:val="Caption"/>
        <w:ind w:left="0"/>
      </w:pPr>
      <w:bookmarkStart w:id="78" w:name="_Toc264983295"/>
      <w:r w:rsidRPr="004B7EF4">
        <w:t xml:space="preserve">Table </w:t>
      </w:r>
      <w:r>
        <w:t>1</w:t>
      </w:r>
      <w:r w:rsidR="002F054D">
        <w:t>9</w:t>
      </w:r>
      <w:r>
        <w:t xml:space="preserve"> </w:t>
      </w:r>
      <w:r w:rsidR="00AA48A4">
        <w:t xml:space="preserve">    </w:t>
      </w:r>
      <w:r>
        <w:t>Summary of C</w:t>
      </w:r>
      <w:r w:rsidRPr="004B7EF4">
        <w:t>lastogenicity</w:t>
      </w:r>
      <w:bookmarkEnd w:id="78"/>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3"/>
        <w:gridCol w:w="3129"/>
        <w:gridCol w:w="1203"/>
        <w:gridCol w:w="1324"/>
        <w:gridCol w:w="2286"/>
      </w:tblGrid>
      <w:tr w:rsidR="001D41E2" w:rsidRPr="00AA48A4" w:rsidTr="00AA48A4">
        <w:trPr>
          <w:tblHeader/>
        </w:trPr>
        <w:tc>
          <w:tcPr>
            <w:tcW w:w="1908" w:type="dxa"/>
            <w:tcBorders>
              <w:top w:val="single" w:sz="12" w:space="0" w:color="auto"/>
              <w:left w:val="single" w:sz="12" w:space="0" w:color="auto"/>
              <w:bottom w:val="single" w:sz="12" w:space="0" w:color="auto"/>
            </w:tcBorders>
            <w:vAlign w:val="center"/>
          </w:tcPr>
          <w:p w:rsidR="001D41E2" w:rsidRPr="00AA48A4" w:rsidRDefault="001D41E2" w:rsidP="00DE56B0">
            <w:pPr>
              <w:pStyle w:val="Tabletext"/>
              <w:rPr>
                <w:b/>
                <w:bCs/>
              </w:rPr>
            </w:pPr>
            <w:r w:rsidRPr="00AA48A4">
              <w:rPr>
                <w:b/>
                <w:bCs/>
              </w:rPr>
              <w:t>Category member / hydrolysis product</w:t>
            </w:r>
          </w:p>
        </w:tc>
        <w:tc>
          <w:tcPr>
            <w:tcW w:w="31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Test strains</w:t>
            </w:r>
          </w:p>
        </w:tc>
        <w:tc>
          <w:tcPr>
            <w:tcW w:w="120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Metabolic activation</w:t>
            </w:r>
          </w:p>
        </w:tc>
        <w:tc>
          <w:tcPr>
            <w:tcW w:w="13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Result</w:t>
            </w:r>
          </w:p>
        </w:tc>
        <w:tc>
          <w:tcPr>
            <w:tcW w:w="2280" w:type="dxa"/>
            <w:tcBorders>
              <w:top w:val="single" w:sz="12" w:space="0" w:color="auto"/>
              <w:bottom w:val="single" w:sz="12" w:space="0" w:color="auto"/>
              <w:right w:val="single" w:sz="12" w:space="0" w:color="auto"/>
            </w:tcBorders>
            <w:vAlign w:val="center"/>
          </w:tcPr>
          <w:p w:rsidR="001D41E2" w:rsidRPr="00AA48A4" w:rsidRDefault="001D41E2" w:rsidP="00DE56B0">
            <w:pPr>
              <w:pStyle w:val="Tabletext"/>
              <w:jc w:val="center"/>
              <w:rPr>
                <w:b/>
                <w:bCs/>
              </w:rPr>
            </w:pPr>
            <w:r w:rsidRPr="00AA48A4">
              <w:rPr>
                <w:b/>
                <w:bCs/>
              </w:rPr>
              <w:t>Reference</w:t>
            </w:r>
          </w:p>
        </w:tc>
      </w:tr>
      <w:tr w:rsidR="001D41E2" w:rsidRPr="00AA48A4" w:rsidTr="00AA48A4">
        <w:trPr>
          <w:trHeight w:val="397"/>
        </w:trPr>
        <w:tc>
          <w:tcPr>
            <w:tcW w:w="9828" w:type="dxa"/>
            <w:gridSpan w:val="5"/>
            <w:tcBorders>
              <w:top w:val="single" w:sz="12" w:space="0" w:color="auto"/>
              <w:left w:val="single" w:sz="12" w:space="0" w:color="auto"/>
              <w:right w:val="single" w:sz="12" w:space="0" w:color="auto"/>
            </w:tcBorders>
            <w:vAlign w:val="center"/>
          </w:tcPr>
          <w:p w:rsidR="001D41E2" w:rsidRPr="00AA48A4" w:rsidRDefault="001D41E2" w:rsidP="00AA48A4">
            <w:pPr>
              <w:pStyle w:val="Tabletext"/>
              <w:jc w:val="center"/>
            </w:pPr>
            <w:r w:rsidRPr="00AA48A4">
              <w:rPr>
                <w:b/>
                <w:bCs/>
              </w:rPr>
              <w:t>Clastogenicity: Chromosomal aberration (CA) /Micronucleus test (MNT)</w:t>
            </w:r>
          </w:p>
        </w:tc>
      </w:tr>
      <w:tr w:rsidR="001D41E2" w:rsidRPr="00AA48A4" w:rsidTr="00AA48A4">
        <w:trPr>
          <w:trHeight w:val="567"/>
        </w:trPr>
        <w:tc>
          <w:tcPr>
            <w:tcW w:w="1908" w:type="dxa"/>
            <w:tcBorders>
              <w:left w:val="single" w:sz="12" w:space="0" w:color="auto"/>
              <w:bottom w:val="nil"/>
            </w:tcBorders>
            <w:vAlign w:val="center"/>
          </w:tcPr>
          <w:p w:rsidR="001D41E2" w:rsidRPr="00AA48A4" w:rsidRDefault="001D41E2" w:rsidP="00AA48A4">
            <w:pPr>
              <w:pStyle w:val="Tabletext"/>
              <w:ind w:left="282"/>
            </w:pPr>
            <w:r w:rsidRPr="00AA48A4">
              <w:t>MeCF</w:t>
            </w:r>
          </w:p>
        </w:tc>
        <w:tc>
          <w:tcPr>
            <w:tcW w:w="3120" w:type="dxa"/>
            <w:tcBorders>
              <w:bottom w:val="nil"/>
            </w:tcBorders>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Chin. Hamster V79 (CA)</w:t>
            </w:r>
          </w:p>
        </w:tc>
        <w:tc>
          <w:tcPr>
            <w:tcW w:w="1200" w:type="dxa"/>
            <w:tcBorders>
              <w:bottom w:val="nil"/>
            </w:tcBorders>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tcBorders>
              <w:bottom w:val="nil"/>
            </w:tcBorders>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 xml:space="preserve">positive </w:t>
            </w:r>
          </w:p>
        </w:tc>
        <w:tc>
          <w:tcPr>
            <w:tcW w:w="2280" w:type="dxa"/>
            <w:tcBorders>
              <w:bottom w:val="nil"/>
              <w:right w:val="single" w:sz="12" w:space="0" w:color="auto"/>
            </w:tcBorders>
            <w:vAlign w:val="center"/>
          </w:tcPr>
          <w:p w:rsidR="001D41E2" w:rsidRPr="00AA48A4" w:rsidRDefault="001D41E2" w:rsidP="00AA48A4">
            <w:pPr>
              <w:pStyle w:val="NormalWeb"/>
              <w:spacing w:before="120" w:after="120"/>
              <w:ind w:left="367" w:hanging="367"/>
              <w:rPr>
                <w:sz w:val="20"/>
                <w:szCs w:val="20"/>
                <w:lang w:val="en-US"/>
              </w:rPr>
            </w:pPr>
            <w:r w:rsidRPr="00AA48A4">
              <w:rPr>
                <w:sz w:val="20"/>
                <w:szCs w:val="20"/>
                <w:lang w:val="en-US"/>
              </w:rPr>
              <w:t>LMP, 1986</w:t>
            </w:r>
          </w:p>
        </w:tc>
      </w:tr>
      <w:tr w:rsidR="001D41E2" w:rsidRPr="00AA48A4" w:rsidTr="00AA48A4">
        <w:trPr>
          <w:trHeight w:val="567"/>
        </w:trPr>
        <w:tc>
          <w:tcPr>
            <w:tcW w:w="9828" w:type="dxa"/>
            <w:gridSpan w:val="5"/>
            <w:tcBorders>
              <w:left w:val="single" w:sz="12" w:space="0" w:color="auto"/>
              <w:bottom w:val="nil"/>
              <w:right w:val="single" w:sz="12" w:space="0" w:color="auto"/>
            </w:tcBorders>
            <w:vAlign w:val="center"/>
          </w:tcPr>
          <w:p w:rsidR="001D41E2" w:rsidRPr="00AA48A4" w:rsidRDefault="001D41E2" w:rsidP="00AA48A4">
            <w:pPr>
              <w:pStyle w:val="NormalWeb"/>
              <w:spacing w:before="120" w:after="120"/>
              <w:ind w:left="367" w:hanging="367"/>
              <w:jc w:val="center"/>
              <w:rPr>
                <w:sz w:val="20"/>
                <w:szCs w:val="20"/>
                <w:lang w:val="en-US"/>
              </w:rPr>
            </w:pPr>
            <w:r w:rsidRPr="00AA48A4">
              <w:rPr>
                <w:sz w:val="20"/>
                <w:szCs w:val="20"/>
                <w:lang w:val="en-US"/>
              </w:rPr>
              <w:t>Data for the hydrolysis products</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Me</w:t>
            </w:r>
          </w:p>
        </w:tc>
        <w:tc>
          <w:tcPr>
            <w:tcW w:w="3120" w:type="dxa"/>
            <w:tcBorders>
              <w:top w:val="nil"/>
              <w:bottom w:val="nil"/>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Chin. Hamster V79 (CA)</w:t>
            </w:r>
          </w:p>
        </w:tc>
        <w:tc>
          <w:tcPr>
            <w:tcW w:w="1200" w:type="dxa"/>
            <w:tcBorders>
              <w:top w:val="nil"/>
              <w:bottom w:val="nil"/>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tcBorders>
              <w:top w:val="nil"/>
              <w:bottom w:val="nil"/>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Tabletext"/>
              <w:ind w:left="367" w:hanging="367"/>
            </w:pPr>
            <w:r w:rsidRPr="00AA48A4">
              <w:t>OECD, 2004</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Et</w:t>
            </w:r>
          </w:p>
        </w:tc>
        <w:tc>
          <w:tcPr>
            <w:tcW w:w="3120" w:type="dxa"/>
            <w:shd w:val="clear" w:color="auto" w:fill="C0C0C0"/>
            <w:vAlign w:val="center"/>
          </w:tcPr>
          <w:p w:rsidR="001D41E2" w:rsidRPr="00AA48A4" w:rsidRDefault="001D41E2" w:rsidP="00DE56B0">
            <w:pPr>
              <w:jc w:val="center"/>
              <w:rPr>
                <w:i/>
                <w:iCs/>
                <w:sz w:val="20"/>
                <w:szCs w:val="20"/>
              </w:rPr>
            </w:pPr>
            <w:r w:rsidRPr="00AA48A4">
              <w:rPr>
                <w:sz w:val="20"/>
                <w:szCs w:val="20"/>
              </w:rPr>
              <w:t>Chin. Hamster V79 (CA)</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Tabletext"/>
              <w:ind w:left="367" w:hanging="367"/>
            </w:pPr>
            <w:r w:rsidRPr="00AA48A4">
              <w:t>OECD, 2005</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Pr</w:t>
            </w:r>
          </w:p>
        </w:tc>
        <w:tc>
          <w:tcPr>
            <w:tcW w:w="31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 xml:space="preserve"> Chin. Hamster V79 (MNT)</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NormalWeb"/>
              <w:spacing w:before="120" w:after="120"/>
              <w:ind w:left="367" w:hanging="367"/>
              <w:rPr>
                <w:sz w:val="20"/>
                <w:szCs w:val="20"/>
                <w:lang w:val="en-US"/>
              </w:rPr>
            </w:pPr>
            <w:r w:rsidRPr="00AA48A4">
              <w:rPr>
                <w:sz w:val="20"/>
                <w:szCs w:val="20"/>
                <w:lang w:val="en-US"/>
              </w:rPr>
              <w:t>ECB, 2008</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Sb</w:t>
            </w:r>
          </w:p>
        </w:tc>
        <w:tc>
          <w:tcPr>
            <w:tcW w:w="3120" w:type="dxa"/>
            <w:shd w:val="clear" w:color="auto" w:fill="C0C0C0"/>
            <w:vAlign w:val="center"/>
          </w:tcPr>
          <w:p w:rsidR="001D41E2" w:rsidRPr="00AA48A4" w:rsidRDefault="001D41E2" w:rsidP="00DE56B0">
            <w:pPr>
              <w:jc w:val="center"/>
              <w:rPr>
                <w:sz w:val="20"/>
                <w:szCs w:val="20"/>
              </w:rPr>
            </w:pPr>
            <w:r w:rsidRPr="00AA48A4">
              <w:rPr>
                <w:sz w:val="20"/>
                <w:szCs w:val="20"/>
              </w:rPr>
              <w:t>CHO cells (CA)</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NormalWeb"/>
              <w:spacing w:before="120" w:after="120"/>
              <w:ind w:left="367" w:hanging="367"/>
              <w:rPr>
                <w:sz w:val="20"/>
                <w:szCs w:val="20"/>
                <w:lang w:val="en-US"/>
              </w:rPr>
            </w:pPr>
            <w:r w:rsidRPr="00AA48A4">
              <w:rPr>
                <w:sz w:val="20"/>
                <w:szCs w:val="20"/>
                <w:lang w:val="en-US"/>
              </w:rPr>
              <w:t>OECD 2002b</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DEG</w:t>
            </w:r>
          </w:p>
        </w:tc>
        <w:tc>
          <w:tcPr>
            <w:tcW w:w="3120" w:type="dxa"/>
            <w:shd w:val="clear" w:color="auto" w:fill="C0C0C0"/>
            <w:vAlign w:val="center"/>
          </w:tcPr>
          <w:p w:rsidR="001D41E2" w:rsidRPr="00AA48A4" w:rsidRDefault="001D41E2" w:rsidP="00DE56B0">
            <w:pPr>
              <w:jc w:val="center"/>
              <w:rPr>
                <w:i/>
                <w:iCs/>
                <w:sz w:val="20"/>
                <w:szCs w:val="20"/>
              </w:rPr>
            </w:pPr>
            <w:r w:rsidRPr="00AA48A4">
              <w:rPr>
                <w:sz w:val="20"/>
                <w:szCs w:val="20"/>
              </w:rPr>
              <w:t>CHO cells (CA)</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NormalWeb"/>
              <w:spacing w:before="120" w:after="120"/>
              <w:ind w:left="367" w:hanging="367"/>
              <w:rPr>
                <w:sz w:val="20"/>
                <w:szCs w:val="20"/>
                <w:lang w:val="en-US"/>
              </w:rPr>
            </w:pPr>
            <w:r w:rsidRPr="00AA48A4">
              <w:rPr>
                <w:sz w:val="20"/>
                <w:szCs w:val="20"/>
                <w:lang w:val="en-US"/>
              </w:rPr>
              <w:t>OECD, 2004</w:t>
            </w:r>
          </w:p>
        </w:tc>
      </w:tr>
      <w:tr w:rsidR="001D41E2" w:rsidRPr="00AA48A4" w:rsidTr="00AA48A4">
        <w:trPr>
          <w:trHeight w:val="567"/>
        </w:trPr>
        <w:tc>
          <w:tcPr>
            <w:tcW w:w="1908" w:type="dxa"/>
            <w:tcBorders>
              <w:top w:val="nil"/>
              <w:left w:val="single" w:sz="12" w:space="0" w:color="auto"/>
            </w:tcBorders>
            <w:shd w:val="clear" w:color="auto" w:fill="C0C0C0"/>
            <w:vAlign w:val="center"/>
          </w:tcPr>
          <w:p w:rsidR="001D41E2" w:rsidRPr="00AA48A4" w:rsidRDefault="001D41E2" w:rsidP="00AA48A4">
            <w:pPr>
              <w:pStyle w:val="Tabletext"/>
              <w:ind w:left="282"/>
            </w:pPr>
            <w:r w:rsidRPr="00AA48A4">
              <w:t>Eh</w:t>
            </w:r>
          </w:p>
        </w:tc>
        <w:tc>
          <w:tcPr>
            <w:tcW w:w="3120" w:type="dxa"/>
            <w:tcBorders>
              <w:bottom w:val="nil"/>
            </w:tcBorders>
            <w:shd w:val="clear" w:color="auto" w:fill="C0C0C0"/>
            <w:vAlign w:val="center"/>
          </w:tcPr>
          <w:p w:rsidR="001D41E2" w:rsidRPr="00AA48A4" w:rsidRDefault="001D41E2" w:rsidP="00DE56B0">
            <w:pPr>
              <w:jc w:val="center"/>
              <w:rPr>
                <w:i/>
                <w:iCs/>
                <w:sz w:val="20"/>
                <w:szCs w:val="20"/>
              </w:rPr>
            </w:pPr>
            <w:r w:rsidRPr="00AA48A4">
              <w:rPr>
                <w:sz w:val="20"/>
                <w:szCs w:val="20"/>
              </w:rPr>
              <w:t>CHO-K1 cells (CA)</w:t>
            </w:r>
          </w:p>
        </w:tc>
        <w:tc>
          <w:tcPr>
            <w:tcW w:w="1200" w:type="dxa"/>
            <w:tcBorders>
              <w:bottom w:val="nil"/>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tcBorders>
              <w:bottom w:val="nil"/>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tcBorders>
              <w:top w:val="nil"/>
              <w:right w:val="single" w:sz="12" w:space="0" w:color="auto"/>
            </w:tcBorders>
            <w:shd w:val="clear" w:color="auto" w:fill="C0C0C0"/>
            <w:vAlign w:val="center"/>
          </w:tcPr>
          <w:p w:rsidR="001D41E2" w:rsidRPr="00AA48A4" w:rsidRDefault="001D41E2" w:rsidP="00AA48A4">
            <w:pPr>
              <w:pStyle w:val="Tabletext"/>
              <w:ind w:left="367" w:hanging="367"/>
            </w:pPr>
            <w:r w:rsidRPr="00AA48A4">
              <w:t>OECD, 1995</w:t>
            </w:r>
          </w:p>
        </w:tc>
      </w:tr>
      <w:tr w:rsidR="001D41E2" w:rsidRPr="00AA48A4" w:rsidTr="00AA48A4">
        <w:trPr>
          <w:trHeight w:val="567"/>
        </w:trPr>
        <w:tc>
          <w:tcPr>
            <w:tcW w:w="1908" w:type="dxa"/>
            <w:tcBorders>
              <w:left w:val="single" w:sz="12" w:space="0" w:color="auto"/>
              <w:bottom w:val="single" w:sz="12" w:space="0" w:color="auto"/>
            </w:tcBorders>
            <w:shd w:val="clear" w:color="auto" w:fill="C0C0C0"/>
            <w:vAlign w:val="center"/>
          </w:tcPr>
          <w:p w:rsidR="001D41E2" w:rsidRPr="00AA48A4" w:rsidRDefault="001D41E2" w:rsidP="00AA48A4">
            <w:pPr>
              <w:pStyle w:val="Tabletext"/>
              <w:ind w:left="282"/>
            </w:pPr>
            <w:r w:rsidRPr="00AA48A4">
              <w:t>HCl</w:t>
            </w:r>
          </w:p>
        </w:tc>
        <w:tc>
          <w:tcPr>
            <w:tcW w:w="3120" w:type="dxa"/>
            <w:tcBorders>
              <w:bottom w:val="single" w:sz="12" w:space="0" w:color="auto"/>
            </w:tcBorders>
            <w:shd w:val="clear" w:color="auto" w:fill="C0C0C0"/>
            <w:vAlign w:val="center"/>
          </w:tcPr>
          <w:p w:rsidR="001D41E2" w:rsidRPr="00AA48A4" w:rsidRDefault="001D41E2" w:rsidP="00DE56B0">
            <w:pPr>
              <w:jc w:val="center"/>
              <w:rPr>
                <w:i/>
                <w:iCs/>
                <w:sz w:val="20"/>
                <w:szCs w:val="20"/>
              </w:rPr>
            </w:pPr>
            <w:r w:rsidRPr="00AA48A4">
              <w:rPr>
                <w:sz w:val="20"/>
                <w:szCs w:val="20"/>
              </w:rPr>
              <w:t>CHO-K1 cells (CA)</w:t>
            </w:r>
          </w:p>
        </w:tc>
        <w:tc>
          <w:tcPr>
            <w:tcW w:w="1200" w:type="dxa"/>
            <w:tcBorders>
              <w:bottom w:val="single" w:sz="12" w:space="0" w:color="auto"/>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w:t>
            </w:r>
          </w:p>
        </w:tc>
        <w:tc>
          <w:tcPr>
            <w:tcW w:w="1320" w:type="dxa"/>
            <w:tcBorders>
              <w:bottom w:val="single" w:sz="12" w:space="0" w:color="auto"/>
            </w:tcBorders>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positive</w:t>
            </w:r>
          </w:p>
        </w:tc>
        <w:tc>
          <w:tcPr>
            <w:tcW w:w="2280" w:type="dxa"/>
            <w:tcBorders>
              <w:bottom w:val="single" w:sz="12" w:space="0" w:color="auto"/>
              <w:right w:val="single" w:sz="12" w:space="0" w:color="auto"/>
            </w:tcBorders>
            <w:shd w:val="clear" w:color="auto" w:fill="C0C0C0"/>
            <w:vAlign w:val="center"/>
          </w:tcPr>
          <w:p w:rsidR="001D41E2" w:rsidRPr="00AA48A4" w:rsidRDefault="001D41E2" w:rsidP="00AA48A4">
            <w:pPr>
              <w:pStyle w:val="Tabletext"/>
              <w:ind w:left="367" w:hanging="367"/>
            </w:pPr>
            <w:r w:rsidRPr="00AA48A4">
              <w:t>OECD, 2002a</w:t>
            </w:r>
          </w:p>
        </w:tc>
      </w:tr>
    </w:tbl>
    <w:p w:rsidR="001D41E2" w:rsidRPr="004B7EF4" w:rsidRDefault="001D41E2" w:rsidP="00AA48A4">
      <w:pPr>
        <w:pStyle w:val="BodyText"/>
        <w:spacing w:before="240" w:after="240"/>
        <w:rPr>
          <w:b/>
          <w:bCs/>
          <w:i/>
          <w:iCs/>
          <w:lang w:val="en-US"/>
        </w:rPr>
      </w:pPr>
      <w:r w:rsidRPr="004B7EF4">
        <w:rPr>
          <w:b/>
          <w:bCs/>
          <w:i/>
          <w:iCs/>
          <w:lang w:val="en-US"/>
        </w:rPr>
        <w:t xml:space="preserve">Hydrolysis products </w:t>
      </w:r>
    </w:p>
    <w:p w:rsidR="001D41E2" w:rsidRPr="004B7EF4" w:rsidRDefault="001D41E2" w:rsidP="00DE56B0">
      <w:pPr>
        <w:spacing w:after="240"/>
        <w:jc w:val="both"/>
      </w:pPr>
      <w:r>
        <w:t>Gene mutation results for the hydrolysis products have been ex</w:t>
      </w:r>
      <w:r w:rsidRPr="004B7EF4">
        <w:t xml:space="preserve">tensively discussed and reviewed </w:t>
      </w:r>
      <w:r>
        <w:t>previously in the OECD HPV programme (see SIDS dossiers)</w:t>
      </w:r>
      <w:r w:rsidRPr="004B7EF4">
        <w:t>.</w:t>
      </w:r>
      <w:r>
        <w:t xml:space="preserve"> The mutagenicity</w:t>
      </w:r>
      <w:r w:rsidRPr="004B7EF4">
        <w:t xml:space="preserve"> data </w:t>
      </w:r>
      <w:r>
        <w:t>for the hydrolysis products are</w:t>
      </w:r>
      <w:r w:rsidRPr="004B7EF4">
        <w:t xml:space="preserve"> summarized </w:t>
      </w:r>
      <w:r>
        <w:t xml:space="preserve">briefly below and in Table </w:t>
      </w:r>
      <w:r w:rsidR="002F054D">
        <w:t>18</w:t>
      </w:r>
      <w:r w:rsidRPr="004B7EF4">
        <w:t xml:space="preserve">. </w:t>
      </w:r>
    </w:p>
    <w:p w:rsidR="001D41E2" w:rsidRPr="004B7EF4" w:rsidRDefault="001D41E2" w:rsidP="00DE56B0">
      <w:pPr>
        <w:spacing w:after="240"/>
        <w:jc w:val="both"/>
      </w:pPr>
      <w:r>
        <w:t>The h</w:t>
      </w:r>
      <w:r w:rsidRPr="004B7EF4">
        <w:t xml:space="preserve">ydrolysis products, </w:t>
      </w:r>
      <w:proofErr w:type="gramStart"/>
      <w:r>
        <w:t>Et</w:t>
      </w:r>
      <w:proofErr w:type="gramEnd"/>
      <w:r w:rsidRPr="004B7EF4">
        <w:t xml:space="preserve">, </w:t>
      </w:r>
      <w:r>
        <w:t>IP</w:t>
      </w:r>
      <w:r w:rsidRPr="004B7EF4">
        <w:t xml:space="preserve">, </w:t>
      </w:r>
      <w:r>
        <w:t>Sb, DEG</w:t>
      </w:r>
      <w:r w:rsidRPr="004B7EF4">
        <w:t xml:space="preserve">, </w:t>
      </w:r>
      <w:r>
        <w:t>Eh,</w:t>
      </w:r>
      <w:r w:rsidRPr="004B7EF4">
        <w:t xml:space="preserve"> and HCl </w:t>
      </w:r>
      <w:r>
        <w:t xml:space="preserve">were not </w:t>
      </w:r>
      <w:r w:rsidRPr="004B7EF4">
        <w:t>mutagenic</w:t>
      </w:r>
      <w:r>
        <w:t xml:space="preserve"> </w:t>
      </w:r>
      <w:r w:rsidRPr="004B7EF4">
        <w:t>at</w:t>
      </w:r>
      <w:r>
        <w:t xml:space="preserve"> concentrations</w:t>
      </w:r>
      <w:r w:rsidRPr="004B7EF4">
        <w:t xml:space="preserve"> up to 5000 µg/ plate or cytotoxic</w:t>
      </w:r>
      <w:r>
        <w:t xml:space="preserve"> concentrations</w:t>
      </w:r>
      <w:r w:rsidRPr="004B7EF4">
        <w:t>.  There was an ambiguous test result observed for propanol with E.</w:t>
      </w:r>
      <w:r w:rsidRPr="00D13BCC">
        <w:rPr>
          <w:i/>
          <w:iCs/>
        </w:rPr>
        <w:t>coli</w:t>
      </w:r>
      <w:r w:rsidRPr="004B7EF4">
        <w:t xml:space="preserve"> CA274 hfr lac125</w:t>
      </w:r>
      <w:r>
        <w:t>; a non-standard testing strain</w:t>
      </w:r>
      <w:r w:rsidRPr="004B7EF4">
        <w:t>. Mutagenicity testing wit</w:t>
      </w:r>
      <w:r>
        <w:t>h</w:t>
      </w:r>
      <w:r w:rsidRPr="004B7EF4">
        <w:t xml:space="preserve"> standard testing strains T98 and TA 100 were negative for propanol. </w:t>
      </w:r>
      <w:r>
        <w:t>T</w:t>
      </w:r>
      <w:r w:rsidRPr="004B7EF4">
        <w:t>he ma</w:t>
      </w:r>
      <w:r>
        <w:t>j</w:t>
      </w:r>
      <w:r w:rsidRPr="004B7EF4">
        <w:t>ority of the bacterial mutagenicity tests with methanol were negative</w:t>
      </w:r>
      <w:r>
        <w:t>;</w:t>
      </w:r>
      <w:r w:rsidRPr="004B7EF4">
        <w:t xml:space="preserve"> there was an ambiguous test result observed in TA 102.</w:t>
      </w:r>
    </w:p>
    <w:p w:rsidR="001D41E2" w:rsidRPr="004B7EF4" w:rsidRDefault="001D41E2" w:rsidP="00DE56B0">
      <w:pPr>
        <w:jc w:val="both"/>
      </w:pPr>
      <w:r w:rsidRPr="004B7EF4">
        <w:t xml:space="preserve">Mutagenicity tests in mammalian cells </w:t>
      </w:r>
      <w:r>
        <w:t>(</w:t>
      </w:r>
      <w:r w:rsidRPr="004B7EF4">
        <w:t>Mouse lymphoma cells (TK+/-) cells or CHO cells (HPRT)</w:t>
      </w:r>
      <w:r w:rsidDel="009F7309">
        <w:t xml:space="preserve"> </w:t>
      </w:r>
      <w:r w:rsidRPr="004B7EF4">
        <w:t xml:space="preserve">were negative for </w:t>
      </w:r>
      <w:r>
        <w:t>Pr</w:t>
      </w:r>
      <w:r w:rsidRPr="004B7EF4">
        <w:t xml:space="preserve">, </w:t>
      </w:r>
      <w:r>
        <w:t>Ip</w:t>
      </w:r>
      <w:r w:rsidRPr="004B7EF4">
        <w:t xml:space="preserve">, </w:t>
      </w:r>
      <w:r>
        <w:t>DEG, Eh</w:t>
      </w:r>
      <w:r w:rsidRPr="004B7EF4">
        <w:t xml:space="preserve"> and HC</w:t>
      </w:r>
      <w:r>
        <w:t>l</w:t>
      </w:r>
      <w:r w:rsidRPr="004B7EF4">
        <w:t xml:space="preserve">. Weak mutagenic activity was found for </w:t>
      </w:r>
      <w:r>
        <w:t>Et</w:t>
      </w:r>
      <w:r w:rsidRPr="004B7EF4">
        <w:t xml:space="preserve"> at very high concentrations in mouse lymphoma cells. </w:t>
      </w:r>
      <w:proofErr w:type="gramStart"/>
      <w:r w:rsidRPr="004B7EF4">
        <w:t>Me</w:t>
      </w:r>
      <w:proofErr w:type="gramEnd"/>
      <w:r>
        <w:t xml:space="preserve"> wa</w:t>
      </w:r>
      <w:r w:rsidRPr="004B7EF4">
        <w:t xml:space="preserve">s positive in a mouse lymphoma test. </w:t>
      </w:r>
    </w:p>
    <w:p w:rsidR="001D41E2" w:rsidRPr="004B7EF4" w:rsidRDefault="001D41E2" w:rsidP="00DE56B0">
      <w:pPr>
        <w:jc w:val="both"/>
        <w:rPr>
          <w:i/>
          <w:iCs/>
        </w:rPr>
      </w:pPr>
    </w:p>
    <w:p w:rsidR="001D41E2" w:rsidRPr="004B7EF4" w:rsidRDefault="001D41E2" w:rsidP="00DE56B0">
      <w:pPr>
        <w:jc w:val="both"/>
      </w:pPr>
      <w:r>
        <w:t>In a chromosome aberration</w:t>
      </w:r>
      <w:r w:rsidRPr="004B7EF4">
        <w:t xml:space="preserve"> test, Chinese hamster ovary K1 (CHO-K1) cells w</w:t>
      </w:r>
      <w:r>
        <w:t>ere treated for 24 hours at 0–</w:t>
      </w:r>
      <w:r w:rsidRPr="004B7EF4">
        <w:t>16 mM</w:t>
      </w:r>
      <w:r>
        <w:t xml:space="preserve"> HCl</w:t>
      </w:r>
      <w:r w:rsidRPr="004B7EF4">
        <w:t xml:space="preserve"> without metabolic activation and for 6 hours at 0–12 mM with metabolic activation.  The highest concentrations (12 and 16 mM with and without activation, respectively) were cytotoxic.  HCl induced chromosomal aberrations at 8-10 mM with activation (corresponding to pH of 5.8-6.0) and at 14 mM without activation (pH 5.5).  In a mouse lymphoma L5178Y TK+/- cells were exposed for 4 hours to HCl concentrations of 0.1-0.4 µl/ml (1.2-4.8mM) without activation or 0.2 – 0.8 µl/ml (2.4-9.6 mM) with activation.  HCl did not induce chromosomal aberrations in this test (</w:t>
      </w:r>
      <w:r>
        <w:t xml:space="preserve">OECD 2002a:  </w:t>
      </w:r>
      <w:hyperlink r:id="rId53" w:history="1">
        <w:r w:rsidRPr="004B7EF4">
          <w:t>http://www.chem.unep.ch/irptc/sids/oecdsids/ 7647010.pdf</w:t>
        </w:r>
      </w:hyperlink>
      <w:r w:rsidRPr="004B7EF4">
        <w:t>).</w:t>
      </w:r>
    </w:p>
    <w:p w:rsidR="001D41E2" w:rsidRPr="004B7EF4" w:rsidRDefault="001D41E2" w:rsidP="00AA48A4">
      <w:pPr>
        <w:pStyle w:val="BodyText"/>
        <w:spacing w:before="240" w:after="240"/>
        <w:rPr>
          <w:lang w:val="en-US"/>
        </w:rPr>
      </w:pPr>
      <w:proofErr w:type="gramStart"/>
      <w:r>
        <w:rPr>
          <w:lang w:val="en-US"/>
        </w:rPr>
        <w:t>M</w:t>
      </w:r>
      <w:r w:rsidRPr="004B7EF4">
        <w:rPr>
          <w:lang w:val="en-US"/>
        </w:rPr>
        <w:t>e</w:t>
      </w:r>
      <w:proofErr w:type="gramEnd"/>
      <w:r w:rsidRPr="004B7EF4">
        <w:rPr>
          <w:lang w:val="en-US"/>
        </w:rPr>
        <w:t xml:space="preserve">, </w:t>
      </w:r>
      <w:r>
        <w:rPr>
          <w:lang w:val="en-US"/>
        </w:rPr>
        <w:t>Et</w:t>
      </w:r>
      <w:r w:rsidRPr="004B7EF4">
        <w:rPr>
          <w:lang w:val="en-US"/>
        </w:rPr>
        <w:t xml:space="preserve">, </w:t>
      </w:r>
      <w:r>
        <w:rPr>
          <w:lang w:val="en-US"/>
        </w:rPr>
        <w:t>Pr</w:t>
      </w:r>
      <w:r w:rsidRPr="004B7EF4">
        <w:rPr>
          <w:lang w:val="en-US"/>
        </w:rPr>
        <w:t xml:space="preserve">, </w:t>
      </w:r>
      <w:r>
        <w:rPr>
          <w:lang w:val="en-US"/>
        </w:rPr>
        <w:t>Sb, DEG</w:t>
      </w:r>
      <w:r w:rsidRPr="004B7EF4">
        <w:rPr>
          <w:lang w:val="en-US"/>
        </w:rPr>
        <w:t xml:space="preserve"> and </w:t>
      </w:r>
      <w:r>
        <w:rPr>
          <w:lang w:val="en-US"/>
        </w:rPr>
        <w:t>Eh</w:t>
      </w:r>
      <w:r w:rsidRPr="004B7EF4">
        <w:rPr>
          <w:lang w:val="en-US"/>
        </w:rPr>
        <w:t xml:space="preserve"> were no</w:t>
      </w:r>
      <w:r>
        <w:rPr>
          <w:lang w:val="en-US"/>
        </w:rPr>
        <w:t xml:space="preserve">t </w:t>
      </w:r>
      <w:r w:rsidRPr="004B7EF4">
        <w:rPr>
          <w:lang w:val="en-US"/>
        </w:rPr>
        <w:t xml:space="preserve">clastogenic in different </w:t>
      </w:r>
      <w:r w:rsidRPr="00D13BCC">
        <w:rPr>
          <w:i/>
          <w:iCs/>
          <w:lang w:val="en-US"/>
        </w:rPr>
        <w:t>in</w:t>
      </w:r>
      <w:r>
        <w:rPr>
          <w:i/>
          <w:iCs/>
          <w:lang w:val="en-US"/>
        </w:rPr>
        <w:t xml:space="preserve"> </w:t>
      </w:r>
      <w:r w:rsidRPr="00D13BCC">
        <w:rPr>
          <w:i/>
          <w:iCs/>
          <w:lang w:val="en-US"/>
        </w:rPr>
        <w:t>vitro</w:t>
      </w:r>
      <w:r w:rsidRPr="004B7EF4">
        <w:rPr>
          <w:lang w:val="en-US"/>
        </w:rPr>
        <w:t xml:space="preserve"> test</w:t>
      </w:r>
      <w:r>
        <w:rPr>
          <w:lang w:val="en-US"/>
        </w:rPr>
        <w:t xml:space="preserve"> </w:t>
      </w:r>
      <w:r w:rsidRPr="004B7EF4">
        <w:rPr>
          <w:lang w:val="en-US"/>
        </w:rPr>
        <w:t xml:space="preserve">systems. </w:t>
      </w:r>
      <w:r>
        <w:rPr>
          <w:lang w:val="en-US"/>
        </w:rPr>
        <w:t>No</w:t>
      </w:r>
      <w:r w:rsidRPr="004B7EF4">
        <w:rPr>
          <w:lang w:val="en-US"/>
        </w:rPr>
        <w:t xml:space="preserve"> </w:t>
      </w:r>
      <w:r w:rsidRPr="00D13BCC">
        <w:rPr>
          <w:i/>
          <w:iCs/>
          <w:lang w:val="en-US"/>
        </w:rPr>
        <w:t>in vitro</w:t>
      </w:r>
      <w:r w:rsidRPr="004B7EF4">
        <w:rPr>
          <w:lang w:val="en-US"/>
        </w:rPr>
        <w:t xml:space="preserve"> data </w:t>
      </w:r>
      <w:r>
        <w:rPr>
          <w:lang w:val="en-US"/>
        </w:rPr>
        <w:t>for</w:t>
      </w:r>
      <w:r w:rsidRPr="004B7EF4">
        <w:rPr>
          <w:lang w:val="en-US"/>
        </w:rPr>
        <w:t xml:space="preserve"> clastogenicity </w:t>
      </w:r>
      <w:r>
        <w:rPr>
          <w:lang w:val="en-US"/>
        </w:rPr>
        <w:t xml:space="preserve">are </w:t>
      </w:r>
      <w:r w:rsidRPr="004B7EF4">
        <w:rPr>
          <w:lang w:val="en-US"/>
        </w:rPr>
        <w:t xml:space="preserve">available for </w:t>
      </w:r>
      <w:r>
        <w:rPr>
          <w:lang w:val="en-US"/>
        </w:rPr>
        <w:t>Ip</w:t>
      </w:r>
      <w:r w:rsidRPr="004B7EF4">
        <w:rPr>
          <w:lang w:val="en-US"/>
        </w:rPr>
        <w:t>.</w:t>
      </w:r>
    </w:p>
    <w:p w:rsidR="001D41E2" w:rsidRDefault="001D41E2" w:rsidP="00DE56B0">
      <w:pPr>
        <w:pStyle w:val="Heading9"/>
        <w:rPr>
          <w:lang w:val="en-US"/>
        </w:rPr>
      </w:pPr>
      <w:r w:rsidRPr="004B7EF4">
        <w:rPr>
          <w:lang w:val="en-US"/>
        </w:rPr>
        <w:t>In vivo Studies</w:t>
      </w:r>
    </w:p>
    <w:p w:rsidR="001D41E2" w:rsidRPr="00CA18D6" w:rsidRDefault="001D41E2" w:rsidP="00AA48A4">
      <w:pPr>
        <w:pStyle w:val="Caption"/>
        <w:ind w:left="0"/>
      </w:pPr>
      <w:bookmarkStart w:id="79" w:name="_Toc264983296"/>
      <w:r>
        <w:t xml:space="preserve">Table </w:t>
      </w:r>
      <w:r w:rsidR="002F054D">
        <w:t>20</w:t>
      </w:r>
      <w:r w:rsidR="00AA48A4">
        <w:t xml:space="preserve">    </w:t>
      </w:r>
      <w:r>
        <w:t xml:space="preserve"> Summary of In Vivo Mutagenicity Studies</w:t>
      </w:r>
      <w:bookmarkEnd w:id="79"/>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13"/>
        <w:gridCol w:w="3129"/>
        <w:gridCol w:w="1203"/>
        <w:gridCol w:w="1324"/>
        <w:gridCol w:w="2286"/>
      </w:tblGrid>
      <w:tr w:rsidR="001D41E2" w:rsidRPr="00AA48A4" w:rsidTr="00AA48A4">
        <w:trPr>
          <w:tblHeader/>
        </w:trPr>
        <w:tc>
          <w:tcPr>
            <w:tcW w:w="1908" w:type="dxa"/>
            <w:tcBorders>
              <w:top w:val="single" w:sz="12" w:space="0" w:color="auto"/>
              <w:bottom w:val="single" w:sz="12" w:space="0" w:color="auto"/>
            </w:tcBorders>
            <w:vAlign w:val="center"/>
          </w:tcPr>
          <w:p w:rsidR="001D41E2" w:rsidRPr="00AA48A4" w:rsidRDefault="001D41E2" w:rsidP="00DE56B0">
            <w:pPr>
              <w:pStyle w:val="Tabletext"/>
              <w:rPr>
                <w:b/>
                <w:bCs/>
              </w:rPr>
            </w:pPr>
            <w:r w:rsidRPr="00AA48A4">
              <w:rPr>
                <w:b/>
                <w:bCs/>
              </w:rPr>
              <w:t>Category member / hydrolysis product</w:t>
            </w:r>
          </w:p>
        </w:tc>
        <w:tc>
          <w:tcPr>
            <w:tcW w:w="31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Test species</w:t>
            </w:r>
          </w:p>
        </w:tc>
        <w:tc>
          <w:tcPr>
            <w:tcW w:w="120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Metabolic activation</w:t>
            </w:r>
          </w:p>
        </w:tc>
        <w:tc>
          <w:tcPr>
            <w:tcW w:w="132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Result</w:t>
            </w:r>
          </w:p>
        </w:tc>
        <w:tc>
          <w:tcPr>
            <w:tcW w:w="2280" w:type="dxa"/>
            <w:tcBorders>
              <w:top w:val="single" w:sz="12" w:space="0" w:color="auto"/>
              <w:bottom w:val="single" w:sz="12" w:space="0" w:color="auto"/>
            </w:tcBorders>
            <w:vAlign w:val="center"/>
          </w:tcPr>
          <w:p w:rsidR="001D41E2" w:rsidRPr="00AA48A4" w:rsidRDefault="001D41E2" w:rsidP="00DE56B0">
            <w:pPr>
              <w:pStyle w:val="Tabletext"/>
              <w:jc w:val="center"/>
              <w:rPr>
                <w:b/>
                <w:bCs/>
              </w:rPr>
            </w:pPr>
            <w:r w:rsidRPr="00AA48A4">
              <w:rPr>
                <w:b/>
                <w:bCs/>
              </w:rPr>
              <w:t>Reference</w:t>
            </w:r>
          </w:p>
        </w:tc>
      </w:tr>
      <w:tr w:rsidR="001D41E2" w:rsidRPr="00AA48A4" w:rsidTr="00AA48A4">
        <w:trPr>
          <w:trHeight w:val="397"/>
        </w:trPr>
        <w:tc>
          <w:tcPr>
            <w:tcW w:w="9828" w:type="dxa"/>
            <w:gridSpan w:val="5"/>
            <w:tcBorders>
              <w:top w:val="single" w:sz="12" w:space="0" w:color="auto"/>
            </w:tcBorders>
            <w:vAlign w:val="center"/>
          </w:tcPr>
          <w:p w:rsidR="001D41E2" w:rsidRPr="00AA48A4" w:rsidRDefault="001D41E2" w:rsidP="00DE56B0">
            <w:pPr>
              <w:pStyle w:val="Tabletext"/>
            </w:pPr>
            <w:r w:rsidRPr="00AA48A4">
              <w:rPr>
                <w:b/>
                <w:bCs/>
              </w:rPr>
              <w:t>Clastogenicity:Chromosomal aberration (CA) /Micronucleus test (MNT)</w:t>
            </w:r>
          </w:p>
        </w:tc>
      </w:tr>
      <w:tr w:rsidR="001D41E2" w:rsidRPr="00AA48A4" w:rsidTr="00AA48A4">
        <w:trPr>
          <w:trHeight w:val="567"/>
        </w:trPr>
        <w:tc>
          <w:tcPr>
            <w:tcW w:w="9828" w:type="dxa"/>
            <w:gridSpan w:val="5"/>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Data for the hydrolysis products</w:t>
            </w:r>
          </w:p>
        </w:tc>
      </w:tr>
      <w:tr w:rsidR="001D41E2" w:rsidRPr="00AA48A4" w:rsidTr="00AA48A4">
        <w:trPr>
          <w:trHeight w:val="567"/>
        </w:trPr>
        <w:tc>
          <w:tcPr>
            <w:tcW w:w="1908" w:type="dxa"/>
            <w:shd w:val="clear" w:color="auto" w:fill="C0C0C0"/>
            <w:vAlign w:val="center"/>
          </w:tcPr>
          <w:p w:rsidR="001D41E2" w:rsidRPr="00AA48A4" w:rsidRDefault="001D41E2" w:rsidP="00DE56B0">
            <w:pPr>
              <w:pStyle w:val="Tabletext"/>
              <w:jc w:val="center"/>
            </w:pPr>
            <w:r w:rsidRPr="00AA48A4">
              <w:t>Me</w:t>
            </w:r>
          </w:p>
        </w:tc>
        <w:tc>
          <w:tcPr>
            <w:tcW w:w="31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Several in vivo MNT</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n.a.</w:t>
            </w: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shd w:val="clear" w:color="auto" w:fill="C0C0C0"/>
            <w:vAlign w:val="center"/>
          </w:tcPr>
          <w:p w:rsidR="001D41E2" w:rsidRPr="00AA48A4" w:rsidRDefault="001D41E2" w:rsidP="00DE56B0">
            <w:pPr>
              <w:pStyle w:val="Tabletext"/>
              <w:jc w:val="center"/>
            </w:pPr>
            <w:r w:rsidRPr="00AA48A4">
              <w:t>OECD, 2004</w:t>
            </w:r>
          </w:p>
        </w:tc>
      </w:tr>
      <w:tr w:rsidR="001D41E2" w:rsidRPr="00AA48A4" w:rsidTr="00AA48A4">
        <w:trPr>
          <w:trHeight w:val="567"/>
        </w:trPr>
        <w:tc>
          <w:tcPr>
            <w:tcW w:w="1908" w:type="dxa"/>
            <w:shd w:val="clear" w:color="auto" w:fill="C0C0C0"/>
            <w:vAlign w:val="center"/>
          </w:tcPr>
          <w:p w:rsidR="001D41E2" w:rsidRPr="00AA48A4" w:rsidRDefault="001D41E2" w:rsidP="00DE56B0">
            <w:pPr>
              <w:pStyle w:val="Tabletext"/>
              <w:jc w:val="center"/>
            </w:pPr>
            <w:r w:rsidRPr="00AA48A4">
              <w:t>Et</w:t>
            </w:r>
          </w:p>
        </w:tc>
        <w:tc>
          <w:tcPr>
            <w:tcW w:w="3120" w:type="dxa"/>
            <w:shd w:val="clear" w:color="auto" w:fill="C0C0C0"/>
            <w:vAlign w:val="center"/>
          </w:tcPr>
          <w:p w:rsidR="001D41E2" w:rsidRPr="00AA48A4" w:rsidRDefault="001D41E2" w:rsidP="00DE56B0">
            <w:pPr>
              <w:jc w:val="center"/>
              <w:rPr>
                <w:sz w:val="20"/>
                <w:szCs w:val="20"/>
              </w:rPr>
            </w:pPr>
            <w:r w:rsidRPr="00AA48A4">
              <w:rPr>
                <w:sz w:val="20"/>
                <w:szCs w:val="20"/>
              </w:rPr>
              <w:t xml:space="preserve">In vivo chromosomal aberration tests in hamsters and rat were negative. At an extremely high concentrations (36% of the diet) in vivo chromosomal aberration can be induced </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shd w:val="clear" w:color="auto" w:fill="C0C0C0"/>
            <w:vAlign w:val="center"/>
          </w:tcPr>
          <w:p w:rsidR="001D41E2" w:rsidRPr="00AA48A4" w:rsidRDefault="001D41E2" w:rsidP="00DE56B0">
            <w:pPr>
              <w:pStyle w:val="Tabletext"/>
              <w:jc w:val="center"/>
            </w:pPr>
            <w:r w:rsidRPr="00AA48A4">
              <w:t>OECD, 2005</w:t>
            </w:r>
          </w:p>
        </w:tc>
      </w:tr>
      <w:tr w:rsidR="001D41E2" w:rsidRPr="00AA48A4" w:rsidTr="00AA48A4">
        <w:trPr>
          <w:trHeight w:val="567"/>
        </w:trPr>
        <w:tc>
          <w:tcPr>
            <w:tcW w:w="1908" w:type="dxa"/>
            <w:shd w:val="clear" w:color="auto" w:fill="C0C0C0"/>
            <w:vAlign w:val="center"/>
          </w:tcPr>
          <w:p w:rsidR="001D41E2" w:rsidRPr="00AA48A4" w:rsidRDefault="001D41E2" w:rsidP="00DE56B0">
            <w:pPr>
              <w:pStyle w:val="Tabletext"/>
              <w:jc w:val="center"/>
            </w:pPr>
            <w:r w:rsidRPr="00AA48A4">
              <w:t>Pr</w:t>
            </w:r>
          </w:p>
        </w:tc>
        <w:tc>
          <w:tcPr>
            <w:tcW w:w="3120" w:type="dxa"/>
            <w:shd w:val="clear" w:color="auto" w:fill="C0C0C0"/>
            <w:vAlign w:val="center"/>
          </w:tcPr>
          <w:p w:rsidR="001D41E2" w:rsidRPr="00AA48A4" w:rsidRDefault="001D41E2" w:rsidP="009F7309">
            <w:pPr>
              <w:pStyle w:val="NormalWeb"/>
              <w:spacing w:before="120" w:after="120"/>
              <w:jc w:val="center"/>
              <w:rPr>
                <w:sz w:val="20"/>
                <w:szCs w:val="20"/>
                <w:lang w:val="en-US"/>
              </w:rPr>
            </w:pPr>
            <w:r w:rsidRPr="00AA48A4">
              <w:rPr>
                <w:sz w:val="20"/>
                <w:szCs w:val="20"/>
                <w:lang w:val="en-US"/>
              </w:rPr>
              <w:t>Rat (In vivo CA)</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ECB, 2008</w:t>
            </w:r>
          </w:p>
        </w:tc>
      </w:tr>
      <w:tr w:rsidR="001D41E2" w:rsidRPr="00AA48A4" w:rsidTr="00AA48A4">
        <w:trPr>
          <w:trHeight w:val="567"/>
        </w:trPr>
        <w:tc>
          <w:tcPr>
            <w:tcW w:w="1908" w:type="dxa"/>
            <w:shd w:val="clear" w:color="auto" w:fill="C0C0C0"/>
            <w:vAlign w:val="center"/>
          </w:tcPr>
          <w:p w:rsidR="001D41E2" w:rsidRPr="00AA48A4" w:rsidRDefault="001D41E2" w:rsidP="00DE56B0">
            <w:pPr>
              <w:pStyle w:val="Tabletext"/>
              <w:jc w:val="center"/>
            </w:pPr>
            <w:r w:rsidRPr="00AA48A4">
              <w:t>Ip</w:t>
            </w:r>
          </w:p>
        </w:tc>
        <w:tc>
          <w:tcPr>
            <w:tcW w:w="31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Mouse (in vivo MNT)</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OECD, 2000</w:t>
            </w:r>
          </w:p>
        </w:tc>
      </w:tr>
      <w:tr w:rsidR="001D41E2" w:rsidRPr="00AA48A4" w:rsidTr="00AA48A4">
        <w:trPr>
          <w:trHeight w:val="567"/>
        </w:trPr>
        <w:tc>
          <w:tcPr>
            <w:tcW w:w="1908" w:type="dxa"/>
            <w:shd w:val="clear" w:color="auto" w:fill="C0C0C0"/>
            <w:vAlign w:val="center"/>
          </w:tcPr>
          <w:p w:rsidR="001D41E2" w:rsidRPr="00AA48A4" w:rsidRDefault="001D41E2" w:rsidP="00DE56B0">
            <w:pPr>
              <w:pStyle w:val="Tabletext"/>
              <w:jc w:val="center"/>
            </w:pPr>
            <w:r w:rsidRPr="00AA48A4">
              <w:t>Eh</w:t>
            </w:r>
          </w:p>
        </w:tc>
        <w:tc>
          <w:tcPr>
            <w:tcW w:w="31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Several in vivo MNT</w:t>
            </w:r>
          </w:p>
        </w:tc>
        <w:tc>
          <w:tcPr>
            <w:tcW w:w="1200" w:type="dxa"/>
            <w:shd w:val="clear" w:color="auto" w:fill="C0C0C0"/>
            <w:vAlign w:val="center"/>
          </w:tcPr>
          <w:p w:rsidR="001D41E2" w:rsidRPr="00AA48A4" w:rsidRDefault="001D41E2" w:rsidP="00DE56B0">
            <w:pPr>
              <w:pStyle w:val="NormalWeb"/>
              <w:spacing w:before="120" w:after="120"/>
              <w:jc w:val="center"/>
              <w:rPr>
                <w:sz w:val="20"/>
                <w:szCs w:val="20"/>
                <w:lang w:val="en-US"/>
              </w:rPr>
            </w:pPr>
          </w:p>
        </w:tc>
        <w:tc>
          <w:tcPr>
            <w:tcW w:w="1320" w:type="dxa"/>
            <w:shd w:val="clear" w:color="auto" w:fill="C0C0C0"/>
            <w:vAlign w:val="center"/>
          </w:tcPr>
          <w:p w:rsidR="001D41E2" w:rsidRPr="00AA48A4" w:rsidRDefault="001D41E2" w:rsidP="00DE56B0">
            <w:pPr>
              <w:pStyle w:val="NormalWeb"/>
              <w:spacing w:before="120" w:after="120"/>
              <w:jc w:val="center"/>
              <w:rPr>
                <w:sz w:val="20"/>
                <w:szCs w:val="20"/>
                <w:lang w:val="en-US"/>
              </w:rPr>
            </w:pPr>
            <w:r w:rsidRPr="00AA48A4">
              <w:rPr>
                <w:sz w:val="20"/>
                <w:szCs w:val="20"/>
                <w:lang w:val="en-US"/>
              </w:rPr>
              <w:t>negative</w:t>
            </w:r>
          </w:p>
        </w:tc>
        <w:tc>
          <w:tcPr>
            <w:tcW w:w="2280" w:type="dxa"/>
            <w:shd w:val="clear" w:color="auto" w:fill="C0C0C0"/>
            <w:vAlign w:val="center"/>
          </w:tcPr>
          <w:p w:rsidR="001D41E2" w:rsidRPr="00AA48A4" w:rsidRDefault="001D41E2" w:rsidP="00DE56B0">
            <w:pPr>
              <w:pStyle w:val="Tabletext"/>
              <w:jc w:val="center"/>
            </w:pPr>
            <w:r w:rsidRPr="00AA48A4">
              <w:t>OECD, 1995</w:t>
            </w:r>
          </w:p>
        </w:tc>
      </w:tr>
    </w:tbl>
    <w:p w:rsidR="001D41E2" w:rsidRPr="004B7EF4" w:rsidRDefault="001D41E2" w:rsidP="00AA48A4">
      <w:pPr>
        <w:pStyle w:val="BodyText"/>
        <w:spacing w:before="240"/>
        <w:rPr>
          <w:lang w:val="en-US"/>
        </w:rPr>
      </w:pPr>
      <w:r>
        <w:rPr>
          <w:lang w:val="en-US"/>
        </w:rPr>
        <w:t xml:space="preserve">No </w:t>
      </w:r>
      <w:r w:rsidRPr="00D13BCC">
        <w:rPr>
          <w:i/>
          <w:iCs/>
          <w:lang w:val="en-US"/>
        </w:rPr>
        <w:t>in vivo</w:t>
      </w:r>
      <w:r w:rsidRPr="004B7EF4">
        <w:rPr>
          <w:lang w:val="en-US"/>
        </w:rPr>
        <w:t xml:space="preserve"> </w:t>
      </w:r>
      <w:r>
        <w:rPr>
          <w:lang w:val="en-US"/>
        </w:rPr>
        <w:t xml:space="preserve">mutagenicity </w:t>
      </w:r>
      <w:r w:rsidRPr="004B7EF4">
        <w:rPr>
          <w:lang w:val="en-US"/>
        </w:rPr>
        <w:t xml:space="preserve">data </w:t>
      </w:r>
      <w:r>
        <w:rPr>
          <w:lang w:val="en-US"/>
        </w:rPr>
        <w:t>are</w:t>
      </w:r>
      <w:r w:rsidRPr="004B7EF4">
        <w:rPr>
          <w:lang w:val="en-US"/>
        </w:rPr>
        <w:t xml:space="preserve"> available for the chloroformates</w:t>
      </w:r>
      <w:r>
        <w:rPr>
          <w:lang w:val="en-US"/>
        </w:rPr>
        <w:t xml:space="preserve"> category members or the hydrolysis products</w:t>
      </w:r>
      <w:r w:rsidRPr="004B7EF4">
        <w:rPr>
          <w:lang w:val="en-US"/>
        </w:rPr>
        <w:t xml:space="preserve"> </w:t>
      </w:r>
      <w:r>
        <w:rPr>
          <w:lang w:val="en-US"/>
        </w:rPr>
        <w:t xml:space="preserve">(Sb, </w:t>
      </w:r>
      <w:r w:rsidRPr="004B7EF4">
        <w:rPr>
          <w:lang w:val="en-US"/>
        </w:rPr>
        <w:t>DEG and HCl</w:t>
      </w:r>
      <w:r>
        <w:rPr>
          <w:lang w:val="en-US"/>
        </w:rPr>
        <w:t>)</w:t>
      </w:r>
      <w:r w:rsidRPr="004B7EF4">
        <w:rPr>
          <w:lang w:val="en-US"/>
        </w:rPr>
        <w:t>. The alcohol</w:t>
      </w:r>
      <w:r>
        <w:rPr>
          <w:lang w:val="en-US"/>
        </w:rPr>
        <w:t xml:space="preserve"> moiety</w:t>
      </w:r>
      <w:r w:rsidRPr="004B7EF4">
        <w:rPr>
          <w:lang w:val="en-US"/>
        </w:rPr>
        <w:t xml:space="preserve"> hydro</w:t>
      </w:r>
      <w:r>
        <w:rPr>
          <w:lang w:val="en-US"/>
        </w:rPr>
        <w:t>l</w:t>
      </w:r>
      <w:r w:rsidRPr="004B7EF4">
        <w:rPr>
          <w:lang w:val="en-US"/>
        </w:rPr>
        <w:t xml:space="preserve">ysis products </w:t>
      </w:r>
      <w:r>
        <w:rPr>
          <w:lang w:val="en-US"/>
        </w:rPr>
        <w:t xml:space="preserve">(Me, Pr, Ip and Eh) are not mutagenic </w:t>
      </w:r>
      <w:r w:rsidRPr="00900959">
        <w:rPr>
          <w:i/>
          <w:iCs/>
          <w:lang w:val="en-US"/>
        </w:rPr>
        <w:t>in vivo</w:t>
      </w:r>
      <w:r w:rsidRPr="004B7EF4">
        <w:rPr>
          <w:lang w:val="en-US"/>
        </w:rPr>
        <w:t>. At extremely high concentrations (36% of the diet)</w:t>
      </w:r>
      <w:r>
        <w:rPr>
          <w:lang w:val="en-US"/>
        </w:rPr>
        <w:t>,</w:t>
      </w:r>
      <w:r w:rsidRPr="004B7EF4">
        <w:rPr>
          <w:lang w:val="en-US"/>
        </w:rPr>
        <w:t xml:space="preserve"> </w:t>
      </w:r>
      <w:proofErr w:type="gramStart"/>
      <w:r>
        <w:rPr>
          <w:lang w:val="en-US"/>
        </w:rPr>
        <w:t>Et</w:t>
      </w:r>
      <w:proofErr w:type="gramEnd"/>
      <w:r w:rsidRPr="004B7EF4">
        <w:rPr>
          <w:lang w:val="en-US"/>
        </w:rPr>
        <w:t xml:space="preserve"> may induce chromosomal aberrations. </w:t>
      </w:r>
    </w:p>
    <w:p w:rsidR="001D41E2" w:rsidRPr="004B7EF4" w:rsidRDefault="001D41E2" w:rsidP="00DE56B0">
      <w:pPr>
        <w:pStyle w:val="Heading8"/>
        <w:rPr>
          <w:lang w:val="en-US"/>
        </w:rPr>
      </w:pPr>
      <w:r w:rsidRPr="004B7EF4">
        <w:rPr>
          <w:lang w:val="en-US"/>
        </w:rPr>
        <w:t>Studies in Humans</w:t>
      </w:r>
    </w:p>
    <w:p w:rsidR="001D41E2" w:rsidRPr="004B7EF4" w:rsidRDefault="001D41E2" w:rsidP="00DE56B0">
      <w:pPr>
        <w:pStyle w:val="BodyText"/>
        <w:rPr>
          <w:lang w:val="en-US"/>
        </w:rPr>
      </w:pPr>
      <w:r w:rsidRPr="004B7EF4">
        <w:rPr>
          <w:lang w:val="en-US"/>
        </w:rPr>
        <w:t>No data available.</w:t>
      </w:r>
    </w:p>
    <w:p w:rsidR="001D41E2" w:rsidRPr="004B7EF4" w:rsidRDefault="001D41E2" w:rsidP="00DE56B0">
      <w:pPr>
        <w:pStyle w:val="Heading8"/>
        <w:rPr>
          <w:lang w:val="en-US"/>
        </w:rPr>
      </w:pPr>
      <w:r w:rsidRPr="004B7EF4">
        <w:rPr>
          <w:lang w:val="en-US"/>
        </w:rPr>
        <w:t>Conclusion</w:t>
      </w:r>
      <w:r>
        <w:rPr>
          <w:lang w:val="en-US"/>
        </w:rPr>
        <w:t xml:space="preserve"> </w:t>
      </w:r>
    </w:p>
    <w:p w:rsidR="001D41E2" w:rsidRPr="004B7EF4" w:rsidRDefault="007D3E3E" w:rsidP="00DE56B0">
      <w:pPr>
        <w:pStyle w:val="BodyText"/>
        <w:rPr>
          <w:lang w:val="en-US"/>
        </w:rPr>
      </w:pPr>
      <w:r w:rsidRPr="007D3E3E">
        <w:rPr>
          <w:lang w:val="en-US"/>
        </w:rPr>
        <w:t xml:space="preserve">The chloroformates category members are not mutagenic </w:t>
      </w:r>
      <w:r w:rsidRPr="007D3E3E">
        <w:rPr>
          <w:i/>
          <w:iCs/>
          <w:lang w:val="en-US"/>
        </w:rPr>
        <w:t>in vitro</w:t>
      </w:r>
      <w:r w:rsidRPr="007D3E3E">
        <w:rPr>
          <w:lang w:val="en-US"/>
        </w:rPr>
        <w:t>, with the exception of MeCF, which was positive for chromosomal aberrations in the presence of metabolic activation.</w:t>
      </w:r>
      <w:r w:rsidR="001D41E2" w:rsidRPr="007A4106">
        <w:rPr>
          <w:lang w:val="en-US"/>
        </w:rPr>
        <w:t xml:space="preserve">  </w:t>
      </w:r>
      <w:r w:rsidR="003B01B0" w:rsidRPr="007A4106">
        <w:rPr>
          <w:lang w:val="en-US"/>
        </w:rPr>
        <w:t xml:space="preserve">The alcohol moiety hydrolysis products did not induce chromosomal aberrations </w:t>
      </w:r>
      <w:r w:rsidRPr="007D3E3E">
        <w:rPr>
          <w:i/>
          <w:lang w:val="en-US"/>
        </w:rPr>
        <w:t>in vitro</w:t>
      </w:r>
      <w:r w:rsidR="003B01B0" w:rsidRPr="007A4106">
        <w:rPr>
          <w:lang w:val="en-US"/>
        </w:rPr>
        <w:t xml:space="preserve">.  </w:t>
      </w:r>
      <w:r w:rsidR="001D41E2" w:rsidRPr="007A4106">
        <w:rPr>
          <w:lang w:val="en-US"/>
        </w:rPr>
        <w:t>Positive</w:t>
      </w:r>
      <w:r w:rsidR="001D41E2">
        <w:rPr>
          <w:lang w:val="en-US"/>
        </w:rPr>
        <w:t xml:space="preserve"> results have been obtained in the </w:t>
      </w:r>
      <w:r w:rsidR="001D41E2" w:rsidRPr="000A1C4D">
        <w:rPr>
          <w:i/>
          <w:iCs/>
          <w:lang w:val="en-US"/>
        </w:rPr>
        <w:t>in vitro</w:t>
      </w:r>
      <w:r w:rsidR="001D41E2">
        <w:rPr>
          <w:lang w:val="en-US"/>
        </w:rPr>
        <w:t xml:space="preserve"> chromosome aberration test with HCl; however, the positive results were considered to be the effect of low pH or cytotoxicity.  The hydrolysis products, </w:t>
      </w:r>
      <w:proofErr w:type="gramStart"/>
      <w:r w:rsidR="001D41E2">
        <w:rPr>
          <w:lang w:val="en-US"/>
        </w:rPr>
        <w:t>Et</w:t>
      </w:r>
      <w:proofErr w:type="gramEnd"/>
      <w:r w:rsidR="001D41E2">
        <w:rPr>
          <w:lang w:val="en-US"/>
        </w:rPr>
        <w:t xml:space="preserve"> and Pr, did not induce chromosomal aberrations </w:t>
      </w:r>
      <w:r w:rsidR="001D41E2" w:rsidRPr="00900959">
        <w:rPr>
          <w:i/>
          <w:iCs/>
          <w:lang w:val="en-US"/>
        </w:rPr>
        <w:t>in vivo</w:t>
      </w:r>
      <w:r w:rsidR="001D41E2">
        <w:rPr>
          <w:lang w:val="en-US"/>
        </w:rPr>
        <w:t xml:space="preserve">.  The hydrolysis products, Me, Ip, and Eh, did not induce mouse micronuclei </w:t>
      </w:r>
      <w:r w:rsidR="001D41E2" w:rsidRPr="00900959">
        <w:rPr>
          <w:i/>
          <w:iCs/>
          <w:lang w:val="en-US"/>
        </w:rPr>
        <w:t>in vivo</w:t>
      </w:r>
      <w:r w:rsidR="001D41E2">
        <w:rPr>
          <w:lang w:val="en-US"/>
        </w:rPr>
        <w:t xml:space="preserve">. </w:t>
      </w:r>
      <w:r w:rsidR="001D41E2" w:rsidRPr="00841A91">
        <w:rPr>
          <w:i/>
          <w:iCs/>
          <w:lang w:val="en-US"/>
        </w:rPr>
        <w:t xml:space="preserve"> </w:t>
      </w:r>
      <w:r w:rsidR="001D41E2">
        <w:rPr>
          <w:lang w:val="en-US"/>
        </w:rPr>
        <w:t>Although most studies are negative for mutagenicity, the possibility that methanol can result in mutagenicity cannot be completely ruled out.  The chloroformates are not expected to be genotoxic.</w:t>
      </w:r>
      <w:r w:rsidR="001D41E2" w:rsidRPr="004B7EF4" w:rsidDel="004A74DD">
        <w:rPr>
          <w:lang w:val="en-US"/>
        </w:rPr>
        <w:t xml:space="preserve"> </w:t>
      </w:r>
    </w:p>
    <w:p w:rsidR="001D41E2" w:rsidRDefault="001D41E2" w:rsidP="002E4793">
      <w:pPr>
        <w:pStyle w:val="Heading3"/>
        <w:numPr>
          <w:ilvl w:val="2"/>
          <w:numId w:val="28"/>
        </w:numPr>
        <w:tabs>
          <w:tab w:val="clear" w:pos="1440"/>
          <w:tab w:val="clear" w:pos="2160"/>
        </w:tabs>
      </w:pPr>
      <w:bookmarkStart w:id="80" w:name="_Toc264983269"/>
      <w:r>
        <w:t>Carcinogenicity</w:t>
      </w:r>
      <w:bookmarkEnd w:id="80"/>
    </w:p>
    <w:p w:rsidR="001D41E2" w:rsidRPr="002E4793" w:rsidRDefault="001D41E2" w:rsidP="002E4793">
      <w:r>
        <w:t>No data available.</w:t>
      </w:r>
    </w:p>
    <w:p w:rsidR="001D41E2" w:rsidRPr="002E4793" w:rsidRDefault="001D41E2" w:rsidP="002E4793">
      <w:pPr>
        <w:pStyle w:val="Heading3"/>
        <w:numPr>
          <w:ilvl w:val="2"/>
          <w:numId w:val="28"/>
        </w:numPr>
        <w:tabs>
          <w:tab w:val="clear" w:pos="1440"/>
          <w:tab w:val="clear" w:pos="2160"/>
        </w:tabs>
      </w:pPr>
      <w:bookmarkStart w:id="81" w:name="_Toc264983270"/>
      <w:r>
        <w:t>Toxicity to Reproduction</w:t>
      </w:r>
      <w:bookmarkEnd w:id="81"/>
    </w:p>
    <w:p w:rsidR="001D41E2" w:rsidRDefault="001D41E2" w:rsidP="00DE56B0">
      <w:pPr>
        <w:pStyle w:val="BodyText"/>
        <w:rPr>
          <w:lang w:val="en-US"/>
        </w:rPr>
      </w:pPr>
      <w:r w:rsidRPr="004B7EF4">
        <w:rPr>
          <w:lang w:val="en-US"/>
        </w:rPr>
        <w:t xml:space="preserve">No </w:t>
      </w:r>
      <w:r>
        <w:rPr>
          <w:lang w:val="en-US"/>
        </w:rPr>
        <w:t xml:space="preserve">reproductive toxicity </w:t>
      </w:r>
      <w:r w:rsidRPr="004B7EF4">
        <w:rPr>
          <w:lang w:val="en-US"/>
        </w:rPr>
        <w:t xml:space="preserve">studies </w:t>
      </w:r>
      <w:r>
        <w:rPr>
          <w:lang w:val="en-US"/>
        </w:rPr>
        <w:t>are available for the chloroformates category members.     Data are available for all of the hydrolysis products.  The reproductive toxicity endpoint for the chloroformate category is additionally addressed with data from the hydrolysis products.  These data are summarized below.  Detailed information can be obtained from the SIDS dossiers.</w:t>
      </w:r>
    </w:p>
    <w:p w:rsidR="001D41E2" w:rsidRDefault="001D41E2" w:rsidP="00DE56B0">
      <w:pPr>
        <w:pStyle w:val="BodyText"/>
        <w:rPr>
          <w:u w:val="single"/>
          <w:lang w:val="en-US"/>
        </w:rPr>
      </w:pPr>
      <w:r w:rsidRPr="005A3A31">
        <w:rPr>
          <w:u w:val="single"/>
          <w:lang w:val="en-US"/>
        </w:rPr>
        <w:t>Studies in Animals</w:t>
      </w:r>
    </w:p>
    <w:p w:rsidR="001D41E2" w:rsidRDefault="001D41E2" w:rsidP="00DE56B0">
      <w:pPr>
        <w:pStyle w:val="Heading9"/>
        <w:rPr>
          <w:lang w:val="en-US"/>
        </w:rPr>
      </w:pPr>
      <w:r w:rsidRPr="004B7EF4">
        <w:rPr>
          <w:lang w:val="en-US"/>
        </w:rPr>
        <w:t>Effects on Fertility</w:t>
      </w:r>
    </w:p>
    <w:p w:rsidR="001D41E2" w:rsidRPr="004B7EF4" w:rsidRDefault="001D41E2" w:rsidP="00FC3F4E">
      <w:pPr>
        <w:pStyle w:val="NormalWeb"/>
        <w:spacing w:before="0" w:beforeAutospacing="0" w:after="120" w:afterAutospacing="0"/>
        <w:jc w:val="both"/>
        <w:rPr>
          <w:lang w:val="en-US"/>
        </w:rPr>
      </w:pPr>
      <w:r w:rsidRPr="004B7EF4">
        <w:rPr>
          <w:b/>
          <w:bCs/>
          <w:i/>
          <w:iCs/>
          <w:lang w:val="en-US"/>
        </w:rPr>
        <w:t>Me:</w:t>
      </w:r>
      <w:r w:rsidRPr="004B7EF4">
        <w:rPr>
          <w:lang w:val="en-US"/>
        </w:rPr>
        <w:t xml:space="preserve"> </w:t>
      </w:r>
      <w:r>
        <w:rPr>
          <w:lang w:val="en-US"/>
        </w:rPr>
        <w:t xml:space="preserve">As described in the SIDS Dossier, </w:t>
      </w:r>
      <w:r w:rsidRPr="004B7EF4">
        <w:rPr>
          <w:lang w:val="en-US"/>
        </w:rPr>
        <w:t>Sprague</w:t>
      </w:r>
      <w:r>
        <w:rPr>
          <w:lang w:val="en-US"/>
        </w:rPr>
        <w:t>-</w:t>
      </w:r>
      <w:r w:rsidRPr="004B7EF4">
        <w:rPr>
          <w:lang w:val="en-US"/>
        </w:rPr>
        <w:t xml:space="preserve">Dawley </w:t>
      </w:r>
      <w:r>
        <w:rPr>
          <w:lang w:val="en-US"/>
        </w:rPr>
        <w:t>r</w:t>
      </w:r>
      <w:r w:rsidRPr="004B7EF4">
        <w:rPr>
          <w:lang w:val="en-US"/>
        </w:rPr>
        <w:t xml:space="preserve">ats were exposed </w:t>
      </w:r>
      <w:r>
        <w:rPr>
          <w:lang w:val="en-US"/>
        </w:rPr>
        <w:t xml:space="preserve">via inhalation </w:t>
      </w:r>
      <w:r w:rsidRPr="004B7EF4">
        <w:rPr>
          <w:lang w:val="en-US"/>
        </w:rPr>
        <w:t>to 0.013</w:t>
      </w:r>
      <w:r>
        <w:rPr>
          <w:lang w:val="en-US"/>
        </w:rPr>
        <w:t>,</w:t>
      </w:r>
      <w:r w:rsidRPr="004B7EF4">
        <w:rPr>
          <w:lang w:val="en-US"/>
        </w:rPr>
        <w:t xml:space="preserve"> 0.13</w:t>
      </w:r>
      <w:r>
        <w:rPr>
          <w:lang w:val="en-US"/>
        </w:rPr>
        <w:t>,</w:t>
      </w:r>
      <w:r w:rsidRPr="004B7EF4">
        <w:rPr>
          <w:lang w:val="en-US"/>
        </w:rPr>
        <w:t xml:space="preserve"> </w:t>
      </w:r>
      <w:r>
        <w:rPr>
          <w:lang w:val="en-US"/>
        </w:rPr>
        <w:t xml:space="preserve">or </w:t>
      </w:r>
      <w:r w:rsidRPr="004B7EF4">
        <w:rPr>
          <w:lang w:val="en-US"/>
        </w:rPr>
        <w:t xml:space="preserve">1.3 mg/L </w:t>
      </w:r>
      <w:r>
        <w:rPr>
          <w:lang w:val="en-US"/>
        </w:rPr>
        <w:t>m</w:t>
      </w:r>
      <w:r w:rsidRPr="004B7EF4">
        <w:rPr>
          <w:lang w:val="en-US"/>
        </w:rPr>
        <w:t>ethanol (corresponding to 10</w:t>
      </w:r>
      <w:r>
        <w:rPr>
          <w:lang w:val="en-US"/>
        </w:rPr>
        <w:t>,</w:t>
      </w:r>
      <w:r w:rsidRPr="004B7EF4">
        <w:rPr>
          <w:lang w:val="en-US"/>
        </w:rPr>
        <w:t xml:space="preserve"> 100</w:t>
      </w:r>
      <w:r>
        <w:rPr>
          <w:lang w:val="en-US"/>
        </w:rPr>
        <w:t>,</w:t>
      </w:r>
      <w:r w:rsidRPr="004B7EF4">
        <w:rPr>
          <w:lang w:val="en-US"/>
        </w:rPr>
        <w:t xml:space="preserve"> </w:t>
      </w:r>
      <w:r>
        <w:rPr>
          <w:lang w:val="en-US"/>
        </w:rPr>
        <w:t xml:space="preserve">or </w:t>
      </w:r>
      <w:r w:rsidRPr="004B7EF4">
        <w:rPr>
          <w:lang w:val="en-US"/>
        </w:rPr>
        <w:t>1000 ppm) in a 2</w:t>
      </w:r>
      <w:r>
        <w:rPr>
          <w:lang w:val="en-US"/>
        </w:rPr>
        <w:t>-</w:t>
      </w:r>
      <w:r w:rsidRPr="004B7EF4">
        <w:rPr>
          <w:lang w:val="en-US"/>
        </w:rPr>
        <w:t xml:space="preserve">generation study according to OECD </w:t>
      </w:r>
      <w:r>
        <w:rPr>
          <w:lang w:val="en-US"/>
        </w:rPr>
        <w:t xml:space="preserve">TG </w:t>
      </w:r>
      <w:r w:rsidRPr="004B7EF4">
        <w:rPr>
          <w:lang w:val="en-US"/>
        </w:rPr>
        <w:t xml:space="preserve">416. No impairment of fertility </w:t>
      </w:r>
      <w:r>
        <w:rPr>
          <w:lang w:val="en-US"/>
        </w:rPr>
        <w:t>or</w:t>
      </w:r>
      <w:r w:rsidRPr="004B7EF4">
        <w:rPr>
          <w:lang w:val="en-US"/>
        </w:rPr>
        <w:t xml:space="preserve"> reproductive performance w</w:t>
      </w:r>
      <w:r>
        <w:rPr>
          <w:lang w:val="en-US"/>
        </w:rPr>
        <w:t>as</w:t>
      </w:r>
      <w:r w:rsidRPr="004B7EF4">
        <w:rPr>
          <w:lang w:val="en-US"/>
        </w:rPr>
        <w:t xml:space="preserve"> found in male and female rats (parent and </w:t>
      </w:r>
      <w:r>
        <w:rPr>
          <w:lang w:val="en-US"/>
        </w:rPr>
        <w:t>female</w:t>
      </w:r>
      <w:r w:rsidRPr="004B7EF4">
        <w:rPr>
          <w:lang w:val="en-US"/>
        </w:rPr>
        <w:t xml:space="preserve"> generation) exposed continuously </w:t>
      </w:r>
      <w:r>
        <w:rPr>
          <w:lang w:val="en-US"/>
        </w:rPr>
        <w:t xml:space="preserve">to the </w:t>
      </w:r>
      <w:r w:rsidRPr="004B7EF4">
        <w:rPr>
          <w:lang w:val="en-US"/>
        </w:rPr>
        <w:t>high</w:t>
      </w:r>
      <w:r>
        <w:rPr>
          <w:lang w:val="en-US"/>
        </w:rPr>
        <w:t>est</w:t>
      </w:r>
      <w:r w:rsidRPr="004B7EF4">
        <w:rPr>
          <w:lang w:val="en-US"/>
        </w:rPr>
        <w:t xml:space="preserve"> </w:t>
      </w:r>
      <w:r>
        <w:rPr>
          <w:lang w:val="en-US"/>
        </w:rPr>
        <w:t xml:space="preserve">concentrations </w:t>
      </w:r>
      <w:r w:rsidRPr="004B7EF4">
        <w:rPr>
          <w:lang w:val="en-US"/>
        </w:rPr>
        <w:t>of methanol (</w:t>
      </w:r>
      <w:r>
        <w:rPr>
          <w:lang w:val="en-US"/>
        </w:rPr>
        <w:t xml:space="preserve">OECD, 2004a; </w:t>
      </w:r>
      <w:r w:rsidRPr="004B7EF4">
        <w:rPr>
          <w:lang w:val="en-US"/>
        </w:rPr>
        <w:t>Takeda and Katoh</w:t>
      </w:r>
      <w:r>
        <w:rPr>
          <w:lang w:val="en-US"/>
        </w:rPr>
        <w:t>,</w:t>
      </w:r>
      <w:r w:rsidRPr="004B7EF4">
        <w:rPr>
          <w:lang w:val="en-US"/>
        </w:rPr>
        <w:t xml:space="preserve"> 1988). </w:t>
      </w:r>
    </w:p>
    <w:p w:rsidR="001D41E2" w:rsidRDefault="001D41E2" w:rsidP="00DE56B0">
      <w:pPr>
        <w:pStyle w:val="NormalWeb"/>
        <w:spacing w:before="0" w:beforeAutospacing="0"/>
        <w:jc w:val="both"/>
        <w:rPr>
          <w:sz w:val="18"/>
          <w:szCs w:val="18"/>
          <w:lang w:val="en-US"/>
        </w:rPr>
      </w:pPr>
      <w:r w:rsidRPr="004B7EF4">
        <w:rPr>
          <w:lang w:val="en-US"/>
        </w:rPr>
        <w:t>In another study (</w:t>
      </w:r>
      <w:r>
        <w:rPr>
          <w:lang w:val="en-US"/>
        </w:rPr>
        <w:t xml:space="preserve">OECD, 2004a: </w:t>
      </w:r>
      <w:r w:rsidRPr="004B7EF4">
        <w:rPr>
          <w:lang w:val="en-US"/>
        </w:rPr>
        <w:t xml:space="preserve">Burbacher </w:t>
      </w:r>
      <w:r w:rsidRPr="00956920">
        <w:rPr>
          <w:i/>
          <w:iCs/>
          <w:lang w:val="en-US"/>
        </w:rPr>
        <w:t>et al</w:t>
      </w:r>
      <w:r>
        <w:rPr>
          <w:lang w:val="en-US"/>
        </w:rPr>
        <w:t>., 1999), monkeys were expose</w:t>
      </w:r>
      <w:r w:rsidRPr="004B7EF4">
        <w:rPr>
          <w:lang w:val="en-US"/>
        </w:rPr>
        <w:t xml:space="preserve">d via inhalation prior to </w:t>
      </w:r>
      <w:r>
        <w:rPr>
          <w:lang w:val="en-US"/>
        </w:rPr>
        <w:t xml:space="preserve">breeding (120 days) </w:t>
      </w:r>
      <w:r w:rsidRPr="004B7EF4">
        <w:rPr>
          <w:lang w:val="en-US"/>
        </w:rPr>
        <w:t xml:space="preserve">and during breeding </w:t>
      </w:r>
      <w:r>
        <w:rPr>
          <w:lang w:val="en-US"/>
        </w:rPr>
        <w:t xml:space="preserve">(70 days) </w:t>
      </w:r>
      <w:r w:rsidRPr="004B7EF4">
        <w:rPr>
          <w:lang w:val="en-US"/>
        </w:rPr>
        <w:t xml:space="preserve">as well as during pregnancy </w:t>
      </w:r>
      <w:r>
        <w:rPr>
          <w:lang w:val="en-US"/>
        </w:rPr>
        <w:t xml:space="preserve">(165 days) </w:t>
      </w:r>
      <w:r w:rsidRPr="004B7EF4">
        <w:rPr>
          <w:lang w:val="en-US"/>
        </w:rPr>
        <w:t>to doses of 0.26, 0.78, and 2.34 mg/L. Methanol exposure had no effect on most measu</w:t>
      </w:r>
      <w:r>
        <w:rPr>
          <w:lang w:val="en-US"/>
        </w:rPr>
        <w:t>res of reproductive performance</w:t>
      </w:r>
      <w:r w:rsidRPr="004B7EF4">
        <w:rPr>
          <w:lang w:val="en-US"/>
        </w:rPr>
        <w:t xml:space="preserve"> including menstrual cycles, conception rate, and live-birth delivery rate. </w:t>
      </w:r>
      <w:r>
        <w:rPr>
          <w:lang w:val="en-US"/>
        </w:rPr>
        <w:t xml:space="preserve"> </w:t>
      </w:r>
      <w:r w:rsidRPr="004B7EF4">
        <w:rPr>
          <w:lang w:val="en-US"/>
        </w:rPr>
        <w:t xml:space="preserve">However, a decrease of about six to eight days in </w:t>
      </w:r>
      <w:r>
        <w:rPr>
          <w:lang w:val="en-US"/>
        </w:rPr>
        <w:t xml:space="preserve">the </w:t>
      </w:r>
      <w:r w:rsidRPr="004B7EF4">
        <w:rPr>
          <w:lang w:val="en-US"/>
        </w:rPr>
        <w:t xml:space="preserve">duration of pregnancy </w:t>
      </w:r>
      <w:r>
        <w:rPr>
          <w:lang w:val="en-US"/>
        </w:rPr>
        <w:t xml:space="preserve">was observed in exposed animals </w:t>
      </w:r>
      <w:r w:rsidRPr="004B7EF4">
        <w:rPr>
          <w:lang w:val="en-US"/>
        </w:rPr>
        <w:t>compared to control animals.</w:t>
      </w:r>
    </w:p>
    <w:p w:rsidR="001D41E2" w:rsidRDefault="001D41E2" w:rsidP="00AA48A4">
      <w:pPr>
        <w:pStyle w:val="NormalWeb"/>
        <w:spacing w:before="0" w:beforeAutospacing="0" w:after="120" w:afterAutospacing="0"/>
        <w:jc w:val="both"/>
        <w:rPr>
          <w:lang w:val="en-US"/>
        </w:rPr>
      </w:pPr>
      <w:proofErr w:type="gramStart"/>
      <w:r w:rsidRPr="00130E50">
        <w:rPr>
          <w:b/>
          <w:bCs/>
          <w:i/>
          <w:iCs/>
          <w:lang w:val="en-US"/>
        </w:rPr>
        <w:t>Et</w:t>
      </w:r>
      <w:proofErr w:type="gramEnd"/>
      <w:r w:rsidRPr="00130E50">
        <w:rPr>
          <w:b/>
          <w:bCs/>
          <w:i/>
          <w:iCs/>
          <w:lang w:val="en-US"/>
        </w:rPr>
        <w:t>:</w:t>
      </w:r>
      <w:r w:rsidRPr="00130E50">
        <w:rPr>
          <w:lang w:val="en-US"/>
        </w:rPr>
        <w:t xml:space="preserve"> </w:t>
      </w:r>
      <w:r>
        <w:rPr>
          <w:lang w:val="en-US"/>
        </w:rPr>
        <w:t>As described in the SIDS Dossier, in male rates exposed to Et by inhalation for 7 hours/day for 6 weeks in a combined fertility and developmental toxicity study, there was n</w:t>
      </w:r>
      <w:r w:rsidRPr="00130E50">
        <w:rPr>
          <w:lang w:val="en-US"/>
        </w:rPr>
        <w:t xml:space="preserve">o </w:t>
      </w:r>
      <w:r>
        <w:rPr>
          <w:lang w:val="en-US"/>
        </w:rPr>
        <w:t xml:space="preserve">effect on </w:t>
      </w:r>
      <w:r w:rsidRPr="00130E50">
        <w:rPr>
          <w:lang w:val="en-US"/>
        </w:rPr>
        <w:t>fertility at inhalation exposures up to 16</w:t>
      </w:r>
      <w:r>
        <w:rPr>
          <w:lang w:val="en-US"/>
        </w:rPr>
        <w:t>,</w:t>
      </w:r>
      <w:r w:rsidRPr="00130E50">
        <w:rPr>
          <w:lang w:val="en-US"/>
        </w:rPr>
        <w:t>000 ppm</w:t>
      </w:r>
      <w:r>
        <w:rPr>
          <w:lang w:val="en-US"/>
        </w:rPr>
        <w:t xml:space="preserve"> (approximately 30 mg/L). </w:t>
      </w:r>
      <w:r w:rsidRPr="004B7EF4">
        <w:rPr>
          <w:lang w:val="en-US"/>
        </w:rPr>
        <w:t>(</w:t>
      </w:r>
      <w:r>
        <w:rPr>
          <w:lang w:val="en-US"/>
        </w:rPr>
        <w:t xml:space="preserve">OECD 2005: </w:t>
      </w:r>
      <w:r w:rsidRPr="004B7EF4">
        <w:rPr>
          <w:lang w:val="en-US"/>
        </w:rPr>
        <w:t>Nelson, 1985b)</w:t>
      </w:r>
      <w:r>
        <w:rPr>
          <w:lang w:val="en-US"/>
        </w:rPr>
        <w:t>.</w:t>
      </w:r>
      <w:r w:rsidRPr="00130E50">
        <w:rPr>
          <w:lang w:val="en-US"/>
        </w:rPr>
        <w:t xml:space="preserve"> </w:t>
      </w:r>
    </w:p>
    <w:p w:rsidR="001D41E2" w:rsidRPr="00130E50" w:rsidRDefault="001D41E2" w:rsidP="00DE56B0">
      <w:pPr>
        <w:pStyle w:val="NormalWeb"/>
        <w:spacing w:before="0" w:beforeAutospacing="0" w:after="120" w:afterAutospacing="0"/>
        <w:jc w:val="both"/>
        <w:rPr>
          <w:lang w:val="en-US"/>
        </w:rPr>
      </w:pPr>
      <w:r w:rsidRPr="00130E50">
        <w:rPr>
          <w:lang w:val="en-US"/>
        </w:rPr>
        <w:t>The lowest reported NOAE</w:t>
      </w:r>
      <w:r>
        <w:rPr>
          <w:lang w:val="en-US"/>
        </w:rPr>
        <w:t>C</w:t>
      </w:r>
      <w:r w:rsidRPr="00130E50">
        <w:rPr>
          <w:lang w:val="en-US"/>
        </w:rPr>
        <w:t xml:space="preserve"> for fertility by the oral route was 2000 mg/kg bw in rats, equivalent to a blood alcohol concentration of 1320 mg/L, although this was based on a significant increase in the number of small pups rather th</w:t>
      </w:r>
      <w:r>
        <w:rPr>
          <w:lang w:val="en-US"/>
        </w:rPr>
        <w:t xml:space="preserve">an a direct effect on fertility. </w:t>
      </w:r>
      <w:r w:rsidRPr="00130E50">
        <w:rPr>
          <w:lang w:val="en-US"/>
        </w:rPr>
        <w:t xml:space="preserve"> </w:t>
      </w:r>
      <w:r>
        <w:rPr>
          <w:lang w:val="en-US"/>
        </w:rPr>
        <w:t>D</w:t>
      </w:r>
      <w:r w:rsidRPr="00130E50">
        <w:rPr>
          <w:lang w:val="en-US"/>
        </w:rPr>
        <w:t xml:space="preserve">irect effects </w:t>
      </w:r>
      <w:r>
        <w:rPr>
          <w:lang w:val="en-US"/>
        </w:rPr>
        <w:t>on fertility were</w:t>
      </w:r>
      <w:r w:rsidRPr="00130E50">
        <w:rPr>
          <w:lang w:val="en-US"/>
        </w:rPr>
        <w:t xml:space="preserve"> </w:t>
      </w:r>
      <w:r>
        <w:rPr>
          <w:lang w:val="en-US"/>
        </w:rPr>
        <w:t>only</w:t>
      </w:r>
      <w:r w:rsidRPr="00130E50">
        <w:rPr>
          <w:lang w:val="en-US"/>
        </w:rPr>
        <w:t xml:space="preserve"> seen </w:t>
      </w:r>
      <w:r>
        <w:rPr>
          <w:lang w:val="en-US"/>
        </w:rPr>
        <w:t>at</w:t>
      </w:r>
      <w:r w:rsidRPr="00130E50">
        <w:rPr>
          <w:lang w:val="en-US"/>
        </w:rPr>
        <w:t xml:space="preserve"> much higher doses</w:t>
      </w:r>
      <w:r>
        <w:rPr>
          <w:lang w:val="en-US"/>
        </w:rPr>
        <w:t xml:space="preserve"> </w:t>
      </w:r>
      <w:r>
        <w:rPr>
          <w:sz w:val="22"/>
          <w:szCs w:val="22"/>
          <w:lang w:val="en-US"/>
        </w:rPr>
        <w:t>(</w:t>
      </w:r>
      <w:r>
        <w:rPr>
          <w:lang w:val="en-US"/>
        </w:rPr>
        <w:t>OECD 2005: George 1985; Abel 1989,</w:t>
      </w:r>
      <w:r w:rsidRPr="009A063E">
        <w:rPr>
          <w:lang w:val="en-US"/>
        </w:rPr>
        <w:t xml:space="preserve"> </w:t>
      </w:r>
      <w:r>
        <w:rPr>
          <w:lang w:val="en-US"/>
        </w:rPr>
        <w:t>Abel 1993,</w:t>
      </w:r>
      <w:r w:rsidRPr="009A063E">
        <w:rPr>
          <w:lang w:val="en-US"/>
        </w:rPr>
        <w:t xml:space="preserve"> </w:t>
      </w:r>
      <w:r>
        <w:rPr>
          <w:lang w:val="en-US"/>
        </w:rPr>
        <w:t>Abel 1995)</w:t>
      </w:r>
      <w:r w:rsidRPr="00130E50">
        <w:rPr>
          <w:lang w:val="en-US"/>
        </w:rPr>
        <w:t>.</w:t>
      </w:r>
    </w:p>
    <w:p w:rsidR="001D41E2" w:rsidRDefault="001D41E2" w:rsidP="00DE56B0">
      <w:pPr>
        <w:pStyle w:val="NormalWeb"/>
        <w:spacing w:before="0" w:beforeAutospacing="0" w:after="120" w:afterAutospacing="0"/>
        <w:jc w:val="both"/>
        <w:rPr>
          <w:lang w:val="en-US"/>
        </w:rPr>
      </w:pPr>
      <w:r w:rsidRPr="00B04C22">
        <w:rPr>
          <w:b/>
          <w:bCs/>
          <w:i/>
          <w:iCs/>
          <w:lang w:val="en-US"/>
        </w:rPr>
        <w:t>P</w:t>
      </w:r>
      <w:r>
        <w:rPr>
          <w:b/>
          <w:bCs/>
          <w:i/>
          <w:iCs/>
          <w:lang w:val="en-US"/>
        </w:rPr>
        <w:t>r:</w:t>
      </w:r>
      <w:r w:rsidRPr="006A52C3">
        <w:rPr>
          <w:lang w:val="en-US"/>
        </w:rPr>
        <w:t xml:space="preserve"> Sprague-Dawley rats were exposed 7 hours/day to 0</w:t>
      </w:r>
      <w:r>
        <w:rPr>
          <w:lang w:val="en-US"/>
        </w:rPr>
        <w:t>,</w:t>
      </w:r>
      <w:r w:rsidRPr="006A52C3">
        <w:rPr>
          <w:lang w:val="en-US"/>
        </w:rPr>
        <w:t xml:space="preserve"> 3500</w:t>
      </w:r>
      <w:r>
        <w:rPr>
          <w:lang w:val="en-US"/>
        </w:rPr>
        <w:t>,</w:t>
      </w:r>
      <w:r w:rsidRPr="006A52C3">
        <w:rPr>
          <w:lang w:val="en-US"/>
        </w:rPr>
        <w:t xml:space="preserve"> and 7000 ppm of propanol</w:t>
      </w:r>
      <w:r>
        <w:rPr>
          <w:lang w:val="en-US"/>
        </w:rPr>
        <w:t xml:space="preserve"> (approximately 0, 8.9 or 17.9 mg/L)</w:t>
      </w:r>
      <w:r w:rsidRPr="006A52C3">
        <w:rPr>
          <w:lang w:val="en-US"/>
        </w:rPr>
        <w:t xml:space="preserve">. In the first study, </w:t>
      </w:r>
      <w:r>
        <w:rPr>
          <w:lang w:val="en-US"/>
        </w:rPr>
        <w:t xml:space="preserve">18 </w:t>
      </w:r>
      <w:r w:rsidRPr="006A52C3">
        <w:rPr>
          <w:lang w:val="en-US"/>
        </w:rPr>
        <w:t>males were exposed for 42 days before mating with non</w:t>
      </w:r>
      <w:r>
        <w:rPr>
          <w:lang w:val="en-US"/>
        </w:rPr>
        <w:t>-</w:t>
      </w:r>
      <w:r w:rsidRPr="006A52C3">
        <w:rPr>
          <w:lang w:val="en-US"/>
        </w:rPr>
        <w:t>exposed females. In the second study</w:t>
      </w:r>
      <w:r>
        <w:rPr>
          <w:lang w:val="en-US"/>
        </w:rPr>
        <w:t>,</w:t>
      </w:r>
      <w:r w:rsidRPr="006A52C3">
        <w:rPr>
          <w:lang w:val="en-US"/>
        </w:rPr>
        <w:t xml:space="preserve"> </w:t>
      </w:r>
      <w:r>
        <w:rPr>
          <w:lang w:val="en-US"/>
        </w:rPr>
        <w:t xml:space="preserve">15 </w:t>
      </w:r>
      <w:r w:rsidRPr="006A52C3">
        <w:rPr>
          <w:lang w:val="en-US"/>
        </w:rPr>
        <w:t xml:space="preserve">pregnant females were exposed on gestation days 1-19. In a </w:t>
      </w:r>
      <w:r>
        <w:rPr>
          <w:lang w:val="en-US"/>
        </w:rPr>
        <w:t>second experiment of this</w:t>
      </w:r>
      <w:r w:rsidRPr="006A52C3">
        <w:rPr>
          <w:lang w:val="en-US"/>
        </w:rPr>
        <w:t xml:space="preserve"> study</w:t>
      </w:r>
      <w:r>
        <w:rPr>
          <w:lang w:val="en-US"/>
        </w:rPr>
        <w:t>,</w:t>
      </w:r>
      <w:r w:rsidRPr="006A52C3">
        <w:rPr>
          <w:lang w:val="en-US"/>
        </w:rPr>
        <w:t xml:space="preserve"> females were exposed for 42 days before mating. In the first study</w:t>
      </w:r>
      <w:r>
        <w:rPr>
          <w:lang w:val="en-US"/>
        </w:rPr>
        <w:t>,</w:t>
      </w:r>
      <w:r w:rsidRPr="006A52C3">
        <w:rPr>
          <w:lang w:val="en-US"/>
        </w:rPr>
        <w:t xml:space="preserve"> only 2 out </w:t>
      </w:r>
      <w:r>
        <w:rPr>
          <w:lang w:val="en-US"/>
        </w:rPr>
        <w:t xml:space="preserve">of </w:t>
      </w:r>
      <w:r w:rsidRPr="006A52C3">
        <w:rPr>
          <w:lang w:val="en-US"/>
        </w:rPr>
        <w:t xml:space="preserve">16 males exposed for 42 days produced fetuses in unexposed females (fertility toxicity) </w:t>
      </w:r>
      <w:r>
        <w:rPr>
          <w:lang w:val="en-US"/>
        </w:rPr>
        <w:t>for</w:t>
      </w:r>
      <w:r w:rsidRPr="006A52C3">
        <w:rPr>
          <w:lang w:val="en-US"/>
        </w:rPr>
        <w:t xml:space="preserve"> the 7000 ppm (17.9 mg/L) dose group. </w:t>
      </w:r>
      <w:r>
        <w:rPr>
          <w:lang w:val="en-US"/>
        </w:rPr>
        <w:t xml:space="preserve"> However, a</w:t>
      </w:r>
      <w:r w:rsidRPr="006A52C3">
        <w:rPr>
          <w:lang w:val="en-US"/>
        </w:rPr>
        <w:t>fter a recovery period of 13 weeks</w:t>
      </w:r>
      <w:r>
        <w:rPr>
          <w:lang w:val="en-US"/>
        </w:rPr>
        <w:t>,</w:t>
      </w:r>
      <w:r w:rsidRPr="006A52C3">
        <w:rPr>
          <w:lang w:val="en-US"/>
        </w:rPr>
        <w:t xml:space="preserve"> </w:t>
      </w:r>
      <w:r>
        <w:rPr>
          <w:lang w:val="en-US"/>
        </w:rPr>
        <w:t>all</w:t>
      </w:r>
      <w:r w:rsidRPr="006A52C3">
        <w:rPr>
          <w:lang w:val="en-US"/>
        </w:rPr>
        <w:t xml:space="preserve"> males produced litters again. No effect</w:t>
      </w:r>
      <w:r>
        <w:rPr>
          <w:lang w:val="en-US"/>
        </w:rPr>
        <w:t>s</w:t>
      </w:r>
      <w:r w:rsidRPr="006A52C3">
        <w:rPr>
          <w:lang w:val="en-US"/>
        </w:rPr>
        <w:t xml:space="preserve"> </w:t>
      </w:r>
      <w:r>
        <w:rPr>
          <w:lang w:val="en-US"/>
        </w:rPr>
        <w:t>were</w:t>
      </w:r>
      <w:r w:rsidRPr="006A52C3">
        <w:rPr>
          <w:lang w:val="en-US"/>
        </w:rPr>
        <w:t xml:space="preserve"> noted at 3500 ppm</w:t>
      </w:r>
      <w:r>
        <w:rPr>
          <w:lang w:val="en-US"/>
        </w:rPr>
        <w:t xml:space="preserve"> (</w:t>
      </w:r>
      <w:r w:rsidRPr="006A52C3">
        <w:rPr>
          <w:lang w:val="en-US"/>
        </w:rPr>
        <w:t>8.9 mg/L)</w:t>
      </w:r>
      <w:r>
        <w:rPr>
          <w:lang w:val="en-US"/>
        </w:rPr>
        <w:t xml:space="preserve"> which was determined to be a </w:t>
      </w:r>
      <w:r w:rsidRPr="006A52C3">
        <w:rPr>
          <w:lang w:val="en-US"/>
        </w:rPr>
        <w:t>NO</w:t>
      </w:r>
      <w:r>
        <w:rPr>
          <w:lang w:val="en-US"/>
        </w:rPr>
        <w:t>A</w:t>
      </w:r>
      <w:r w:rsidRPr="006A52C3">
        <w:rPr>
          <w:lang w:val="en-US"/>
        </w:rPr>
        <w:t>EC</w:t>
      </w:r>
      <w:r>
        <w:rPr>
          <w:lang w:val="en-US"/>
        </w:rPr>
        <w:t xml:space="preserve"> for male fertility</w:t>
      </w:r>
      <w:r w:rsidRPr="006A52C3">
        <w:rPr>
          <w:lang w:val="en-US"/>
        </w:rPr>
        <w:t>.</w:t>
      </w:r>
      <w:r>
        <w:rPr>
          <w:lang w:val="en-US"/>
        </w:rPr>
        <w:t xml:space="preserve">  Decreased food consumption for dams </w:t>
      </w:r>
      <w:r w:rsidRPr="006A52C3">
        <w:rPr>
          <w:lang w:val="en-US"/>
        </w:rPr>
        <w:t xml:space="preserve">was significantly reduced at 7000 ppm. No effect on fertility was observed in females exposed to 7000 ppm </w:t>
      </w:r>
      <w:r>
        <w:rPr>
          <w:lang w:val="en-US"/>
        </w:rPr>
        <w:t>propanol</w:t>
      </w:r>
      <w:r w:rsidRPr="006A52C3">
        <w:rPr>
          <w:lang w:val="en-US"/>
        </w:rPr>
        <w:t xml:space="preserve"> for 42 days before mating</w:t>
      </w:r>
      <w:r>
        <w:rPr>
          <w:lang w:val="en-US"/>
        </w:rPr>
        <w:t xml:space="preserve"> </w:t>
      </w:r>
      <w:r w:rsidRPr="00EC21C9">
        <w:rPr>
          <w:lang w:val="en-US"/>
        </w:rPr>
        <w:t>(</w:t>
      </w:r>
      <w:r>
        <w:rPr>
          <w:lang w:val="en-US"/>
        </w:rPr>
        <w:t xml:space="preserve">ECB 2008; </w:t>
      </w:r>
      <w:r w:rsidRPr="00EC21C9">
        <w:rPr>
          <w:lang w:val="en-US"/>
        </w:rPr>
        <w:t xml:space="preserve">Nelson </w:t>
      </w:r>
      <w:r w:rsidRPr="00956920">
        <w:rPr>
          <w:i/>
          <w:iCs/>
          <w:lang w:val="en-US"/>
        </w:rPr>
        <w:t>et al</w:t>
      </w:r>
      <w:r>
        <w:rPr>
          <w:i/>
          <w:iCs/>
          <w:lang w:val="en-US"/>
        </w:rPr>
        <w:t>.</w:t>
      </w:r>
      <w:r w:rsidRPr="00EC21C9">
        <w:rPr>
          <w:lang w:val="en-US"/>
        </w:rPr>
        <w:t xml:space="preserve"> 19</w:t>
      </w:r>
      <w:r>
        <w:rPr>
          <w:lang w:val="en-US"/>
        </w:rPr>
        <w:t>85 and 1989</w:t>
      </w:r>
      <w:r w:rsidRPr="00EC21C9">
        <w:rPr>
          <w:lang w:val="en-US"/>
        </w:rPr>
        <w:t>)</w:t>
      </w:r>
      <w:r>
        <w:rPr>
          <w:lang w:val="en-US"/>
        </w:rPr>
        <w:t>.</w:t>
      </w:r>
    </w:p>
    <w:p w:rsidR="001D41E2" w:rsidRPr="006642A6" w:rsidRDefault="001D41E2" w:rsidP="00DE56B0">
      <w:pPr>
        <w:autoSpaceDE w:val="0"/>
        <w:autoSpaceDN w:val="0"/>
        <w:adjustRightInd w:val="0"/>
        <w:jc w:val="both"/>
        <w:rPr>
          <w:rFonts w:ascii="TimesNewRomanPSMT" w:hAnsi="TimesNewRomanPSMT" w:cs="TimesNewRomanPSMT"/>
        </w:rPr>
      </w:pPr>
      <w:r w:rsidRPr="00AF5579">
        <w:rPr>
          <w:b/>
          <w:bCs/>
          <w:i/>
          <w:iCs/>
        </w:rPr>
        <w:t>Ip:</w:t>
      </w:r>
      <w:r>
        <w:t xml:space="preserve"> </w:t>
      </w:r>
      <w:r>
        <w:rPr>
          <w:rFonts w:ascii="TimesNewRomanPSMT" w:hAnsi="TimesNewRomanPSMT" w:cs="TimesNewRomanPSMT"/>
        </w:rPr>
        <w:t>As described in the SIDS Dossier for isopropanol, in a</w:t>
      </w:r>
      <w:r w:rsidRPr="006642A6">
        <w:rPr>
          <w:rFonts w:ascii="TimesNewRomanPSMT" w:hAnsi="TimesNewRomanPSMT" w:cs="TimesNewRomanPSMT"/>
        </w:rPr>
        <w:t xml:space="preserve"> two-generation reproductive </w:t>
      </w:r>
      <w:r>
        <w:rPr>
          <w:rFonts w:ascii="TimesNewRomanPSMT" w:hAnsi="TimesNewRomanPSMT" w:cs="TimesNewRomanPSMT"/>
        </w:rPr>
        <w:t xml:space="preserve">toxicity </w:t>
      </w:r>
      <w:r w:rsidRPr="006642A6">
        <w:rPr>
          <w:rFonts w:ascii="TimesNewRomanPSMT" w:hAnsi="TimesNewRomanPSMT" w:cs="TimesNewRomanPSMT"/>
        </w:rPr>
        <w:t>study</w:t>
      </w:r>
      <w:r>
        <w:rPr>
          <w:rFonts w:ascii="TimesNewRomanPSMT" w:hAnsi="TimesNewRomanPSMT" w:cs="TimesNewRomanPSMT"/>
        </w:rPr>
        <w:t xml:space="preserve">, Sprague-Dawley rats were administered </w:t>
      </w:r>
      <w:r w:rsidRPr="006642A6">
        <w:rPr>
          <w:rFonts w:ascii="TimesNewRomanPSMT" w:hAnsi="TimesNewRomanPSMT" w:cs="TimesNewRomanPSMT"/>
        </w:rPr>
        <w:t xml:space="preserve">100, 500 </w:t>
      </w:r>
      <w:r>
        <w:rPr>
          <w:rFonts w:ascii="TimesNewRomanPSMT" w:hAnsi="TimesNewRomanPSMT" w:cs="TimesNewRomanPSMT"/>
        </w:rPr>
        <w:t>or</w:t>
      </w:r>
      <w:r w:rsidRPr="006642A6">
        <w:rPr>
          <w:rFonts w:ascii="TimesNewRomanPSMT" w:hAnsi="TimesNewRomanPSMT" w:cs="TimesNewRomanPSMT"/>
        </w:rPr>
        <w:t xml:space="preserve"> 1000 mg/kg/day</w:t>
      </w:r>
      <w:r>
        <w:rPr>
          <w:rFonts w:ascii="TimesNewRomanPSMT" w:hAnsi="TimesNewRomanPSMT" w:cs="TimesNewRomanPSMT"/>
        </w:rPr>
        <w:t xml:space="preserve"> isopropanol by</w:t>
      </w:r>
      <w:r w:rsidRPr="006642A6">
        <w:rPr>
          <w:rFonts w:ascii="TimesNewRomanPSMT" w:hAnsi="TimesNewRomanPSMT" w:cs="TimesNewRomanPSMT"/>
        </w:rPr>
        <w:t xml:space="preserve"> oral gavage</w:t>
      </w:r>
      <w:r>
        <w:rPr>
          <w:rFonts w:ascii="TimesNewRomanPSMT" w:hAnsi="TimesNewRomanPSMT" w:cs="TimesNewRomanPSMT"/>
        </w:rPr>
        <w:t>.</w:t>
      </w:r>
      <w:r w:rsidRPr="006642A6">
        <w:rPr>
          <w:rFonts w:ascii="TimesNewRomanPSMT" w:hAnsi="TimesNewRomanPSMT" w:cs="TimesNewRomanPSMT"/>
        </w:rPr>
        <w:t xml:space="preserve"> (</w:t>
      </w:r>
      <w:r>
        <w:rPr>
          <w:rFonts w:ascii="TimesNewRomanPSMT" w:hAnsi="TimesNewRomanPSMT" w:cs="TimesNewRomanPSMT"/>
        </w:rPr>
        <w:t>T</w:t>
      </w:r>
      <w:r w:rsidRPr="006642A6">
        <w:rPr>
          <w:rFonts w:ascii="TimesNewRomanPSMT" w:hAnsi="TimesNewRomanPSMT" w:cs="TimesNewRomanPSMT"/>
        </w:rPr>
        <w:t xml:space="preserve">he </w:t>
      </w:r>
      <w:r>
        <w:rPr>
          <w:rFonts w:ascii="TimesNewRomanPSMT" w:hAnsi="TimesNewRomanPSMT" w:cs="TimesNewRomanPSMT"/>
        </w:rPr>
        <w:t>“</w:t>
      </w:r>
      <w:r w:rsidRPr="006642A6">
        <w:rPr>
          <w:rFonts w:ascii="TimesNewRomanPSMT" w:hAnsi="TimesNewRomanPSMT" w:cs="TimesNewRomanPSMT"/>
        </w:rPr>
        <w:t>only reproductive parameter apparently affected by isopropanol exposure was a statistically significant decrease in male mating index of the F</w:t>
      </w:r>
      <w:r w:rsidRPr="00841A91">
        <w:t>1</w:t>
      </w:r>
      <w:r w:rsidRPr="006642A6">
        <w:rPr>
          <w:rFonts w:ascii="TimesNewRomanPSMT" w:hAnsi="TimesNewRomanPSMT" w:cs="TimesNewRomanPSMT"/>
          <w:sz w:val="15"/>
          <w:szCs w:val="15"/>
        </w:rPr>
        <w:t xml:space="preserve"> </w:t>
      </w:r>
      <w:r w:rsidRPr="006642A6">
        <w:rPr>
          <w:rFonts w:ascii="TimesNewRomanPSMT" w:hAnsi="TimesNewRomanPSMT" w:cs="TimesNewRomanPSMT"/>
        </w:rPr>
        <w:t>males</w:t>
      </w:r>
      <w:r>
        <w:rPr>
          <w:rFonts w:ascii="TimesNewRomanPSMT" w:hAnsi="TimesNewRomanPSMT" w:cs="TimesNewRomanPSMT"/>
        </w:rPr>
        <w:t>”</w:t>
      </w:r>
      <w:r w:rsidRPr="006642A6">
        <w:rPr>
          <w:rFonts w:ascii="TimesNewRomanPSMT" w:hAnsi="TimesNewRomanPSMT" w:cs="TimesNewRomanPSMT"/>
        </w:rPr>
        <w:t xml:space="preserve">. </w:t>
      </w:r>
      <w:r>
        <w:rPr>
          <w:rFonts w:ascii="TimesNewRomanPSMT" w:hAnsi="TimesNewRomanPSMT" w:cs="TimesNewRomanPSMT"/>
        </w:rPr>
        <w:t xml:space="preserve">This effect was not considered biologically relevant based on other studies in which the effect was not observed.  A NOAEL of 500 mg/kg/ day was derived by the authors. However, based on the data for postnatal survival, a conservative approach suggested a NOAEL of 100 mg/kg/day (OECD 2000: </w:t>
      </w:r>
      <w:r w:rsidRPr="00515589">
        <w:rPr>
          <w:rFonts w:ascii="TimesNewRomanPSMT" w:hAnsi="TimesNewRomanPSMT" w:cs="TimesNewRomanPSMT"/>
        </w:rPr>
        <w:t xml:space="preserve">Bevan C. </w:t>
      </w:r>
      <w:r w:rsidRPr="00956920">
        <w:rPr>
          <w:rFonts w:ascii="TimesNewRomanPSMT" w:hAnsi="TimesNewRomanPSMT" w:cs="TimesNewRomanPSMT"/>
          <w:i/>
          <w:iCs/>
        </w:rPr>
        <w:t>et al</w:t>
      </w:r>
      <w:r w:rsidRPr="00515589">
        <w:rPr>
          <w:rFonts w:ascii="TimesNewRomanPSMT" w:hAnsi="TimesNewRomanPSMT" w:cs="TimesNewRomanPSMT"/>
        </w:rPr>
        <w:t xml:space="preserve">.  </w:t>
      </w:r>
      <w:r>
        <w:rPr>
          <w:rFonts w:ascii="TimesNewRomanPSMT" w:hAnsi="TimesNewRomanPSMT" w:cs="TimesNewRomanPSMT"/>
        </w:rPr>
        <w:t>1996).</w:t>
      </w:r>
      <w:r w:rsidRPr="006642A6">
        <w:rPr>
          <w:rFonts w:ascii="TimesNewRomanPSMT" w:hAnsi="TimesNewRomanPSMT" w:cs="TimesNewRomanPSMT"/>
        </w:rPr>
        <w:t xml:space="preserve"> </w:t>
      </w:r>
    </w:p>
    <w:p w:rsidR="001D41E2" w:rsidRPr="001B2640" w:rsidRDefault="001D41E2" w:rsidP="00AA48A4">
      <w:pPr>
        <w:autoSpaceDE w:val="0"/>
        <w:autoSpaceDN w:val="0"/>
        <w:adjustRightInd w:val="0"/>
        <w:spacing w:before="120"/>
        <w:jc w:val="both"/>
        <w:rPr>
          <w:rFonts w:ascii="TimesNewRomanPSMT" w:hAnsi="TimesNewRomanPSMT" w:cs="TimesNewRomanPSMT"/>
          <w:lang w:val="en-GB"/>
        </w:rPr>
      </w:pPr>
      <w:r w:rsidRPr="006642A6">
        <w:rPr>
          <w:rFonts w:ascii="TimesNewRomanPSMT" w:hAnsi="TimesNewRomanPSMT" w:cs="TimesNewRomanPSMT"/>
        </w:rPr>
        <w:t xml:space="preserve">No reproductive effects were noted in </w:t>
      </w:r>
      <w:r>
        <w:rPr>
          <w:rFonts w:ascii="TimesNewRomanPSMT" w:hAnsi="TimesNewRomanPSMT" w:cs="TimesNewRomanPSMT"/>
        </w:rPr>
        <w:t>a one-</w:t>
      </w:r>
      <w:r w:rsidRPr="006642A6">
        <w:rPr>
          <w:rFonts w:ascii="TimesNewRomanPSMT" w:hAnsi="TimesNewRomanPSMT" w:cs="TimesNewRomanPSMT"/>
        </w:rPr>
        <w:t>generation stud</w:t>
      </w:r>
      <w:r>
        <w:rPr>
          <w:rFonts w:ascii="TimesNewRomanPSMT" w:hAnsi="TimesNewRomanPSMT" w:cs="TimesNewRomanPSMT"/>
        </w:rPr>
        <w:t>y</w:t>
      </w:r>
      <w:r w:rsidRPr="006642A6">
        <w:rPr>
          <w:rFonts w:ascii="TimesNewRomanPSMT" w:hAnsi="TimesNewRomanPSMT" w:cs="TimesNewRomanPSMT"/>
        </w:rPr>
        <w:t xml:space="preserve"> in which rats were </w:t>
      </w:r>
      <w:r>
        <w:rPr>
          <w:rFonts w:ascii="TimesNewRomanPSMT" w:hAnsi="TimesNewRomanPSMT" w:cs="TimesNewRomanPSMT"/>
        </w:rPr>
        <w:t>exposed to</w:t>
      </w:r>
      <w:r w:rsidRPr="006642A6">
        <w:rPr>
          <w:rFonts w:ascii="TimesNewRomanPSMT" w:hAnsi="TimesNewRomanPSMT" w:cs="TimesNewRomanPSMT"/>
        </w:rPr>
        <w:t xml:space="preserve"> up to </w:t>
      </w:r>
      <w:r>
        <w:rPr>
          <w:rFonts w:ascii="TimesNewRomanPSMT" w:hAnsi="TimesNewRomanPSMT" w:cs="TimesNewRomanPSMT"/>
        </w:rPr>
        <w:t>2</w:t>
      </w:r>
      <w:r w:rsidRPr="006642A6">
        <w:rPr>
          <w:rFonts w:ascii="TimesNewRomanPSMT" w:hAnsi="TimesNewRomanPSMT" w:cs="TimesNewRomanPSMT"/>
        </w:rPr>
        <w:t>% in the drinking water</w:t>
      </w:r>
      <w:r>
        <w:rPr>
          <w:rFonts w:ascii="TimesNewRomanPSMT" w:hAnsi="TimesNewRomanPSMT" w:cs="TimesNewRomanPSMT"/>
        </w:rPr>
        <w:t xml:space="preserve"> (OECD 2000: </w:t>
      </w:r>
      <w:r w:rsidRPr="00394796">
        <w:rPr>
          <w:rFonts w:ascii="TimesNewRomanPSMT" w:hAnsi="TimesNewRomanPSMT" w:cs="TimesNewRomanPSMT"/>
        </w:rPr>
        <w:t>British Industrial Biological Research Assoc.</w:t>
      </w:r>
      <w:r>
        <w:rPr>
          <w:rFonts w:ascii="TimesNewRomanPSMT" w:hAnsi="TimesNewRomanPSMT" w:cs="TimesNewRomanPSMT"/>
        </w:rPr>
        <w:t xml:space="preserve"> 1996)</w:t>
      </w:r>
      <w:r w:rsidRPr="006642A6">
        <w:rPr>
          <w:rFonts w:ascii="TimesNewRomanPSMT" w:hAnsi="TimesNewRomanPSMT" w:cs="TimesNewRomanPSMT"/>
        </w:rPr>
        <w:t xml:space="preserve">. Parental rats </w:t>
      </w:r>
      <w:r>
        <w:rPr>
          <w:rFonts w:ascii="TimesNewRomanPSMT" w:hAnsi="TimesNewRomanPSMT" w:cs="TimesNewRomanPSMT"/>
        </w:rPr>
        <w:t>given</w:t>
      </w:r>
      <w:r w:rsidRPr="006642A6">
        <w:rPr>
          <w:rFonts w:ascii="TimesNewRomanPSMT" w:hAnsi="TimesNewRomanPSMT" w:cs="TimesNewRomanPSMT"/>
        </w:rPr>
        <w:t xml:space="preserve"> 2% isopro</w:t>
      </w:r>
      <w:r>
        <w:rPr>
          <w:rFonts w:ascii="TimesNewRomanPSMT" w:hAnsi="TimesNewRomanPSMT" w:cs="TimesNewRomanPSMT"/>
        </w:rPr>
        <w:t>p</w:t>
      </w:r>
      <w:r w:rsidRPr="006642A6">
        <w:rPr>
          <w:rFonts w:ascii="TimesNewRomanPSMT" w:hAnsi="TimesNewRomanPSMT" w:cs="TimesNewRomanPSMT"/>
        </w:rPr>
        <w:t xml:space="preserve">anol had decreased body weight gain and </w:t>
      </w:r>
      <w:r>
        <w:rPr>
          <w:rFonts w:ascii="TimesNewRomanPSMT" w:hAnsi="TimesNewRomanPSMT" w:cs="TimesNewRomanPSMT"/>
        </w:rPr>
        <w:t xml:space="preserve">the pups had </w:t>
      </w:r>
      <w:r w:rsidRPr="006642A6">
        <w:rPr>
          <w:rFonts w:ascii="TimesNewRomanPSMT" w:hAnsi="TimesNewRomanPSMT" w:cs="TimesNewRomanPSMT"/>
        </w:rPr>
        <w:t xml:space="preserve">reduced </w:t>
      </w:r>
      <w:r>
        <w:rPr>
          <w:rFonts w:ascii="TimesNewRomanPSMT" w:hAnsi="TimesNewRomanPSMT" w:cs="TimesNewRomanPSMT"/>
        </w:rPr>
        <w:t>body</w:t>
      </w:r>
      <w:r w:rsidRPr="006642A6">
        <w:rPr>
          <w:rFonts w:ascii="TimesNewRomanPSMT" w:hAnsi="TimesNewRomanPSMT" w:cs="TimesNewRomanPSMT"/>
        </w:rPr>
        <w:t xml:space="preserve"> weight gain and decreased survival compared with controls. There was also a dose-related increase in relative liver weights of the F1 animals. There was no effect on reproductive parameters. There was no macroscopic or</w:t>
      </w:r>
      <w:r>
        <w:rPr>
          <w:rFonts w:ascii="TimesNewRomanPSMT" w:hAnsi="TimesNewRomanPSMT" w:cs="TimesNewRomanPSMT"/>
        </w:rPr>
        <w:t xml:space="preserve"> </w:t>
      </w:r>
      <w:r w:rsidRPr="006642A6">
        <w:rPr>
          <w:rFonts w:ascii="TimesNewRomanPSMT" w:hAnsi="TimesNewRomanPSMT" w:cs="TimesNewRomanPSMT"/>
        </w:rPr>
        <w:t xml:space="preserve">histopathological changes associated with isopropanol treatment. </w:t>
      </w:r>
      <w:r w:rsidRPr="001B2640">
        <w:rPr>
          <w:rFonts w:ascii="TimesNewRomanPSMT" w:hAnsi="TimesNewRomanPSMT" w:cs="TimesNewRomanPSMT"/>
          <w:lang w:val="en-GB"/>
        </w:rPr>
        <w:t>When isopropanol was administered as a 3% solution in the drinking water, reduced parental body weight gain, food and water consumption were observed in the isopropanol-treated animals compared with controls. In addition, fertility at postnatal days 4 and 21 were reduced in the 3% treatment group compared with the controls.  The dose was dropped to 2% isopropanol and the parental animals were mated again to provide litters for a developmental toxicity evaluation. No parental toxicity or reproductive toxicity was noted.</w:t>
      </w:r>
      <w:r>
        <w:rPr>
          <w:rFonts w:ascii="TimesNewRomanPSMT" w:hAnsi="TimesNewRomanPSMT" w:cs="TimesNewRomanPSMT"/>
          <w:lang w:val="en-GB"/>
        </w:rPr>
        <w:t xml:space="preserve">  </w:t>
      </w:r>
      <w:r w:rsidRPr="001B2640">
        <w:rPr>
          <w:rFonts w:ascii="TimesNewRomanPSMT" w:hAnsi="TimesNewRomanPSMT" w:cs="TimesNewRomanPSMT"/>
          <w:lang w:val="en-GB"/>
        </w:rPr>
        <w:t xml:space="preserve">The reproductive NOEL of 1% corresponds to 825 and 625 mg/kg bw/day for females and males, respectively. </w:t>
      </w:r>
    </w:p>
    <w:p w:rsidR="001D41E2" w:rsidRPr="00753F2E" w:rsidRDefault="001D41E2" w:rsidP="00AA48A4">
      <w:pPr>
        <w:pStyle w:val="NormalWeb"/>
        <w:spacing w:before="120" w:beforeAutospacing="0" w:after="120" w:afterAutospacing="0"/>
        <w:jc w:val="both"/>
        <w:rPr>
          <w:lang w:val="en-US"/>
        </w:rPr>
      </w:pPr>
      <w:r w:rsidRPr="004B7EF4">
        <w:rPr>
          <w:b/>
          <w:bCs/>
          <w:i/>
          <w:iCs/>
          <w:lang w:val="en-US"/>
        </w:rPr>
        <w:t>Sb</w:t>
      </w:r>
      <w:r w:rsidRPr="004B7EF4">
        <w:rPr>
          <w:lang w:val="en-US"/>
        </w:rPr>
        <w:t xml:space="preserve">: </w:t>
      </w:r>
      <w:r>
        <w:rPr>
          <w:lang w:val="en-US"/>
        </w:rPr>
        <w:t>As described in the SIDS Dossier, i</w:t>
      </w:r>
      <w:r w:rsidRPr="004B7EF4">
        <w:rPr>
          <w:lang w:val="en-US"/>
        </w:rPr>
        <w:t xml:space="preserve">n a two-generation drinking water </w:t>
      </w:r>
      <w:r>
        <w:rPr>
          <w:lang w:val="en-US"/>
        </w:rPr>
        <w:t xml:space="preserve">(comparable to OECD TG 416) </w:t>
      </w:r>
      <w:r w:rsidRPr="004B7EF4">
        <w:rPr>
          <w:lang w:val="en-US"/>
        </w:rPr>
        <w:t xml:space="preserve">reproductive toxicity study of Sb, Wistar rats </w:t>
      </w:r>
      <w:r>
        <w:rPr>
          <w:lang w:val="en-US"/>
        </w:rPr>
        <w:t>(30/</w:t>
      </w:r>
      <w:r w:rsidRPr="004B7EF4">
        <w:rPr>
          <w:lang w:val="en-US"/>
        </w:rPr>
        <w:t>sex</w:t>
      </w:r>
      <w:r>
        <w:rPr>
          <w:lang w:val="en-US"/>
        </w:rPr>
        <w:t>/concentration)</w:t>
      </w:r>
      <w:r w:rsidRPr="004B7EF4">
        <w:rPr>
          <w:lang w:val="en-US"/>
        </w:rPr>
        <w:t xml:space="preserve"> received 0, 0.3, 1.0, or 3.0% solutions (</w:t>
      </w:r>
      <w:r>
        <w:rPr>
          <w:lang w:val="en-US"/>
        </w:rPr>
        <w:t xml:space="preserve">corresponding to </w:t>
      </w:r>
      <w:r w:rsidRPr="004B7EF4">
        <w:rPr>
          <w:lang w:val="en-US"/>
        </w:rPr>
        <w:t>0, 538, 1644, and 5089 mg/kg</w:t>
      </w:r>
      <w:r>
        <w:rPr>
          <w:lang w:val="en-US"/>
        </w:rPr>
        <w:t xml:space="preserve"> bw/</w:t>
      </w:r>
      <w:r w:rsidRPr="004B7EF4">
        <w:rPr>
          <w:lang w:val="en-US"/>
        </w:rPr>
        <w:t>day for males and 0, 594, 1771, and 4571 mg/kg</w:t>
      </w:r>
      <w:r>
        <w:rPr>
          <w:lang w:val="en-US"/>
        </w:rPr>
        <w:t xml:space="preserve"> bw/</w:t>
      </w:r>
      <w:r w:rsidRPr="004B7EF4">
        <w:rPr>
          <w:lang w:val="en-US"/>
        </w:rPr>
        <w:t xml:space="preserve">day for females). Due to toxicity, the high level was reduced to 2.0% for </w:t>
      </w:r>
      <w:r>
        <w:rPr>
          <w:lang w:val="en-US"/>
        </w:rPr>
        <w:t>t</w:t>
      </w:r>
      <w:r w:rsidRPr="004B7EF4">
        <w:rPr>
          <w:lang w:val="en-US"/>
        </w:rPr>
        <w:t>he F1 generation (2.0% calculated to be equivalent to 3384 mg/kg</w:t>
      </w:r>
      <w:r>
        <w:rPr>
          <w:lang w:val="en-US"/>
        </w:rPr>
        <w:t xml:space="preserve"> bw/</w:t>
      </w:r>
      <w:r w:rsidRPr="004B7EF4">
        <w:rPr>
          <w:lang w:val="en-US"/>
        </w:rPr>
        <w:t>day for males and 3122 mg/kg</w:t>
      </w:r>
      <w:r>
        <w:rPr>
          <w:lang w:val="en-US"/>
        </w:rPr>
        <w:t xml:space="preserve"> bw/</w:t>
      </w:r>
      <w:r w:rsidRPr="004B7EF4">
        <w:rPr>
          <w:lang w:val="en-US"/>
        </w:rPr>
        <w:t>day for females). The study also includ</w:t>
      </w:r>
      <w:r>
        <w:rPr>
          <w:lang w:val="en-US"/>
        </w:rPr>
        <w:t>ed</w:t>
      </w:r>
      <w:r w:rsidRPr="004B7EF4">
        <w:rPr>
          <w:lang w:val="en-US"/>
        </w:rPr>
        <w:t xml:space="preserve"> a second breeding of the F0 generation </w:t>
      </w:r>
      <w:r>
        <w:rPr>
          <w:lang w:val="en-US"/>
        </w:rPr>
        <w:t xml:space="preserve">for </w:t>
      </w:r>
      <w:r w:rsidRPr="004B7EF4">
        <w:rPr>
          <w:lang w:val="en-US"/>
        </w:rPr>
        <w:t>a teratology screen (</w:t>
      </w:r>
      <w:r w:rsidRPr="00FF6A3E">
        <w:rPr>
          <w:lang w:val="en-GB"/>
        </w:rPr>
        <w:t>OECD, 2002b</w:t>
      </w:r>
      <w:r>
        <w:rPr>
          <w:lang w:val="en-GB"/>
        </w:rPr>
        <w:t xml:space="preserve">: Gallo </w:t>
      </w:r>
      <w:r w:rsidRPr="00956920">
        <w:rPr>
          <w:i/>
          <w:iCs/>
          <w:lang w:val="en-GB"/>
        </w:rPr>
        <w:t>et al</w:t>
      </w:r>
      <w:r>
        <w:rPr>
          <w:lang w:val="en-GB"/>
        </w:rPr>
        <w:t>. 1970</w:t>
      </w:r>
      <w:r w:rsidRPr="004B7EF4">
        <w:rPr>
          <w:lang w:val="en-US"/>
        </w:rPr>
        <w:t>). The F1 generation animals (30/sex/</w:t>
      </w:r>
      <w:r>
        <w:rPr>
          <w:lang w:val="en-US"/>
        </w:rPr>
        <w:t>concentration</w:t>
      </w:r>
      <w:r w:rsidRPr="004B7EF4">
        <w:rPr>
          <w:lang w:val="en-US"/>
        </w:rPr>
        <w:t>) were reared to maturity (</w:t>
      </w:r>
      <w:r>
        <w:rPr>
          <w:lang w:val="en-US"/>
        </w:rPr>
        <w:t>W</w:t>
      </w:r>
      <w:r w:rsidRPr="004B7EF4">
        <w:rPr>
          <w:lang w:val="en-US"/>
        </w:rPr>
        <w:t>eek 12), mated to produce a F2 generation, then sacrificed for organ weights, and gross and microscopic pathological evaluations (10/sex/</w:t>
      </w:r>
      <w:r>
        <w:rPr>
          <w:lang w:val="en-US"/>
        </w:rPr>
        <w:t>concentration</w:t>
      </w:r>
      <w:r w:rsidRPr="004B7EF4">
        <w:rPr>
          <w:lang w:val="en-US"/>
        </w:rPr>
        <w:t>). Hematological, biochemical, and urinary examinations were conducted on the F1 rats.  Histopathological examinations revealed mild changes in the kidney (</w:t>
      </w:r>
      <w:r>
        <w:rPr>
          <w:lang w:val="en-US"/>
        </w:rPr>
        <w:t xml:space="preserve">i.e., </w:t>
      </w:r>
      <w:r w:rsidRPr="004B7EF4">
        <w:rPr>
          <w:lang w:val="en-US"/>
        </w:rPr>
        <w:t xml:space="preserve">non-reactive tubular degeneration, tubular casts, foci of tubular regeneration and microcysts) in animals treated with 2.0% Sb. These effects were </w:t>
      </w:r>
      <w:r>
        <w:rPr>
          <w:lang w:val="en-US"/>
        </w:rPr>
        <w:t xml:space="preserve">not </w:t>
      </w:r>
      <w:r w:rsidRPr="004B7EF4">
        <w:rPr>
          <w:lang w:val="en-US"/>
        </w:rPr>
        <w:t xml:space="preserve">considered </w:t>
      </w:r>
      <w:r>
        <w:rPr>
          <w:lang w:val="en-US"/>
        </w:rPr>
        <w:t>be to be related to the specific test material but may have been a result of</w:t>
      </w:r>
      <w:r w:rsidRPr="004B7EF4">
        <w:rPr>
          <w:lang w:val="en-US"/>
        </w:rPr>
        <w:t xml:space="preserve"> </w:t>
      </w:r>
      <w:r>
        <w:rPr>
          <w:lang w:val="en-US"/>
        </w:rPr>
        <w:t xml:space="preserve">the </w:t>
      </w:r>
      <w:r w:rsidRPr="004B7EF4">
        <w:rPr>
          <w:lang w:val="en-US"/>
        </w:rPr>
        <w:t xml:space="preserve">increased renal workload, </w:t>
      </w:r>
      <w:r>
        <w:rPr>
          <w:lang w:val="en-US"/>
        </w:rPr>
        <w:t xml:space="preserve">as a result of </w:t>
      </w:r>
      <w:r w:rsidRPr="004B7EF4">
        <w:rPr>
          <w:lang w:val="en-US"/>
        </w:rPr>
        <w:t xml:space="preserve">an increased urine volume and pressure at the high doses. As a result, the authors concluded </w:t>
      </w:r>
      <w:r>
        <w:rPr>
          <w:lang w:val="en-US"/>
        </w:rPr>
        <w:t xml:space="preserve">that </w:t>
      </w:r>
      <w:r w:rsidRPr="004B7EF4">
        <w:rPr>
          <w:lang w:val="en-US"/>
        </w:rPr>
        <w:t xml:space="preserve">these results </w:t>
      </w:r>
      <w:r>
        <w:rPr>
          <w:lang w:val="en-US"/>
        </w:rPr>
        <w:t xml:space="preserve">were </w:t>
      </w:r>
      <w:r w:rsidRPr="004B7EF4">
        <w:rPr>
          <w:lang w:val="en-US"/>
        </w:rPr>
        <w:t xml:space="preserve">not a result of direct toxicity </w:t>
      </w:r>
      <w:r>
        <w:rPr>
          <w:lang w:val="en-US"/>
        </w:rPr>
        <w:t xml:space="preserve">or of </w:t>
      </w:r>
      <w:r w:rsidRPr="004B7EF4">
        <w:rPr>
          <w:lang w:val="en-US"/>
        </w:rPr>
        <w:t xml:space="preserve">clear pathological significance. </w:t>
      </w:r>
      <w:r>
        <w:rPr>
          <w:lang w:val="en-US"/>
        </w:rPr>
        <w:t>A</w:t>
      </w:r>
      <w:r w:rsidRPr="004B7EF4">
        <w:rPr>
          <w:lang w:val="en-US"/>
        </w:rPr>
        <w:t xml:space="preserve"> slight but not significant depression in growth of weanling rats </w:t>
      </w:r>
      <w:r>
        <w:rPr>
          <w:lang w:val="en-US"/>
        </w:rPr>
        <w:t xml:space="preserve">was also reported </w:t>
      </w:r>
      <w:r w:rsidRPr="004B7EF4">
        <w:rPr>
          <w:lang w:val="en-US"/>
        </w:rPr>
        <w:t>in the second generation; the no-effect level for systemic and reproductive effects was 1.0% (estimated to be 1500 mg/kg</w:t>
      </w:r>
      <w:r>
        <w:rPr>
          <w:lang w:val="en-US"/>
        </w:rPr>
        <w:t xml:space="preserve"> bw</w:t>
      </w:r>
      <w:r w:rsidRPr="004B7EF4">
        <w:rPr>
          <w:lang w:val="en-US"/>
        </w:rPr>
        <w:t>/day by the authors and 1771 mg/kg</w:t>
      </w:r>
      <w:r>
        <w:rPr>
          <w:lang w:val="en-US"/>
        </w:rPr>
        <w:t xml:space="preserve"> </w:t>
      </w:r>
      <w:r w:rsidRPr="00753F2E">
        <w:rPr>
          <w:lang w:val="en-US"/>
        </w:rPr>
        <w:t>bw/day by EPA/IRIS).</w:t>
      </w:r>
    </w:p>
    <w:p w:rsidR="001D41E2" w:rsidRPr="004B7EF4" w:rsidRDefault="001D41E2" w:rsidP="00DE56B0">
      <w:pPr>
        <w:pStyle w:val="BodyText"/>
        <w:rPr>
          <w:lang w:val="en-US"/>
        </w:rPr>
      </w:pPr>
      <w:r w:rsidRPr="00753F2E">
        <w:rPr>
          <w:b/>
          <w:bCs/>
          <w:i/>
          <w:iCs/>
          <w:lang w:val="en-US"/>
        </w:rPr>
        <w:t>DEG</w:t>
      </w:r>
      <w:r w:rsidRPr="00753F2E">
        <w:rPr>
          <w:lang w:val="en-US"/>
        </w:rPr>
        <w:t xml:space="preserve">: </w:t>
      </w:r>
      <w:r>
        <w:rPr>
          <w:lang w:val="en-US"/>
        </w:rPr>
        <w:t>As described in the SIDS Dossier, DEG</w:t>
      </w:r>
      <w:r w:rsidRPr="00753F2E">
        <w:rPr>
          <w:lang w:val="en-US"/>
        </w:rPr>
        <w:t xml:space="preserve"> was administered via the drinking water to male and female CD-1 mice (control 40m/40f; dose groups 20 m/20 f). </w:t>
      </w:r>
      <w:r w:rsidRPr="00A61C15">
        <w:rPr>
          <w:lang w:val="en-US" w:eastAsia="da-DK"/>
        </w:rPr>
        <w:t>Animals</w:t>
      </w:r>
      <w:r w:rsidRPr="00A61C15">
        <w:rPr>
          <w:lang w:val="en-US"/>
        </w:rPr>
        <w:t xml:space="preserve"> </w:t>
      </w:r>
      <w:r w:rsidRPr="00753F2E">
        <w:rPr>
          <w:lang w:val="en-US"/>
        </w:rPr>
        <w:t>were given concentrations of 0, 0.35, 1.75 and 3.5% (</w:t>
      </w:r>
      <w:r>
        <w:rPr>
          <w:lang w:val="en-US"/>
        </w:rPr>
        <w:t>equivalent to</w:t>
      </w:r>
      <w:r w:rsidRPr="00753F2E">
        <w:rPr>
          <w:lang w:val="en-US"/>
        </w:rPr>
        <w:t xml:space="preserve"> 0, 612, 3063 and 6125 mg/kg bw/day) of DEG for 7 days before, during and 21 days after a 98-day cohabitation stage (</w:t>
      </w:r>
      <w:r w:rsidRPr="00753F2E">
        <w:t>OECD, 2004: NTP 1894)</w:t>
      </w:r>
      <w:r w:rsidRPr="00753F2E">
        <w:rPr>
          <w:lang w:val="en-US"/>
        </w:rPr>
        <w:t xml:space="preserve">.  In this </w:t>
      </w:r>
      <w:r>
        <w:rPr>
          <w:lang w:val="en-US"/>
        </w:rPr>
        <w:t>study</w:t>
      </w:r>
      <w:r w:rsidRPr="00753F2E">
        <w:rPr>
          <w:lang w:val="en-US"/>
        </w:rPr>
        <w:t xml:space="preserve">, </w:t>
      </w:r>
      <w:r>
        <w:rPr>
          <w:lang w:val="en-US"/>
        </w:rPr>
        <w:t>DEG</w:t>
      </w:r>
      <w:r w:rsidRPr="00753F2E">
        <w:rPr>
          <w:lang w:val="en-US"/>
        </w:rPr>
        <w:t xml:space="preserve"> did not produce changes in the male or female reproductive capability. In the mid and top dose</w:t>
      </w:r>
      <w:r>
        <w:rPr>
          <w:lang w:val="en-US"/>
        </w:rPr>
        <w:t>s</w:t>
      </w:r>
      <w:r w:rsidRPr="00753F2E">
        <w:rPr>
          <w:lang w:val="en-US"/>
        </w:rPr>
        <w:t>, there were some indications of developmental and a general toxicity. The overall NOAEL was 612 mg/kg bw/day (0.35%). The fertility NOAEL was 6125 mg/kg bw/day</w:t>
      </w:r>
      <w:r w:rsidRPr="00753F2E">
        <w:rPr>
          <w:rStyle w:val="CommentReference"/>
          <w:lang w:val="en-US"/>
        </w:rPr>
        <w:t>.</w:t>
      </w:r>
    </w:p>
    <w:p w:rsidR="001D41E2" w:rsidRDefault="001D41E2" w:rsidP="00DE56B0">
      <w:pPr>
        <w:pStyle w:val="BodyText"/>
        <w:rPr>
          <w:lang w:val="en-US"/>
        </w:rPr>
      </w:pPr>
      <w:r w:rsidRPr="004B7EF4">
        <w:rPr>
          <w:lang w:val="en-US"/>
        </w:rPr>
        <w:t>Wegener (</w:t>
      </w:r>
      <w:r w:rsidRPr="00753F2E">
        <w:t>OECD, 2004:</w:t>
      </w:r>
      <w:r w:rsidRPr="00753F2E">
        <w:rPr>
          <w:lang w:val="en-US"/>
        </w:rPr>
        <w:t xml:space="preserve"> </w:t>
      </w:r>
      <w:r w:rsidRPr="004B7EF4">
        <w:rPr>
          <w:lang w:val="en-US"/>
        </w:rPr>
        <w:t xml:space="preserve">Wegener 1953) reported the effect </w:t>
      </w:r>
      <w:r>
        <w:rPr>
          <w:lang w:val="en-US"/>
        </w:rPr>
        <w:t xml:space="preserve">of DEG </w:t>
      </w:r>
      <w:r w:rsidRPr="004B7EF4">
        <w:rPr>
          <w:lang w:val="en-US"/>
        </w:rPr>
        <w:t>on the reproductive capacity</w:t>
      </w:r>
      <w:r>
        <w:rPr>
          <w:lang w:val="en-US"/>
        </w:rPr>
        <w:t xml:space="preserve"> in a two-generation study with rats (10/sex/dose)</w:t>
      </w:r>
      <w:r w:rsidRPr="004B7EF4">
        <w:rPr>
          <w:lang w:val="en-US"/>
        </w:rPr>
        <w:t xml:space="preserve">. </w:t>
      </w:r>
      <w:r>
        <w:rPr>
          <w:lang w:val="en-US"/>
        </w:rPr>
        <w:t>R</w:t>
      </w:r>
      <w:r w:rsidRPr="004B7EF4">
        <w:rPr>
          <w:lang w:val="en-US"/>
        </w:rPr>
        <w:t xml:space="preserve">ats were </w:t>
      </w:r>
      <w:r>
        <w:rPr>
          <w:lang w:val="en-US"/>
        </w:rPr>
        <w:t xml:space="preserve">gavaged with </w:t>
      </w:r>
      <w:r w:rsidRPr="004B7EF4">
        <w:rPr>
          <w:lang w:val="en-US"/>
        </w:rPr>
        <w:t xml:space="preserve">a daily dose of approx. 2200 mg/kg </w:t>
      </w:r>
      <w:proofErr w:type="gramStart"/>
      <w:r>
        <w:rPr>
          <w:lang w:val="en-US"/>
        </w:rPr>
        <w:t>bw</w:t>
      </w:r>
      <w:proofErr w:type="gramEnd"/>
      <w:r w:rsidRPr="004B7EF4">
        <w:rPr>
          <w:lang w:val="en-US"/>
        </w:rPr>
        <w:t xml:space="preserve"> over a study duration of 12 weeks. At the dose used in th</w:t>
      </w:r>
      <w:r>
        <w:rPr>
          <w:lang w:val="en-US"/>
        </w:rPr>
        <w:t>e</w:t>
      </w:r>
      <w:r w:rsidRPr="004B7EF4">
        <w:rPr>
          <w:lang w:val="en-US"/>
        </w:rPr>
        <w:t xml:space="preserve"> study, there was </w:t>
      </w:r>
      <w:r>
        <w:rPr>
          <w:lang w:val="en-US"/>
        </w:rPr>
        <w:t xml:space="preserve">no </w:t>
      </w:r>
      <w:r w:rsidRPr="004B7EF4">
        <w:rPr>
          <w:lang w:val="en-US"/>
        </w:rPr>
        <w:t>impairment of reproducti</w:t>
      </w:r>
      <w:r>
        <w:rPr>
          <w:lang w:val="en-US"/>
        </w:rPr>
        <w:t xml:space="preserve">ve function </w:t>
      </w:r>
      <w:r w:rsidRPr="004B7EF4">
        <w:rPr>
          <w:lang w:val="en-US"/>
        </w:rPr>
        <w:t xml:space="preserve">or any embryotoxic action of DEG. </w:t>
      </w:r>
      <w:r>
        <w:rPr>
          <w:lang w:val="en-US"/>
        </w:rPr>
        <w:t xml:space="preserve"> </w:t>
      </w:r>
      <w:r w:rsidRPr="004B7EF4">
        <w:rPr>
          <w:lang w:val="en-US"/>
        </w:rPr>
        <w:t xml:space="preserve">The NOAEL was 2200 </w:t>
      </w:r>
      <w:r>
        <w:rPr>
          <w:lang w:val="en-US"/>
        </w:rPr>
        <w:t>mg/kg bw/day</w:t>
      </w:r>
      <w:r w:rsidRPr="004B7EF4">
        <w:rPr>
          <w:lang w:val="en-US"/>
        </w:rPr>
        <w:t>.</w:t>
      </w:r>
    </w:p>
    <w:p w:rsidR="001D41E2" w:rsidRPr="004B7EF4" w:rsidRDefault="001D41E2" w:rsidP="00DE56B0">
      <w:pPr>
        <w:pStyle w:val="BodyText"/>
        <w:rPr>
          <w:lang w:val="en-US"/>
        </w:rPr>
      </w:pPr>
      <w:r w:rsidRPr="003062B4">
        <w:rPr>
          <w:b/>
          <w:bCs/>
          <w:i/>
          <w:iCs/>
          <w:lang w:val="en-US"/>
        </w:rPr>
        <w:t>Eh</w:t>
      </w:r>
      <w:r>
        <w:rPr>
          <w:lang w:val="en-US"/>
        </w:rPr>
        <w:t xml:space="preserve">: There were no effects on the reproductive organs observed in histopathological examinations in the 90 day inhalation repeated dose toxicity study at 0.64 mg/L/day  (OECD, 1995). </w:t>
      </w:r>
      <w:r w:rsidRPr="004B7EF4">
        <w:rPr>
          <w:rFonts w:ascii="Arial" w:hAnsi="Arial" w:cs="Arial"/>
          <w:sz w:val="20"/>
          <w:lang w:val="en-US"/>
        </w:rPr>
        <w:t xml:space="preserve"> </w:t>
      </w:r>
    </w:p>
    <w:p w:rsidR="001D41E2" w:rsidRPr="004B7EF4" w:rsidRDefault="001D41E2" w:rsidP="00DE56B0">
      <w:pPr>
        <w:pStyle w:val="BodyText"/>
        <w:rPr>
          <w:lang w:val="en-US"/>
        </w:rPr>
      </w:pPr>
      <w:r w:rsidRPr="004B7EF4">
        <w:rPr>
          <w:b/>
          <w:bCs/>
          <w:i/>
          <w:iCs/>
          <w:lang w:val="en-US"/>
        </w:rPr>
        <w:t>HCl:</w:t>
      </w:r>
      <w:r w:rsidRPr="004B7EF4">
        <w:rPr>
          <w:lang w:val="en-US"/>
        </w:rPr>
        <w:t xml:space="preserve"> As stated in the SIAR for HCl (</w:t>
      </w:r>
      <w:r>
        <w:rPr>
          <w:lang w:val="en-US"/>
        </w:rPr>
        <w:t xml:space="preserve">OECD 2002a: </w:t>
      </w:r>
      <w:hyperlink r:id="rId54" w:history="1">
        <w:r w:rsidRPr="00BA5CD0">
          <w:rPr>
            <w:rStyle w:val="Hyperlink"/>
            <w:sz w:val="24"/>
            <w:szCs w:val="24"/>
            <w:lang w:val="en-US"/>
          </w:rPr>
          <w:t>http://www.chem.unep.ch/irptc/sids/oecdsids/7647010.pdf</w:t>
        </w:r>
      </w:hyperlink>
      <w:r w:rsidRPr="00BA5CD0">
        <w:rPr>
          <w:lang w:val="en-US"/>
        </w:rPr>
        <w:t>),</w:t>
      </w:r>
      <w:r w:rsidRPr="004B7EF4">
        <w:rPr>
          <w:lang w:val="en-US"/>
        </w:rPr>
        <w:t xml:space="preserve"> no reliable studies were identified regarding reproductive toxicity in animals after oral, dermal or inhalation exposure to hydrogen chloride/hydrochloric acid.  </w:t>
      </w:r>
    </w:p>
    <w:p w:rsidR="001D41E2" w:rsidRPr="004B7EF4" w:rsidRDefault="001D41E2" w:rsidP="00DE56B0">
      <w:pPr>
        <w:pStyle w:val="BodyText"/>
        <w:rPr>
          <w:lang w:val="en-US"/>
        </w:rPr>
      </w:pPr>
      <w:r w:rsidRPr="004B7EF4">
        <w:rPr>
          <w:lang w:val="en-US"/>
        </w:rPr>
        <w:t>Individually housed</w:t>
      </w:r>
      <w:r w:rsidRPr="004B7EF4" w:rsidDel="007A3D9A">
        <w:rPr>
          <w:lang w:val="en-US"/>
        </w:rPr>
        <w:t xml:space="preserve"> </w:t>
      </w:r>
      <w:r w:rsidRPr="004B7EF4">
        <w:rPr>
          <w:lang w:val="en-US"/>
        </w:rPr>
        <w:t xml:space="preserve">B6C3F1 mice and SD/F344 rats (10/sex/dose) were exposed to hydrogen chloride gas at concentrations of 0, 10, 20 and 50 ppm (0, 0.015, 0.030, 0.075 mg/L) for 90 days (6 hours/day, 5 days/week).  No exposure-related effects were noted in the reproductive organs (testis, epididymis, prostate, seminal vesicle; ovary, uterus, oviduct, mammary glands) upon microscopic examinations.  </w:t>
      </w:r>
    </w:p>
    <w:p w:rsidR="001D41E2" w:rsidRDefault="001D41E2" w:rsidP="00DE56B0">
      <w:pPr>
        <w:pStyle w:val="BodyText"/>
        <w:rPr>
          <w:lang w:val="en-US"/>
        </w:rPr>
      </w:pPr>
      <w:r w:rsidRPr="004B7EF4">
        <w:rPr>
          <w:lang w:val="en-US"/>
        </w:rPr>
        <w:t xml:space="preserve">Female rats were mated 12 days after a single exposure of hydrogen chloride vapour (302 ppm, 0.453 mg/L) for 1 hour.  </w:t>
      </w:r>
      <w:r>
        <w:rPr>
          <w:lang w:val="en-US"/>
        </w:rPr>
        <w:t>Mortality</w:t>
      </w:r>
      <w:r w:rsidRPr="004B7EF4">
        <w:rPr>
          <w:lang w:val="en-US"/>
        </w:rPr>
        <w:t xml:space="preserve"> from severe dyspnea and cyanosis of dam</w:t>
      </w:r>
      <w:r>
        <w:rPr>
          <w:lang w:val="en-US"/>
        </w:rPr>
        <w:t>s</w:t>
      </w:r>
      <w:r w:rsidRPr="004B7EF4">
        <w:rPr>
          <w:lang w:val="en-US"/>
        </w:rPr>
        <w:t>, functional disorders of the lungs, kidneys and liver</w:t>
      </w:r>
      <w:r>
        <w:rPr>
          <w:lang w:val="en-US"/>
        </w:rPr>
        <w:t xml:space="preserve"> </w:t>
      </w:r>
      <w:r w:rsidRPr="004B7EF4">
        <w:rPr>
          <w:lang w:val="en-US"/>
        </w:rPr>
        <w:t>and decreased bodyweight of offspring were observed.</w:t>
      </w:r>
    </w:p>
    <w:p w:rsidR="001D41E2" w:rsidRPr="00710441" w:rsidRDefault="001D41E2" w:rsidP="00FC3F4E">
      <w:pPr>
        <w:pStyle w:val="Caption"/>
        <w:ind w:left="0"/>
      </w:pPr>
      <w:bookmarkStart w:id="82" w:name="_Toc264983297"/>
      <w:r>
        <w:t xml:space="preserve">Table </w:t>
      </w:r>
      <w:r w:rsidR="002F054D">
        <w:t>21</w:t>
      </w:r>
      <w:r>
        <w:t xml:space="preserve"> </w:t>
      </w:r>
      <w:r w:rsidR="00FC3F4E">
        <w:t xml:space="preserve">    </w:t>
      </w:r>
      <w:r>
        <w:t>Summary of Reproductive Toxicity</w:t>
      </w:r>
      <w:bookmarkEnd w:id="82"/>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7"/>
        <w:gridCol w:w="1340"/>
        <w:gridCol w:w="4200"/>
        <w:gridCol w:w="2378"/>
      </w:tblGrid>
      <w:tr w:rsidR="001D41E2" w:rsidRPr="004B7EF4" w:rsidTr="00FC3F4E">
        <w:tc>
          <w:tcPr>
            <w:tcW w:w="1937" w:type="dxa"/>
            <w:tcBorders>
              <w:top w:val="single" w:sz="12" w:space="0" w:color="auto"/>
              <w:bottom w:val="single" w:sz="12" w:space="0" w:color="auto"/>
            </w:tcBorders>
            <w:vAlign w:val="center"/>
          </w:tcPr>
          <w:p w:rsidR="001D41E2" w:rsidRPr="004B7EF4" w:rsidRDefault="001D41E2" w:rsidP="00DE56B0">
            <w:pPr>
              <w:pStyle w:val="Tabletext"/>
              <w:rPr>
                <w:b/>
                <w:bCs/>
              </w:rPr>
            </w:pPr>
            <w:r w:rsidRPr="004B7EF4">
              <w:rPr>
                <w:b/>
                <w:bCs/>
              </w:rPr>
              <w:t xml:space="preserve">Category member / </w:t>
            </w:r>
            <w:r w:rsidR="007D3E3E" w:rsidRPr="007D3E3E">
              <w:rPr>
                <w:b/>
                <w:bCs/>
                <w:highlight w:val="lightGray"/>
              </w:rPr>
              <w:t>hydrolysis product</w:t>
            </w:r>
          </w:p>
        </w:tc>
        <w:tc>
          <w:tcPr>
            <w:tcW w:w="1340" w:type="dxa"/>
            <w:tcBorders>
              <w:top w:val="single" w:sz="12" w:space="0" w:color="auto"/>
              <w:bottom w:val="single" w:sz="12" w:space="0" w:color="auto"/>
            </w:tcBorders>
            <w:vAlign w:val="center"/>
          </w:tcPr>
          <w:p w:rsidR="001D41E2" w:rsidRPr="004B7EF4" w:rsidRDefault="001D41E2" w:rsidP="00DE56B0">
            <w:pPr>
              <w:pStyle w:val="Tabletext"/>
              <w:jc w:val="center"/>
              <w:rPr>
                <w:b/>
                <w:bCs/>
              </w:rPr>
            </w:pPr>
            <w:r w:rsidRPr="004B7EF4">
              <w:rPr>
                <w:b/>
                <w:bCs/>
              </w:rPr>
              <w:t>Test species</w:t>
            </w:r>
          </w:p>
        </w:tc>
        <w:tc>
          <w:tcPr>
            <w:tcW w:w="4200" w:type="dxa"/>
            <w:tcBorders>
              <w:top w:val="single" w:sz="12" w:space="0" w:color="auto"/>
              <w:bottom w:val="single" w:sz="12" w:space="0" w:color="auto"/>
            </w:tcBorders>
            <w:vAlign w:val="center"/>
          </w:tcPr>
          <w:p w:rsidR="001D41E2" w:rsidRPr="004B7EF4" w:rsidRDefault="001D41E2" w:rsidP="00DE56B0">
            <w:pPr>
              <w:pStyle w:val="Tabletext"/>
              <w:jc w:val="center"/>
              <w:rPr>
                <w:b/>
                <w:bCs/>
              </w:rPr>
            </w:pPr>
            <w:r>
              <w:rPr>
                <w:b/>
                <w:bCs/>
              </w:rPr>
              <w:t xml:space="preserve">Route: </w:t>
            </w:r>
            <w:r w:rsidRPr="004B7EF4">
              <w:rPr>
                <w:b/>
                <w:bCs/>
              </w:rPr>
              <w:t>Result</w:t>
            </w:r>
          </w:p>
        </w:tc>
        <w:tc>
          <w:tcPr>
            <w:tcW w:w="2378" w:type="dxa"/>
            <w:tcBorders>
              <w:top w:val="single" w:sz="12" w:space="0" w:color="auto"/>
              <w:bottom w:val="single" w:sz="12" w:space="0" w:color="auto"/>
            </w:tcBorders>
            <w:vAlign w:val="center"/>
          </w:tcPr>
          <w:p w:rsidR="001D41E2" w:rsidRPr="004B7EF4" w:rsidRDefault="001D41E2" w:rsidP="00DE56B0">
            <w:pPr>
              <w:pStyle w:val="Tabletext"/>
              <w:jc w:val="center"/>
              <w:rPr>
                <w:b/>
                <w:bCs/>
              </w:rPr>
            </w:pPr>
            <w:r w:rsidRPr="004B7EF4">
              <w:rPr>
                <w:b/>
                <w:bCs/>
              </w:rPr>
              <w:t>Reference</w:t>
            </w:r>
          </w:p>
        </w:tc>
      </w:tr>
      <w:tr w:rsidR="001D41E2" w:rsidRPr="004B7EF4" w:rsidTr="00FC3F4E">
        <w:trPr>
          <w:trHeight w:val="397"/>
        </w:trPr>
        <w:tc>
          <w:tcPr>
            <w:tcW w:w="9855" w:type="dxa"/>
            <w:gridSpan w:val="4"/>
            <w:tcBorders>
              <w:top w:val="single" w:sz="12" w:space="0" w:color="auto"/>
            </w:tcBorders>
            <w:vAlign w:val="center"/>
          </w:tcPr>
          <w:p w:rsidR="001D41E2" w:rsidRPr="004B7EF4" w:rsidRDefault="001D41E2" w:rsidP="00FC3F4E">
            <w:pPr>
              <w:pStyle w:val="Tabletext"/>
              <w:jc w:val="center"/>
            </w:pPr>
            <w:r w:rsidRPr="004B7EF4">
              <w:rPr>
                <w:b/>
                <w:bCs/>
              </w:rPr>
              <w:t>Effects on Fertility</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Me</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lang w:val="de-DE"/>
              </w:rPr>
            </w:pPr>
            <w:r w:rsidRPr="007D3E3E">
              <w:rPr>
                <w:highlight w:val="lightGray"/>
                <w:lang w:val="de-DE"/>
              </w:rPr>
              <w:t xml:space="preserve"> Inhalation: NOAEC 1000 ppm (1.3 mg/L) </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2004a</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Et</w:t>
            </w:r>
          </w:p>
        </w:tc>
        <w:tc>
          <w:tcPr>
            <w:tcW w:w="1340" w:type="dxa"/>
            <w:shd w:val="clear" w:color="auto" w:fill="BFBFBF" w:themeFill="background1" w:themeFillShade="BF"/>
            <w:vAlign w:val="center"/>
          </w:tcPr>
          <w:p w:rsidR="001D41E2" w:rsidRPr="00071FE0" w:rsidRDefault="001D41E2" w:rsidP="00DE56B0">
            <w:pPr>
              <w:pStyle w:val="NormalWeb"/>
              <w:spacing w:before="120" w:after="120"/>
              <w:jc w:val="center"/>
              <w:rPr>
                <w:sz w:val="20"/>
                <w:szCs w:val="20"/>
                <w:highlight w:val="lightGray"/>
                <w:lang w:val="en-US"/>
              </w:rPr>
            </w:pP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NOAEC 16,000 ppm (ca. 30 mg/L)</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2005</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Pr</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lang w:val="de-DE"/>
              </w:rPr>
            </w:pPr>
            <w:r w:rsidRPr="007D3E3E">
              <w:rPr>
                <w:highlight w:val="lightGray"/>
                <w:lang w:val="de-DE"/>
              </w:rPr>
              <w:t>Inhalation: NOAEC 3500 ppm (8.9 mg/L)</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ECB, 2008</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Ip</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rFonts w:ascii="TimesNewRomanPSMT" w:hAnsi="TimesNewRomanPSMT" w:cs="TimesNewRomanPSMT"/>
                <w:highlight w:val="lightGray"/>
              </w:rPr>
              <w:t>Oral (gavage): NOAEL 500 mg/kg bw/day</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2000</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Sb</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Oral (drinking water): NOAEL 1500 mg/kg bw/day (drinking water; estimated by EPA/IRIS as 1771 mg/kg/day)</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2002b</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DEG</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mice</w:t>
            </w:r>
          </w:p>
          <w:p w:rsidR="001D41E2" w:rsidRPr="00071FE0" w:rsidRDefault="007D3E3E" w:rsidP="00DE56B0">
            <w:pPr>
              <w:jc w:val="center"/>
              <w:rPr>
                <w:sz w:val="20"/>
                <w:szCs w:val="20"/>
                <w:highlight w:val="lightGray"/>
              </w:rPr>
            </w:pPr>
            <w:r w:rsidRPr="007D3E3E">
              <w:rPr>
                <w:sz w:val="20"/>
                <w:szCs w:val="20"/>
                <w:highlight w:val="lightGray"/>
              </w:rPr>
              <w:t>rat</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Oral (drinking water): NOELfert. 6125 mg/kg bw/day; NOAEL 2200 mg/kg bw/day</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2004b</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Eh</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p w:rsidR="001D41E2" w:rsidRPr="00071FE0" w:rsidRDefault="007D3E3E" w:rsidP="00DE56B0">
            <w:pPr>
              <w:jc w:val="center"/>
              <w:rPr>
                <w:sz w:val="20"/>
                <w:szCs w:val="20"/>
                <w:highlight w:val="lightGray"/>
              </w:rPr>
            </w:pPr>
            <w:r w:rsidRPr="007D3E3E">
              <w:rPr>
                <w:sz w:val="20"/>
                <w:szCs w:val="20"/>
                <w:highlight w:val="lightGray"/>
              </w:rPr>
              <w:t>mice</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 effects on reproductive organs  noted in repeated dose toxicity studies</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1995</w:t>
            </w:r>
          </w:p>
        </w:tc>
      </w:tr>
      <w:tr w:rsidR="001D41E2" w:rsidRPr="004B7EF4" w:rsidTr="00FC3F4E">
        <w:trPr>
          <w:trHeight w:val="567"/>
        </w:trPr>
        <w:tc>
          <w:tcPr>
            <w:tcW w:w="1937" w:type="dxa"/>
            <w:shd w:val="clear" w:color="auto" w:fill="BFBFBF" w:themeFill="background1" w:themeFillShade="BF"/>
            <w:vAlign w:val="center"/>
          </w:tcPr>
          <w:p w:rsidR="001D41E2" w:rsidRPr="00071FE0" w:rsidRDefault="007D3E3E" w:rsidP="00FC3F4E">
            <w:pPr>
              <w:pStyle w:val="Tabletext"/>
              <w:ind w:left="424"/>
              <w:rPr>
                <w:highlight w:val="lightGray"/>
              </w:rPr>
            </w:pPr>
            <w:r w:rsidRPr="007D3E3E">
              <w:rPr>
                <w:highlight w:val="lightGray"/>
              </w:rPr>
              <w:t>HCl</w:t>
            </w:r>
          </w:p>
        </w:tc>
        <w:tc>
          <w:tcPr>
            <w:tcW w:w="1340" w:type="dxa"/>
            <w:shd w:val="clear" w:color="auto" w:fill="BFBFBF" w:themeFill="background1" w:themeFillShade="BF"/>
            <w:vAlign w:val="center"/>
          </w:tcPr>
          <w:p w:rsidR="001D41E2" w:rsidRPr="00071FE0" w:rsidRDefault="007D3E3E" w:rsidP="00DE56B0">
            <w:pPr>
              <w:jc w:val="center"/>
              <w:rPr>
                <w:sz w:val="20"/>
                <w:szCs w:val="20"/>
                <w:highlight w:val="lightGray"/>
              </w:rPr>
            </w:pPr>
            <w:r w:rsidRPr="007D3E3E">
              <w:rPr>
                <w:sz w:val="20"/>
                <w:szCs w:val="20"/>
                <w:highlight w:val="lightGray"/>
              </w:rPr>
              <w:t>rat</w:t>
            </w:r>
          </w:p>
          <w:p w:rsidR="001D41E2" w:rsidRPr="00071FE0" w:rsidRDefault="007D3E3E" w:rsidP="00DE56B0">
            <w:pPr>
              <w:jc w:val="center"/>
              <w:rPr>
                <w:sz w:val="20"/>
                <w:szCs w:val="20"/>
                <w:highlight w:val="lightGray"/>
              </w:rPr>
            </w:pPr>
            <w:r w:rsidRPr="007D3E3E">
              <w:rPr>
                <w:sz w:val="20"/>
                <w:szCs w:val="20"/>
                <w:highlight w:val="lightGray"/>
              </w:rPr>
              <w:t>mice</w:t>
            </w:r>
          </w:p>
        </w:tc>
        <w:tc>
          <w:tcPr>
            <w:tcW w:w="420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 effects on reproductive organs noted in repeated dose toxicity studies</w:t>
            </w:r>
          </w:p>
        </w:tc>
        <w:tc>
          <w:tcPr>
            <w:tcW w:w="2378" w:type="dxa"/>
            <w:shd w:val="clear" w:color="auto" w:fill="BFBFBF" w:themeFill="background1" w:themeFillShade="BF"/>
            <w:vAlign w:val="center"/>
          </w:tcPr>
          <w:p w:rsidR="001D41E2" w:rsidRPr="00071FE0" w:rsidRDefault="007D3E3E" w:rsidP="00FC3F4E">
            <w:pPr>
              <w:pStyle w:val="Tabletext"/>
              <w:ind w:left="376"/>
              <w:rPr>
                <w:highlight w:val="lightGray"/>
              </w:rPr>
            </w:pPr>
            <w:r w:rsidRPr="007D3E3E">
              <w:rPr>
                <w:highlight w:val="lightGray"/>
              </w:rPr>
              <w:t>OECD,  2002a</w:t>
            </w:r>
          </w:p>
        </w:tc>
      </w:tr>
    </w:tbl>
    <w:p w:rsidR="001D41E2" w:rsidRDefault="001D41E2" w:rsidP="00DE56B0">
      <w:pPr>
        <w:pStyle w:val="BodyText"/>
        <w:rPr>
          <w:lang w:val="en-US"/>
        </w:rPr>
      </w:pPr>
    </w:p>
    <w:p w:rsidR="001D41E2" w:rsidRPr="003A0393" w:rsidRDefault="001D41E2" w:rsidP="00FC3F4E">
      <w:pPr>
        <w:pStyle w:val="BodyText"/>
        <w:pageBreakBefore/>
        <w:rPr>
          <w:i/>
          <w:iCs/>
        </w:rPr>
      </w:pPr>
      <w:r w:rsidRPr="003A0393">
        <w:rPr>
          <w:i/>
          <w:iCs/>
        </w:rPr>
        <w:t>Developmental Toxicity</w:t>
      </w:r>
    </w:p>
    <w:p w:rsidR="001D41E2" w:rsidRPr="004B7EF4" w:rsidRDefault="001D41E2" w:rsidP="00DE56B0">
      <w:pPr>
        <w:pStyle w:val="NormalWeb"/>
        <w:spacing w:before="0" w:beforeAutospacing="0"/>
        <w:jc w:val="both"/>
        <w:rPr>
          <w:lang w:val="en-US"/>
        </w:rPr>
      </w:pPr>
      <w:r w:rsidRPr="004B7EF4">
        <w:rPr>
          <w:b/>
          <w:bCs/>
          <w:i/>
          <w:iCs/>
          <w:lang w:val="en-US"/>
        </w:rPr>
        <w:t>Me:</w:t>
      </w:r>
      <w:r w:rsidRPr="004B7EF4">
        <w:rPr>
          <w:lang w:val="en-US"/>
        </w:rPr>
        <w:t xml:space="preserve"> </w:t>
      </w:r>
      <w:r>
        <w:rPr>
          <w:lang w:val="en-US"/>
        </w:rPr>
        <w:t>As described in the SIDS Dossier, i</w:t>
      </w:r>
      <w:r w:rsidRPr="004B7EF4">
        <w:rPr>
          <w:lang w:val="en-US"/>
        </w:rPr>
        <w:t xml:space="preserve">n a developmental </w:t>
      </w:r>
      <w:r>
        <w:rPr>
          <w:lang w:val="en-US"/>
        </w:rPr>
        <w:t xml:space="preserve">toxicity </w:t>
      </w:r>
      <w:r w:rsidRPr="004B7EF4">
        <w:rPr>
          <w:lang w:val="en-US"/>
        </w:rPr>
        <w:t>study</w:t>
      </w:r>
      <w:r>
        <w:rPr>
          <w:lang w:val="en-US"/>
        </w:rPr>
        <w:t>,</w:t>
      </w:r>
      <w:r w:rsidRPr="004B7EF4">
        <w:rPr>
          <w:lang w:val="en-US"/>
        </w:rPr>
        <w:t xml:space="preserve"> 15 Sprague Dawley dams were exposed to 6.65, 13.3</w:t>
      </w:r>
      <w:r>
        <w:rPr>
          <w:lang w:val="en-US"/>
        </w:rPr>
        <w:t>,</w:t>
      </w:r>
      <w:r w:rsidRPr="004B7EF4">
        <w:rPr>
          <w:lang w:val="en-US"/>
        </w:rPr>
        <w:t xml:space="preserve"> and 26.6 mg/L </w:t>
      </w:r>
      <w:r>
        <w:rPr>
          <w:lang w:val="en-US"/>
        </w:rPr>
        <w:t>m</w:t>
      </w:r>
      <w:r w:rsidRPr="004B7EF4">
        <w:rPr>
          <w:lang w:val="en-US"/>
        </w:rPr>
        <w:t>ethanol (</w:t>
      </w:r>
      <w:r>
        <w:rPr>
          <w:lang w:val="en-US"/>
        </w:rPr>
        <w:t>c</w:t>
      </w:r>
      <w:r w:rsidRPr="004B7EF4">
        <w:rPr>
          <w:lang w:val="en-US"/>
        </w:rPr>
        <w:t>orresponding to 5000, 10</w:t>
      </w:r>
      <w:r>
        <w:rPr>
          <w:lang w:val="en-US"/>
        </w:rPr>
        <w:t>,</w:t>
      </w:r>
      <w:r w:rsidRPr="004B7EF4">
        <w:rPr>
          <w:lang w:val="en-US"/>
        </w:rPr>
        <w:t>000</w:t>
      </w:r>
      <w:r>
        <w:rPr>
          <w:lang w:val="en-US"/>
        </w:rPr>
        <w:t>,</w:t>
      </w:r>
      <w:r w:rsidRPr="004B7EF4">
        <w:rPr>
          <w:lang w:val="en-US"/>
        </w:rPr>
        <w:t xml:space="preserve"> and 20</w:t>
      </w:r>
      <w:r>
        <w:rPr>
          <w:lang w:val="en-US"/>
        </w:rPr>
        <w:t>,</w:t>
      </w:r>
      <w:r w:rsidRPr="004B7EF4">
        <w:rPr>
          <w:lang w:val="en-US"/>
        </w:rPr>
        <w:t>000 ppm) by whole body inhalation on gestation days 1 to 19 at the two lowest doses and days 7 to 15 at the highest dose for 7 hours/day</w:t>
      </w:r>
      <w:r>
        <w:rPr>
          <w:lang w:val="en-US"/>
        </w:rPr>
        <w:t xml:space="preserve"> for 21 d</w:t>
      </w:r>
      <w:r w:rsidRPr="004B7EF4">
        <w:rPr>
          <w:lang w:val="en-US"/>
        </w:rPr>
        <w:t xml:space="preserve"> (Nelson </w:t>
      </w:r>
      <w:r w:rsidRPr="00956920">
        <w:rPr>
          <w:i/>
          <w:iCs/>
          <w:lang w:val="en-US"/>
        </w:rPr>
        <w:t>et al</w:t>
      </w:r>
      <w:r w:rsidRPr="004B7EF4">
        <w:rPr>
          <w:lang w:val="en-US"/>
        </w:rPr>
        <w:t>., 1985</w:t>
      </w:r>
      <w:r>
        <w:rPr>
          <w:lang w:val="en-US"/>
        </w:rPr>
        <w:t>a</w:t>
      </w:r>
      <w:r w:rsidRPr="004B7EF4">
        <w:rPr>
          <w:lang w:val="en-US"/>
        </w:rPr>
        <w:t xml:space="preserve">). Malformations and fetal weight changes were observed and resulted in a NOAEC of 6.65 mg/L/d (the lowest dose tested). The NOAEC for </w:t>
      </w:r>
      <w:r>
        <w:rPr>
          <w:lang w:val="en-US"/>
        </w:rPr>
        <w:t>m</w:t>
      </w:r>
      <w:r w:rsidRPr="004B7EF4">
        <w:rPr>
          <w:lang w:val="en-US"/>
        </w:rPr>
        <w:t>aternal toxicity was 13.3 mg/L/d</w:t>
      </w:r>
      <w:r>
        <w:rPr>
          <w:lang w:val="en-US"/>
        </w:rPr>
        <w:t>ay</w:t>
      </w:r>
      <w:r w:rsidRPr="004B7EF4">
        <w:rPr>
          <w:lang w:val="en-US"/>
        </w:rPr>
        <w:t>.</w:t>
      </w:r>
    </w:p>
    <w:p w:rsidR="001D41E2" w:rsidRPr="004B7EF4" w:rsidRDefault="001D41E2" w:rsidP="00DE56B0">
      <w:pPr>
        <w:pStyle w:val="NormalWeb"/>
        <w:spacing w:before="0" w:beforeAutospacing="0"/>
        <w:jc w:val="both"/>
        <w:rPr>
          <w:lang w:val="en-US"/>
        </w:rPr>
      </w:pPr>
      <w:r>
        <w:rPr>
          <w:lang w:val="en-US"/>
        </w:rPr>
        <w:t>In a</w:t>
      </w:r>
      <w:r w:rsidRPr="004B7EF4">
        <w:rPr>
          <w:lang w:val="en-US"/>
        </w:rPr>
        <w:t xml:space="preserve"> whole-body inhalation developmental </w:t>
      </w:r>
      <w:r>
        <w:rPr>
          <w:lang w:val="en-US"/>
        </w:rPr>
        <w:t xml:space="preserve">toxicity </w:t>
      </w:r>
      <w:r w:rsidRPr="004B7EF4">
        <w:rPr>
          <w:lang w:val="en-US"/>
        </w:rPr>
        <w:t>study</w:t>
      </w:r>
      <w:r>
        <w:rPr>
          <w:lang w:val="en-US"/>
        </w:rPr>
        <w:t xml:space="preserve"> comparable to OECD TG 414,</w:t>
      </w:r>
      <w:r w:rsidRPr="004B7EF4">
        <w:rPr>
          <w:lang w:val="en-US"/>
        </w:rPr>
        <w:t xml:space="preserve"> </w:t>
      </w:r>
      <w:r>
        <w:rPr>
          <w:lang w:val="en-US"/>
        </w:rPr>
        <w:t xml:space="preserve">Sprague-Dawley </w:t>
      </w:r>
      <w:r w:rsidRPr="004B7EF4">
        <w:rPr>
          <w:lang w:val="en-US"/>
        </w:rPr>
        <w:t>rats were exposed on gestation days 7 to 17 for 23 hours/day</w:t>
      </w:r>
      <w:r>
        <w:rPr>
          <w:lang w:val="en-US"/>
        </w:rPr>
        <w:t xml:space="preserve"> to </w:t>
      </w:r>
      <w:r w:rsidRPr="004B7EF4">
        <w:rPr>
          <w:lang w:val="en-US"/>
        </w:rPr>
        <w:t xml:space="preserve"> 0.27, 1</w:t>
      </w:r>
      <w:r>
        <w:rPr>
          <w:lang w:val="en-US"/>
        </w:rPr>
        <w:t>.</w:t>
      </w:r>
      <w:r w:rsidRPr="004B7EF4">
        <w:rPr>
          <w:lang w:val="en-US"/>
        </w:rPr>
        <w:t xml:space="preserve">33, </w:t>
      </w:r>
      <w:r>
        <w:rPr>
          <w:lang w:val="en-US"/>
        </w:rPr>
        <w:t xml:space="preserve">and </w:t>
      </w:r>
      <w:r w:rsidRPr="004B7EF4">
        <w:rPr>
          <w:lang w:val="en-US"/>
        </w:rPr>
        <w:t>6</w:t>
      </w:r>
      <w:r>
        <w:rPr>
          <w:lang w:val="en-US"/>
        </w:rPr>
        <w:t>.</w:t>
      </w:r>
      <w:r w:rsidRPr="004B7EF4">
        <w:rPr>
          <w:lang w:val="en-US"/>
        </w:rPr>
        <w:t>65 mg/L</w:t>
      </w:r>
      <w:r>
        <w:rPr>
          <w:lang w:val="en-US"/>
        </w:rPr>
        <w:t xml:space="preserve"> methanol (c</w:t>
      </w:r>
      <w:r w:rsidRPr="004B7EF4">
        <w:rPr>
          <w:lang w:val="en-US"/>
        </w:rPr>
        <w:t xml:space="preserve">orresponding to 200, 1000 and 5000 ppm). Malformations, increased </w:t>
      </w:r>
      <w:r>
        <w:rPr>
          <w:lang w:val="en-US"/>
        </w:rPr>
        <w:t xml:space="preserve">late </w:t>
      </w:r>
      <w:r w:rsidRPr="004B7EF4">
        <w:rPr>
          <w:lang w:val="en-US"/>
        </w:rPr>
        <w:t>resorptions, and decreased numbers of live fetuses were observed</w:t>
      </w:r>
      <w:r>
        <w:rPr>
          <w:lang w:val="en-US"/>
        </w:rPr>
        <w:t xml:space="preserve"> at the highest exposure concentration. The</w:t>
      </w:r>
      <w:r w:rsidRPr="004B7EF4">
        <w:rPr>
          <w:lang w:val="en-US"/>
        </w:rPr>
        <w:t xml:space="preserve"> NOAEC </w:t>
      </w:r>
      <w:r>
        <w:rPr>
          <w:lang w:val="en-US"/>
        </w:rPr>
        <w:t>for maternal and developmental toxicity was</w:t>
      </w:r>
      <w:r w:rsidRPr="004B7EF4">
        <w:rPr>
          <w:lang w:val="en-US"/>
        </w:rPr>
        <w:t xml:space="preserve"> 1.33 mg/L/d</w:t>
      </w:r>
      <w:r>
        <w:rPr>
          <w:lang w:val="en-US"/>
        </w:rPr>
        <w:t>ay</w:t>
      </w:r>
      <w:r w:rsidRPr="004B7EF4">
        <w:rPr>
          <w:lang w:val="en-US"/>
        </w:rPr>
        <w:t xml:space="preserve"> (</w:t>
      </w:r>
      <w:r>
        <w:rPr>
          <w:lang w:val="en-US"/>
        </w:rPr>
        <w:t xml:space="preserve">OECD 2004a: </w:t>
      </w:r>
      <w:r w:rsidRPr="004B7EF4">
        <w:rPr>
          <w:lang w:val="en-US"/>
        </w:rPr>
        <w:t>Takeda</w:t>
      </w:r>
      <w:r>
        <w:rPr>
          <w:lang w:val="en-US"/>
        </w:rPr>
        <w:t xml:space="preserve"> </w:t>
      </w:r>
      <w:r w:rsidRPr="004B7EF4">
        <w:rPr>
          <w:lang w:val="en-US"/>
        </w:rPr>
        <w:t>and Katoh</w:t>
      </w:r>
      <w:r>
        <w:rPr>
          <w:lang w:val="en-US"/>
        </w:rPr>
        <w:t>,</w:t>
      </w:r>
      <w:r w:rsidRPr="004B7EF4">
        <w:rPr>
          <w:lang w:val="en-US"/>
        </w:rPr>
        <w:t xml:space="preserve"> 1988). </w:t>
      </w:r>
    </w:p>
    <w:p w:rsidR="001D41E2" w:rsidRDefault="001D41E2" w:rsidP="00DE56B0">
      <w:pPr>
        <w:pStyle w:val="NormalWeb"/>
        <w:spacing w:before="0" w:beforeAutospacing="0"/>
        <w:jc w:val="both"/>
        <w:rPr>
          <w:lang w:val="en-US"/>
        </w:rPr>
      </w:pPr>
      <w:r>
        <w:rPr>
          <w:lang w:val="en-US"/>
        </w:rPr>
        <w:t>A developmental whole-</w:t>
      </w:r>
      <w:r w:rsidRPr="004B7EF4">
        <w:rPr>
          <w:lang w:val="en-US"/>
        </w:rPr>
        <w:t>body inhalation study</w:t>
      </w:r>
      <w:r>
        <w:rPr>
          <w:lang w:val="en-US"/>
        </w:rPr>
        <w:t xml:space="preserve"> (</w:t>
      </w:r>
      <w:r w:rsidRPr="001C3B9B">
        <w:rPr>
          <w:lang w:val="en-US"/>
        </w:rPr>
        <w:t>OECD</w:t>
      </w:r>
      <w:r>
        <w:rPr>
          <w:lang w:val="en-US"/>
        </w:rPr>
        <w:t xml:space="preserve"> </w:t>
      </w:r>
      <w:r w:rsidRPr="001C3B9B">
        <w:rPr>
          <w:lang w:val="en-US"/>
        </w:rPr>
        <w:t xml:space="preserve">2004a: </w:t>
      </w:r>
      <w:r>
        <w:rPr>
          <w:lang w:val="en-US"/>
        </w:rPr>
        <w:t xml:space="preserve">Rogers </w:t>
      </w:r>
      <w:r w:rsidRPr="00956920">
        <w:rPr>
          <w:i/>
          <w:iCs/>
          <w:lang w:val="en-US"/>
        </w:rPr>
        <w:t>et al</w:t>
      </w:r>
      <w:r>
        <w:rPr>
          <w:lang w:val="en-US"/>
        </w:rPr>
        <w:t>. 1993)</w:t>
      </w:r>
      <w:r w:rsidRPr="004B7EF4">
        <w:rPr>
          <w:lang w:val="en-US"/>
        </w:rPr>
        <w:t xml:space="preserve"> in mice exposed</w:t>
      </w:r>
      <w:r w:rsidRPr="00D021F9">
        <w:rPr>
          <w:lang w:val="en-US"/>
        </w:rPr>
        <w:t xml:space="preserve"> </w:t>
      </w:r>
      <w:r>
        <w:rPr>
          <w:lang w:val="en-US"/>
        </w:rPr>
        <w:t xml:space="preserve">to </w:t>
      </w:r>
      <w:r w:rsidRPr="00BA0683">
        <w:rPr>
          <w:lang w:val="en-US"/>
        </w:rPr>
        <w:t>1.33, 2.66, 6.65, 9.97, 13.3, 19.94 mg/</w:t>
      </w:r>
      <w:r>
        <w:rPr>
          <w:lang w:val="en-US"/>
        </w:rPr>
        <w:t>L</w:t>
      </w:r>
      <w:r w:rsidRPr="004B7EF4">
        <w:rPr>
          <w:lang w:val="en-US"/>
        </w:rPr>
        <w:t xml:space="preserve"> on gestation days 6 to 15 for 7 hrs/day </w:t>
      </w:r>
      <w:r>
        <w:rPr>
          <w:lang w:val="en-US"/>
        </w:rPr>
        <w:t>showed</w:t>
      </w:r>
      <w:r w:rsidRPr="004B7EF4">
        <w:rPr>
          <w:lang w:val="en-US"/>
        </w:rPr>
        <w:t xml:space="preserve"> developmental effects including increased exencephaly and cleft palate, </w:t>
      </w:r>
      <w:r>
        <w:rPr>
          <w:lang w:val="en-US"/>
        </w:rPr>
        <w:t xml:space="preserve">skeletal abnormalities, </w:t>
      </w:r>
      <w:r w:rsidRPr="004B7EF4">
        <w:rPr>
          <w:lang w:val="en-US"/>
        </w:rPr>
        <w:t>fully resorbed fetuses, decreased numbers of live pups, and decreased body weights</w:t>
      </w:r>
      <w:r>
        <w:rPr>
          <w:lang w:val="en-US"/>
        </w:rPr>
        <w:t xml:space="preserve">. </w:t>
      </w:r>
      <w:r w:rsidRPr="004B7EF4">
        <w:rPr>
          <w:lang w:val="en-US"/>
        </w:rPr>
        <w:t xml:space="preserve"> </w:t>
      </w:r>
      <w:r>
        <w:rPr>
          <w:lang w:val="en-US"/>
        </w:rPr>
        <w:t>T</w:t>
      </w:r>
      <w:r w:rsidRPr="004B7EF4">
        <w:rPr>
          <w:lang w:val="en-US"/>
        </w:rPr>
        <w:t xml:space="preserve">his NOAEC </w:t>
      </w:r>
      <w:r>
        <w:rPr>
          <w:lang w:val="en-US"/>
        </w:rPr>
        <w:t>for developmental toxicity was</w:t>
      </w:r>
      <w:r w:rsidRPr="004B7EF4">
        <w:rPr>
          <w:lang w:val="en-US"/>
        </w:rPr>
        <w:t xml:space="preserve"> 1.33 mg/L/d</w:t>
      </w:r>
      <w:r>
        <w:rPr>
          <w:lang w:val="en-US"/>
        </w:rPr>
        <w:t>ay</w:t>
      </w:r>
      <w:r w:rsidRPr="004B7EF4">
        <w:rPr>
          <w:lang w:val="en-US"/>
        </w:rPr>
        <w:t xml:space="preserve">. </w:t>
      </w:r>
      <w:r>
        <w:rPr>
          <w:lang w:val="en-US"/>
        </w:rPr>
        <w:t xml:space="preserve"> No maternal toxicity was observed in this study.</w:t>
      </w:r>
    </w:p>
    <w:p w:rsidR="001D41E2" w:rsidRPr="004B7EF4" w:rsidRDefault="001D41E2" w:rsidP="00DE56B0">
      <w:pPr>
        <w:pStyle w:val="NormalWeb"/>
        <w:spacing w:before="0" w:beforeAutospacing="0"/>
        <w:jc w:val="both"/>
        <w:rPr>
          <w:lang w:val="en-US"/>
        </w:rPr>
      </w:pPr>
      <w:r w:rsidRPr="004B7EF4">
        <w:rPr>
          <w:lang w:val="en-US"/>
        </w:rPr>
        <w:t xml:space="preserve">Oral studies in mice </w:t>
      </w:r>
      <w:r>
        <w:rPr>
          <w:lang w:val="en-US"/>
        </w:rPr>
        <w:t xml:space="preserve">exposed to methanol </w:t>
      </w:r>
      <w:r w:rsidRPr="004B7EF4">
        <w:rPr>
          <w:lang w:val="en-US"/>
        </w:rPr>
        <w:t>resulted in various malformations at 4000 mg/kg</w:t>
      </w:r>
      <w:r>
        <w:rPr>
          <w:lang w:val="en-US"/>
        </w:rPr>
        <w:t xml:space="preserve"> bw</w:t>
      </w:r>
      <w:r w:rsidRPr="004B7EF4">
        <w:rPr>
          <w:lang w:val="en-US"/>
        </w:rPr>
        <w:t>/d</w:t>
      </w:r>
      <w:r>
        <w:rPr>
          <w:lang w:val="en-US"/>
        </w:rPr>
        <w:t>ay</w:t>
      </w:r>
      <w:r w:rsidRPr="004B7EF4">
        <w:rPr>
          <w:lang w:val="en-US"/>
        </w:rPr>
        <w:t xml:space="preserve"> (the LOAEL) and higher; no NOAELs could be established from the</w:t>
      </w:r>
      <w:r>
        <w:rPr>
          <w:lang w:val="en-US"/>
        </w:rPr>
        <w:t>se</w:t>
      </w:r>
      <w:r w:rsidRPr="004B7EF4">
        <w:rPr>
          <w:lang w:val="en-US"/>
        </w:rPr>
        <w:t xml:space="preserve"> oral studies</w:t>
      </w:r>
      <w:r>
        <w:rPr>
          <w:lang w:val="en-US"/>
        </w:rPr>
        <w:t xml:space="preserve"> (</w:t>
      </w:r>
      <w:r w:rsidRPr="001C3B9B">
        <w:rPr>
          <w:lang w:val="en-US"/>
        </w:rPr>
        <w:t>OECD</w:t>
      </w:r>
      <w:r>
        <w:rPr>
          <w:lang w:val="en-US"/>
        </w:rPr>
        <w:t xml:space="preserve"> </w:t>
      </w:r>
      <w:r w:rsidRPr="001C3B9B">
        <w:rPr>
          <w:lang w:val="en-US"/>
        </w:rPr>
        <w:t>2004a</w:t>
      </w:r>
      <w:proofErr w:type="gramStart"/>
      <w:r w:rsidRPr="001C3B9B">
        <w:rPr>
          <w:lang w:val="en-US"/>
        </w:rPr>
        <w:t>: :</w:t>
      </w:r>
      <w:proofErr w:type="gramEnd"/>
      <w:r w:rsidRPr="001C3B9B">
        <w:rPr>
          <w:lang w:val="en-US"/>
        </w:rPr>
        <w:t xml:space="preserve"> </w:t>
      </w:r>
      <w:r>
        <w:rPr>
          <w:lang w:val="en-US"/>
        </w:rPr>
        <w:t xml:space="preserve">Rogers </w:t>
      </w:r>
      <w:r w:rsidRPr="00956920">
        <w:rPr>
          <w:i/>
          <w:iCs/>
          <w:lang w:val="en-US"/>
        </w:rPr>
        <w:t>et al</w:t>
      </w:r>
      <w:r>
        <w:rPr>
          <w:lang w:val="en-US"/>
        </w:rPr>
        <w:t>.  1997</w:t>
      </w:r>
      <w:r w:rsidRPr="001C3B9B">
        <w:rPr>
          <w:lang w:val="en-US"/>
        </w:rPr>
        <w:t>)</w:t>
      </w:r>
      <w:r w:rsidRPr="004B7EF4">
        <w:rPr>
          <w:lang w:val="en-US"/>
        </w:rPr>
        <w:t xml:space="preserve">. </w:t>
      </w:r>
    </w:p>
    <w:p w:rsidR="001D41E2" w:rsidRPr="004B7EF4" w:rsidRDefault="001D41E2" w:rsidP="00DE56B0">
      <w:pPr>
        <w:pStyle w:val="NormalWeb"/>
        <w:jc w:val="both"/>
        <w:rPr>
          <w:lang w:val="en-US"/>
        </w:rPr>
      </w:pPr>
      <w:r w:rsidRPr="004B7EF4">
        <w:rPr>
          <w:b/>
          <w:bCs/>
          <w:i/>
          <w:iCs/>
          <w:lang w:val="en-US"/>
        </w:rPr>
        <w:t>Et</w:t>
      </w:r>
      <w:r w:rsidRPr="004B7EF4">
        <w:rPr>
          <w:lang w:val="en-US"/>
        </w:rPr>
        <w:t xml:space="preserve">: </w:t>
      </w:r>
      <w:r>
        <w:rPr>
          <w:lang w:val="en-US"/>
        </w:rPr>
        <w:t>As described in the SIDS Dossier, i</w:t>
      </w:r>
      <w:r w:rsidRPr="004B7EF4">
        <w:rPr>
          <w:lang w:val="en-US"/>
        </w:rPr>
        <w:t>n a teratogenicity study</w:t>
      </w:r>
      <w:r>
        <w:rPr>
          <w:lang w:val="en-US"/>
        </w:rPr>
        <w:t>,</w:t>
      </w:r>
      <w:r w:rsidRPr="004B7EF4">
        <w:rPr>
          <w:lang w:val="en-US"/>
        </w:rPr>
        <w:t xml:space="preserve"> 16 </w:t>
      </w:r>
      <w:r>
        <w:rPr>
          <w:lang w:val="en-US"/>
        </w:rPr>
        <w:t>pregnant</w:t>
      </w:r>
      <w:r w:rsidRPr="004B7EF4">
        <w:rPr>
          <w:lang w:val="en-US"/>
        </w:rPr>
        <w:t xml:space="preserve"> Sprague-Dawley rats were exposed to 10</w:t>
      </w:r>
      <w:r>
        <w:rPr>
          <w:lang w:val="en-US"/>
        </w:rPr>
        <w:t>,</w:t>
      </w:r>
      <w:r w:rsidRPr="004B7EF4">
        <w:rPr>
          <w:lang w:val="en-US"/>
        </w:rPr>
        <w:t>000, 16</w:t>
      </w:r>
      <w:r>
        <w:rPr>
          <w:lang w:val="en-US"/>
        </w:rPr>
        <w:t>,</w:t>
      </w:r>
      <w:r w:rsidRPr="004B7EF4">
        <w:rPr>
          <w:lang w:val="en-US"/>
        </w:rPr>
        <w:t>000 and 20</w:t>
      </w:r>
      <w:r>
        <w:rPr>
          <w:lang w:val="en-US"/>
        </w:rPr>
        <w:t>,</w:t>
      </w:r>
      <w:r w:rsidRPr="004B7EF4">
        <w:rPr>
          <w:lang w:val="en-US"/>
        </w:rPr>
        <w:t xml:space="preserve">000 ppm Et </w:t>
      </w:r>
      <w:r w:rsidR="000D75AE">
        <w:rPr>
          <w:lang w:val="en-US"/>
        </w:rPr>
        <w:t xml:space="preserve">(ca. 19, 30 and 38 mg/L/day) </w:t>
      </w:r>
      <w:r w:rsidRPr="004B7EF4">
        <w:rPr>
          <w:lang w:val="en-US"/>
        </w:rPr>
        <w:t>from day</w:t>
      </w:r>
      <w:r>
        <w:rPr>
          <w:lang w:val="en-US"/>
        </w:rPr>
        <w:t>s</w:t>
      </w:r>
      <w:r w:rsidRPr="004B7EF4">
        <w:rPr>
          <w:lang w:val="en-US"/>
        </w:rPr>
        <w:t xml:space="preserve"> 1 to 19 </w:t>
      </w:r>
      <w:r>
        <w:rPr>
          <w:lang w:val="en-US"/>
        </w:rPr>
        <w:t xml:space="preserve">of gestation </w:t>
      </w:r>
      <w:r w:rsidRPr="004B7EF4">
        <w:rPr>
          <w:lang w:val="en-US"/>
        </w:rPr>
        <w:t>for 17 h/day (</w:t>
      </w:r>
      <w:r>
        <w:rPr>
          <w:lang w:val="en-US"/>
        </w:rPr>
        <w:t>OECD 2005:</w:t>
      </w:r>
      <w:r w:rsidRPr="004B7EF4">
        <w:rPr>
          <w:lang w:val="en-US"/>
        </w:rPr>
        <w:t xml:space="preserve">Nelson </w:t>
      </w:r>
      <w:r w:rsidRPr="00956920">
        <w:rPr>
          <w:i/>
          <w:iCs/>
          <w:lang w:val="en-US"/>
        </w:rPr>
        <w:t>et al</w:t>
      </w:r>
      <w:r>
        <w:rPr>
          <w:i/>
          <w:iCs/>
          <w:lang w:val="en-US"/>
        </w:rPr>
        <w:t>.</w:t>
      </w:r>
      <w:r w:rsidRPr="004B7EF4">
        <w:rPr>
          <w:lang w:val="en-US"/>
        </w:rPr>
        <w:t xml:space="preserve"> 1985</w:t>
      </w:r>
      <w:r>
        <w:rPr>
          <w:lang w:val="en-US"/>
        </w:rPr>
        <w:t>a</w:t>
      </w:r>
      <w:r w:rsidRPr="004B7EF4">
        <w:rPr>
          <w:lang w:val="en-US"/>
        </w:rPr>
        <w:t>). The numbers of corpora lutea, implantations and resorptions were not affected. The highest dose induced complete narcosis (described as severe toxicity). Consequently</w:t>
      </w:r>
      <w:r>
        <w:rPr>
          <w:lang w:val="en-US"/>
        </w:rPr>
        <w:t>,</w:t>
      </w:r>
      <w:r w:rsidRPr="004B7EF4">
        <w:rPr>
          <w:lang w:val="en-US"/>
        </w:rPr>
        <w:t xml:space="preserve"> food consumption was lowered in the high-dose group. Lower doses did not cause narcosis but caused hyperactivity after exposure. Maternal weight gains were not affected by treatment. Blood alcohol levels ranged 0.02</w:t>
      </w:r>
      <w:r>
        <w:rPr>
          <w:lang w:val="en-US"/>
        </w:rPr>
        <w:t>-</w:t>
      </w:r>
      <w:r w:rsidRPr="004B7EF4">
        <w:rPr>
          <w:lang w:val="en-US"/>
        </w:rPr>
        <w:t>0.04 mg/m</w:t>
      </w:r>
      <w:r>
        <w:rPr>
          <w:lang w:val="en-US"/>
        </w:rPr>
        <w:t>L</w:t>
      </w:r>
      <w:r w:rsidRPr="004B7EF4">
        <w:rPr>
          <w:lang w:val="en-US"/>
        </w:rPr>
        <w:t xml:space="preserve"> at 10</w:t>
      </w:r>
      <w:r>
        <w:rPr>
          <w:lang w:val="en-US"/>
        </w:rPr>
        <w:t>,</w:t>
      </w:r>
      <w:r w:rsidRPr="004B7EF4">
        <w:rPr>
          <w:lang w:val="en-US"/>
        </w:rPr>
        <w:t>000</w:t>
      </w:r>
      <w:r>
        <w:rPr>
          <w:lang w:val="en-US"/>
        </w:rPr>
        <w:t xml:space="preserve"> </w:t>
      </w:r>
      <w:r w:rsidRPr="004B7EF4">
        <w:rPr>
          <w:lang w:val="en-US"/>
        </w:rPr>
        <w:t>ppm, 0.43</w:t>
      </w:r>
      <w:r>
        <w:rPr>
          <w:lang w:val="en-US"/>
        </w:rPr>
        <w:t>-</w:t>
      </w:r>
      <w:r w:rsidRPr="004B7EF4">
        <w:rPr>
          <w:lang w:val="en-US"/>
        </w:rPr>
        <w:t>0.53 mg/ml at 16</w:t>
      </w:r>
      <w:r>
        <w:rPr>
          <w:lang w:val="en-US"/>
        </w:rPr>
        <w:t>,</w:t>
      </w:r>
      <w:r w:rsidRPr="004B7EF4">
        <w:rPr>
          <w:lang w:val="en-US"/>
        </w:rPr>
        <w:t>000</w:t>
      </w:r>
      <w:r w:rsidR="00F83C2F">
        <w:rPr>
          <w:lang w:val="en-US"/>
        </w:rPr>
        <w:t xml:space="preserve"> </w:t>
      </w:r>
      <w:r w:rsidRPr="004B7EF4">
        <w:rPr>
          <w:lang w:val="en-US"/>
        </w:rPr>
        <w:t>ppm and 1.48</w:t>
      </w:r>
      <w:r>
        <w:rPr>
          <w:lang w:val="en-US"/>
        </w:rPr>
        <w:t>-</w:t>
      </w:r>
      <w:r w:rsidRPr="004B7EF4">
        <w:rPr>
          <w:lang w:val="en-US"/>
        </w:rPr>
        <w:t>1.93 mg/m</w:t>
      </w:r>
      <w:r>
        <w:rPr>
          <w:lang w:val="en-US"/>
        </w:rPr>
        <w:t>L</w:t>
      </w:r>
      <w:r w:rsidRPr="004B7EF4">
        <w:rPr>
          <w:lang w:val="en-US"/>
        </w:rPr>
        <w:t xml:space="preserve"> at 20</w:t>
      </w:r>
      <w:r>
        <w:rPr>
          <w:lang w:val="en-US"/>
        </w:rPr>
        <w:t>,</w:t>
      </w:r>
      <w:r w:rsidRPr="004B7EF4">
        <w:rPr>
          <w:lang w:val="en-US"/>
        </w:rPr>
        <w:t>000</w:t>
      </w:r>
      <w:r>
        <w:rPr>
          <w:lang w:val="en-US"/>
        </w:rPr>
        <w:t xml:space="preserve"> </w:t>
      </w:r>
      <w:r w:rsidRPr="004B7EF4">
        <w:rPr>
          <w:lang w:val="en-US"/>
        </w:rPr>
        <w:t xml:space="preserve">ppm. Measurements were made on non-pregnant rats and represent the ranges of the average values measured at days 1, 10 and 19. Litter weights were not significantly affected </w:t>
      </w:r>
      <w:r>
        <w:rPr>
          <w:lang w:val="en-US"/>
        </w:rPr>
        <w:t>after</w:t>
      </w:r>
      <w:r w:rsidRPr="004B7EF4">
        <w:rPr>
          <w:lang w:val="en-US"/>
        </w:rPr>
        <w:t xml:space="preserve"> ethanol </w:t>
      </w:r>
      <w:r>
        <w:rPr>
          <w:lang w:val="en-US"/>
        </w:rPr>
        <w:t>exposure</w:t>
      </w:r>
      <w:r w:rsidRPr="004B7EF4">
        <w:rPr>
          <w:lang w:val="en-US"/>
        </w:rPr>
        <w:t xml:space="preserve">. </w:t>
      </w:r>
      <w:r>
        <w:rPr>
          <w:lang w:val="en-US"/>
        </w:rPr>
        <w:t>The s</w:t>
      </w:r>
      <w:r w:rsidRPr="004B7EF4">
        <w:rPr>
          <w:lang w:val="en-US"/>
        </w:rPr>
        <w:t xml:space="preserve">ex ratio </w:t>
      </w:r>
      <w:r>
        <w:rPr>
          <w:lang w:val="en-US"/>
        </w:rPr>
        <w:t xml:space="preserve">of the litters </w:t>
      </w:r>
      <w:r w:rsidRPr="004B7EF4">
        <w:rPr>
          <w:lang w:val="en-US"/>
        </w:rPr>
        <w:t xml:space="preserve">did not differ significantly from controls. </w:t>
      </w:r>
      <w:r w:rsidRPr="006135D1">
        <w:rPr>
          <w:lang w:val="en-US"/>
        </w:rPr>
        <w:t xml:space="preserve">Grossly visible abnormalities did not differ significantly between groups. </w:t>
      </w:r>
      <w:r w:rsidRPr="004B7EF4">
        <w:rPr>
          <w:lang w:val="en-US"/>
        </w:rPr>
        <w:t>No definite evidence of malformations due to ethanol exposure w</w:t>
      </w:r>
      <w:r>
        <w:rPr>
          <w:lang w:val="en-US"/>
        </w:rPr>
        <w:t>as</w:t>
      </w:r>
      <w:r w:rsidRPr="004B7EF4">
        <w:rPr>
          <w:lang w:val="en-US"/>
        </w:rPr>
        <w:t xml:space="preserve"> seen although the incidence of abnormal changes </w:t>
      </w:r>
      <w:r>
        <w:rPr>
          <w:lang w:val="en-US"/>
        </w:rPr>
        <w:t xml:space="preserve">(no. of litters with abnormal fetuses) </w:t>
      </w:r>
      <w:r w:rsidRPr="004B7EF4">
        <w:rPr>
          <w:lang w:val="en-US"/>
        </w:rPr>
        <w:t>at the highest concentration was of borderline significance.</w:t>
      </w:r>
    </w:p>
    <w:p w:rsidR="001D41E2" w:rsidRDefault="001D41E2" w:rsidP="00DE56B0">
      <w:pPr>
        <w:pStyle w:val="NormalWeb"/>
        <w:jc w:val="both"/>
        <w:rPr>
          <w:lang w:val="en-US"/>
        </w:rPr>
      </w:pPr>
      <w:r>
        <w:rPr>
          <w:lang w:val="en-US"/>
        </w:rPr>
        <w:t>In a similar study, 18</w:t>
      </w:r>
      <w:r w:rsidRPr="004B7EF4">
        <w:rPr>
          <w:lang w:val="en-US"/>
        </w:rPr>
        <w:t xml:space="preserve"> </w:t>
      </w:r>
      <w:r>
        <w:rPr>
          <w:lang w:val="en-US"/>
        </w:rPr>
        <w:t>pregnant</w:t>
      </w:r>
      <w:r w:rsidRPr="004B7EF4">
        <w:rPr>
          <w:lang w:val="en-US"/>
        </w:rPr>
        <w:t xml:space="preserve"> Sprague-Dawley rats were exposed </w:t>
      </w:r>
      <w:r>
        <w:rPr>
          <w:lang w:val="en-US"/>
        </w:rPr>
        <w:t xml:space="preserve">via inhalation </w:t>
      </w:r>
      <w:r w:rsidRPr="004B7EF4">
        <w:rPr>
          <w:lang w:val="en-US"/>
        </w:rPr>
        <w:t>throughout gestation</w:t>
      </w:r>
      <w:r>
        <w:rPr>
          <w:lang w:val="en-US"/>
        </w:rPr>
        <w:t xml:space="preserve"> to </w:t>
      </w:r>
      <w:r w:rsidRPr="004B7EF4">
        <w:rPr>
          <w:lang w:val="en-US"/>
        </w:rPr>
        <w:t>0, 10</w:t>
      </w:r>
      <w:r>
        <w:rPr>
          <w:lang w:val="en-US"/>
        </w:rPr>
        <w:t>,</w:t>
      </w:r>
      <w:r w:rsidRPr="004B7EF4">
        <w:rPr>
          <w:lang w:val="en-US"/>
        </w:rPr>
        <w:t>000 or 16</w:t>
      </w:r>
      <w:r>
        <w:rPr>
          <w:lang w:val="en-US"/>
        </w:rPr>
        <w:t>,</w:t>
      </w:r>
      <w:r w:rsidRPr="004B7EF4">
        <w:rPr>
          <w:lang w:val="en-US"/>
        </w:rPr>
        <w:t>000 ppm</w:t>
      </w:r>
      <w:r>
        <w:rPr>
          <w:lang w:val="en-US"/>
        </w:rPr>
        <w:t xml:space="preserve"> </w:t>
      </w:r>
      <w:proofErr w:type="gramStart"/>
      <w:r>
        <w:rPr>
          <w:lang w:val="en-US"/>
        </w:rPr>
        <w:t>Et</w:t>
      </w:r>
      <w:proofErr w:type="gramEnd"/>
      <w:r w:rsidR="000D75AE">
        <w:rPr>
          <w:lang w:val="en-US"/>
        </w:rPr>
        <w:t xml:space="preserve"> (ca. 0, 19 and 30 mg/L/day)</w:t>
      </w:r>
      <w:r w:rsidRPr="004B7EF4">
        <w:rPr>
          <w:lang w:val="en-US"/>
        </w:rPr>
        <w:t xml:space="preserve">, </w:t>
      </w:r>
      <w:r>
        <w:rPr>
          <w:lang w:val="en-US"/>
        </w:rPr>
        <w:t>and</w:t>
      </w:r>
      <w:r w:rsidRPr="004B7EF4">
        <w:rPr>
          <w:lang w:val="en-US"/>
        </w:rPr>
        <w:t xml:space="preserve"> allowed to litter to assess potential behavioral effects in the offspring (</w:t>
      </w:r>
      <w:r>
        <w:rPr>
          <w:lang w:val="en-US"/>
        </w:rPr>
        <w:t xml:space="preserve">OECD 2005: </w:t>
      </w:r>
      <w:r w:rsidRPr="004B7EF4">
        <w:rPr>
          <w:lang w:val="en-US"/>
        </w:rPr>
        <w:t xml:space="preserve">Nelson, 1985b). There were no differences </w:t>
      </w:r>
      <w:r>
        <w:rPr>
          <w:lang w:val="en-US"/>
        </w:rPr>
        <w:t>between</w:t>
      </w:r>
      <w:r w:rsidRPr="004B7EF4">
        <w:rPr>
          <w:lang w:val="en-US"/>
        </w:rPr>
        <w:t xml:space="preserve"> control</w:t>
      </w:r>
      <w:r>
        <w:rPr>
          <w:lang w:val="en-US"/>
        </w:rPr>
        <w:t xml:space="preserve"> and exposed animals</w:t>
      </w:r>
      <w:r w:rsidRPr="004B7EF4">
        <w:rPr>
          <w:lang w:val="en-US"/>
        </w:rPr>
        <w:t xml:space="preserve"> in maternal weight gain or feed and water intake. Litter size and birth weights were unaffected</w:t>
      </w:r>
      <w:r>
        <w:rPr>
          <w:lang w:val="en-US"/>
        </w:rPr>
        <w:t xml:space="preserve"> at all concentrations. </w:t>
      </w:r>
      <w:r w:rsidRPr="004B7EF4">
        <w:rPr>
          <w:lang w:val="en-US"/>
        </w:rPr>
        <w:t>Offspring survival and growth were unaffected and there were no postnatal 'behavioral' effects at the specified maternal exposures</w:t>
      </w:r>
      <w:r>
        <w:rPr>
          <w:lang w:val="en-US"/>
        </w:rPr>
        <w:t xml:space="preserve">. </w:t>
      </w:r>
      <w:r w:rsidRPr="004B7EF4">
        <w:rPr>
          <w:lang w:val="en-US"/>
        </w:rPr>
        <w:t xml:space="preserve"> </w:t>
      </w:r>
      <w:r>
        <w:rPr>
          <w:lang w:val="en-US"/>
        </w:rPr>
        <w:t xml:space="preserve"> The </w:t>
      </w:r>
      <w:r w:rsidRPr="004B7EF4">
        <w:rPr>
          <w:lang w:val="en-US"/>
        </w:rPr>
        <w:t>NOAE</w:t>
      </w:r>
      <w:r>
        <w:rPr>
          <w:lang w:val="en-US"/>
        </w:rPr>
        <w:t>C for developmental toxicity was 16,000 ppm</w:t>
      </w:r>
      <w:r w:rsidR="000D75AE">
        <w:rPr>
          <w:lang w:val="en-US"/>
        </w:rPr>
        <w:t xml:space="preserve"> (ca. 30 mg/L/day)</w:t>
      </w:r>
      <w:r>
        <w:rPr>
          <w:lang w:val="en-US"/>
        </w:rPr>
        <w:t xml:space="preserve"> (</w:t>
      </w:r>
      <w:r w:rsidRPr="004B7EF4">
        <w:rPr>
          <w:lang w:val="en-US"/>
        </w:rPr>
        <w:t xml:space="preserve">highest </w:t>
      </w:r>
      <w:r>
        <w:rPr>
          <w:lang w:val="en-US"/>
        </w:rPr>
        <w:t>concentration</w:t>
      </w:r>
      <w:r w:rsidRPr="004B7EF4">
        <w:rPr>
          <w:lang w:val="en-US"/>
        </w:rPr>
        <w:t xml:space="preserve"> tested</w:t>
      </w:r>
      <w:r>
        <w:rPr>
          <w:lang w:val="en-US"/>
        </w:rPr>
        <w:t>)</w:t>
      </w:r>
      <w:r w:rsidRPr="004B7EF4">
        <w:rPr>
          <w:lang w:val="en-US"/>
        </w:rPr>
        <w:t xml:space="preserve">. </w:t>
      </w:r>
    </w:p>
    <w:p w:rsidR="001D41E2" w:rsidRPr="00EC21C9" w:rsidRDefault="001D41E2" w:rsidP="00DE56B0">
      <w:pPr>
        <w:pStyle w:val="NormalWeb"/>
        <w:spacing w:before="0" w:beforeAutospacing="0" w:after="120" w:afterAutospacing="0"/>
        <w:jc w:val="both"/>
        <w:rPr>
          <w:lang w:val="en-US"/>
        </w:rPr>
      </w:pPr>
      <w:r w:rsidRPr="00EC21C9">
        <w:rPr>
          <w:b/>
          <w:bCs/>
          <w:i/>
          <w:iCs/>
          <w:lang w:val="en-US"/>
        </w:rPr>
        <w:t>Pr</w:t>
      </w:r>
      <w:r w:rsidRPr="00EC21C9">
        <w:rPr>
          <w:lang w:val="en-US"/>
        </w:rPr>
        <w:t xml:space="preserve">: </w:t>
      </w:r>
      <w:r>
        <w:rPr>
          <w:lang w:val="en-US"/>
        </w:rPr>
        <w:t xml:space="preserve"> In a study comparable to OECD TG 414 (deviations included the treatment period and number of animals per exposure concentration)</w:t>
      </w:r>
      <w:proofErr w:type="gramStart"/>
      <w:r>
        <w:rPr>
          <w:lang w:val="en-US"/>
        </w:rPr>
        <w:t>,</w:t>
      </w:r>
      <w:proofErr w:type="gramEnd"/>
      <w:r>
        <w:rPr>
          <w:lang w:val="en-US"/>
        </w:rPr>
        <w:t xml:space="preserve"> Pr</w:t>
      </w:r>
      <w:r w:rsidRPr="00EC21C9">
        <w:rPr>
          <w:lang w:val="en-US"/>
        </w:rPr>
        <w:t xml:space="preserve"> was administered via inhalation to pregnant Sprague Dawley rats </w:t>
      </w:r>
      <w:r>
        <w:rPr>
          <w:lang w:val="en-US"/>
        </w:rPr>
        <w:t>(15/sex/concentration) at</w:t>
      </w:r>
      <w:r w:rsidRPr="00EC21C9">
        <w:rPr>
          <w:lang w:val="en-US"/>
        </w:rPr>
        <w:t xml:space="preserve"> 0, 8.9</w:t>
      </w:r>
      <w:r>
        <w:rPr>
          <w:lang w:val="en-US"/>
        </w:rPr>
        <w:t xml:space="preserve">, </w:t>
      </w:r>
      <w:r w:rsidRPr="00EC21C9">
        <w:rPr>
          <w:lang w:val="en-US"/>
        </w:rPr>
        <w:t xml:space="preserve">17.9 </w:t>
      </w:r>
      <w:r>
        <w:rPr>
          <w:lang w:val="en-US"/>
        </w:rPr>
        <w:t xml:space="preserve">or 25.5 </w:t>
      </w:r>
      <w:r w:rsidRPr="00EC21C9">
        <w:rPr>
          <w:lang w:val="en-US"/>
        </w:rPr>
        <w:t>mg/</w:t>
      </w:r>
      <w:r>
        <w:rPr>
          <w:lang w:val="en-US"/>
        </w:rPr>
        <w:t>L</w:t>
      </w:r>
      <w:r w:rsidRPr="00EC21C9">
        <w:rPr>
          <w:lang w:val="en-US"/>
        </w:rPr>
        <w:t xml:space="preserve">/day, 7 hours/day from days 1 through 19 of gestation. </w:t>
      </w:r>
      <w:r>
        <w:rPr>
          <w:lang w:val="en-US"/>
        </w:rPr>
        <w:t xml:space="preserve">At </w:t>
      </w:r>
      <w:r w:rsidRPr="00EC21C9">
        <w:rPr>
          <w:lang w:val="en-US"/>
        </w:rPr>
        <w:t>17.9 mg/</w:t>
      </w:r>
      <w:r>
        <w:rPr>
          <w:lang w:val="en-US"/>
        </w:rPr>
        <w:t>L and above, s</w:t>
      </w:r>
      <w:r w:rsidRPr="00EC21C9">
        <w:rPr>
          <w:lang w:val="en-US"/>
        </w:rPr>
        <w:t xml:space="preserve">ignificantly reduced body weight gain and reduced feed intake were </w:t>
      </w:r>
      <w:r>
        <w:rPr>
          <w:lang w:val="en-US"/>
        </w:rPr>
        <w:t xml:space="preserve">observed.  No other treatment-related effects were seen. </w:t>
      </w:r>
      <w:r w:rsidRPr="00EC21C9">
        <w:rPr>
          <w:lang w:val="en-US"/>
        </w:rPr>
        <w:t xml:space="preserve"> </w:t>
      </w:r>
      <w:r>
        <w:rPr>
          <w:lang w:val="en-US"/>
        </w:rPr>
        <w:t xml:space="preserve">The </w:t>
      </w:r>
      <w:r w:rsidRPr="00EC21C9">
        <w:rPr>
          <w:lang w:val="en-US"/>
        </w:rPr>
        <w:t>NO</w:t>
      </w:r>
      <w:r>
        <w:rPr>
          <w:lang w:val="en-US"/>
        </w:rPr>
        <w:t>A</w:t>
      </w:r>
      <w:r w:rsidRPr="00EC21C9">
        <w:rPr>
          <w:lang w:val="en-US"/>
        </w:rPr>
        <w:t>EC for maternal toxicity was 8.9 mg/</w:t>
      </w:r>
      <w:r>
        <w:rPr>
          <w:lang w:val="en-US"/>
        </w:rPr>
        <w:t>L/day; the LOAEC was 17.9 mg/L/day</w:t>
      </w:r>
      <w:r w:rsidRPr="00EC21C9">
        <w:rPr>
          <w:lang w:val="en-US"/>
        </w:rPr>
        <w:t>. Fetal body weight</w:t>
      </w:r>
      <w:r>
        <w:rPr>
          <w:lang w:val="en-US"/>
        </w:rPr>
        <w:t>s</w:t>
      </w:r>
      <w:r w:rsidRPr="00EC21C9">
        <w:rPr>
          <w:lang w:val="en-US"/>
        </w:rPr>
        <w:t xml:space="preserve"> were significantly reduced </w:t>
      </w:r>
      <w:r>
        <w:rPr>
          <w:lang w:val="en-US"/>
        </w:rPr>
        <w:t>at</w:t>
      </w:r>
      <w:r w:rsidRPr="00EC21C9">
        <w:rPr>
          <w:lang w:val="en-US"/>
        </w:rPr>
        <w:t xml:space="preserve"> 17.9 mg/</w:t>
      </w:r>
      <w:r>
        <w:rPr>
          <w:lang w:val="en-US"/>
        </w:rPr>
        <w:t>L</w:t>
      </w:r>
      <w:r w:rsidRPr="00EC21C9">
        <w:rPr>
          <w:lang w:val="en-US"/>
        </w:rPr>
        <w:t xml:space="preserve">and above. </w:t>
      </w:r>
      <w:r>
        <w:rPr>
          <w:lang w:val="en-US"/>
        </w:rPr>
        <w:t xml:space="preserve">Skeletal malformations were observed at 17.9 mg/L/day.  At 25.5 mg/L/day, there was a significant increase in the incidence of skeletal, visceral and external malformations. Significant implantation loss was also observed.  </w:t>
      </w:r>
      <w:r w:rsidRPr="00EC21C9">
        <w:rPr>
          <w:lang w:val="en-US"/>
        </w:rPr>
        <w:t xml:space="preserve">The NOEC and LOAEC for </w:t>
      </w:r>
      <w:r>
        <w:rPr>
          <w:lang w:val="en-US"/>
        </w:rPr>
        <w:t>developmental</w:t>
      </w:r>
      <w:r w:rsidRPr="00AB1DC4">
        <w:rPr>
          <w:lang w:val="en-US"/>
        </w:rPr>
        <w:t xml:space="preserve"> toxicity</w:t>
      </w:r>
      <w:r w:rsidRPr="00EC21C9">
        <w:rPr>
          <w:lang w:val="en-US"/>
        </w:rPr>
        <w:t xml:space="preserve"> </w:t>
      </w:r>
      <w:r>
        <w:rPr>
          <w:lang w:val="en-US"/>
        </w:rPr>
        <w:t>were</w:t>
      </w:r>
      <w:r w:rsidRPr="00EC21C9">
        <w:rPr>
          <w:lang w:val="en-US"/>
        </w:rPr>
        <w:t xml:space="preserve"> 8.9 mg/</w:t>
      </w:r>
      <w:r>
        <w:rPr>
          <w:lang w:val="en-US"/>
        </w:rPr>
        <w:t>L/day</w:t>
      </w:r>
      <w:r w:rsidRPr="00EC21C9">
        <w:rPr>
          <w:lang w:val="en-US"/>
        </w:rPr>
        <w:t xml:space="preserve"> and 17.9 mg/</w:t>
      </w:r>
      <w:r>
        <w:rPr>
          <w:lang w:val="en-US"/>
        </w:rPr>
        <w:t>L/day,</w:t>
      </w:r>
      <w:r w:rsidRPr="00EC21C9">
        <w:rPr>
          <w:lang w:val="en-US"/>
        </w:rPr>
        <w:t xml:space="preserve"> respectively</w:t>
      </w:r>
      <w:r>
        <w:rPr>
          <w:lang w:val="en-US"/>
        </w:rPr>
        <w:t xml:space="preserve"> (ECB 2008: Nelson </w:t>
      </w:r>
      <w:r w:rsidRPr="00355FD8">
        <w:rPr>
          <w:i/>
          <w:iCs/>
          <w:lang w:val="en-US"/>
        </w:rPr>
        <w:t>et al</w:t>
      </w:r>
      <w:r>
        <w:rPr>
          <w:lang w:val="en-US"/>
        </w:rPr>
        <w:t>. 1985 and 1989).</w:t>
      </w:r>
      <w:r w:rsidRPr="00EC21C9">
        <w:rPr>
          <w:lang w:val="en-US"/>
        </w:rPr>
        <w:t xml:space="preserve"> </w:t>
      </w:r>
    </w:p>
    <w:p w:rsidR="001D41E2" w:rsidRPr="00337150" w:rsidRDefault="001D41E2" w:rsidP="00DE56B0">
      <w:pPr>
        <w:pStyle w:val="NormalWeb"/>
        <w:jc w:val="both"/>
        <w:rPr>
          <w:lang w:val="en-US"/>
        </w:rPr>
      </w:pPr>
      <w:r w:rsidRPr="005D3652">
        <w:rPr>
          <w:b/>
          <w:bCs/>
          <w:i/>
          <w:iCs/>
          <w:lang w:val="en-GB"/>
        </w:rPr>
        <w:t>I</w:t>
      </w:r>
      <w:r>
        <w:rPr>
          <w:b/>
          <w:bCs/>
          <w:i/>
          <w:iCs/>
          <w:lang w:val="en-GB"/>
        </w:rPr>
        <w:t>p</w:t>
      </w:r>
      <w:r w:rsidRPr="005D3652">
        <w:rPr>
          <w:b/>
          <w:bCs/>
          <w:i/>
          <w:iCs/>
          <w:lang w:val="en-GB"/>
        </w:rPr>
        <w:t>:</w:t>
      </w:r>
      <w:r w:rsidRPr="005D3652">
        <w:rPr>
          <w:lang w:val="en-GB"/>
        </w:rPr>
        <w:t xml:space="preserve"> </w:t>
      </w:r>
      <w:r w:rsidRPr="00EC21C9">
        <w:rPr>
          <w:lang w:val="en-US"/>
        </w:rPr>
        <w:t> </w:t>
      </w:r>
      <w:r>
        <w:rPr>
          <w:lang w:val="en-US"/>
        </w:rPr>
        <w:t xml:space="preserve">As described in the SIDS Dossier, </w:t>
      </w:r>
      <w:r>
        <w:rPr>
          <w:rFonts w:ascii="TimesNewRomanPSMT" w:hAnsi="TimesNewRomanPSMT" w:cs="TimesNewRomanPSMT"/>
          <w:lang w:val="en-GB"/>
        </w:rPr>
        <w:t>t</w:t>
      </w:r>
      <w:r w:rsidRPr="005D3652">
        <w:rPr>
          <w:rFonts w:ascii="TimesNewRomanPSMT" w:hAnsi="TimesNewRomanPSMT" w:cs="TimesNewRomanPSMT"/>
          <w:lang w:val="en-GB"/>
        </w:rPr>
        <w:t>he developmental toxicity of isopropanol has been characterized in rat and rabbit developmental toxicity studies and in a rat developmental neurotoxicity study. The rats were dosed by oral gavage at 400, 800 or 1200 mg/kg</w:t>
      </w:r>
      <w:r>
        <w:rPr>
          <w:rFonts w:ascii="TimesNewRomanPSMT" w:hAnsi="TimesNewRomanPSMT" w:cs="TimesNewRomanPSMT"/>
          <w:lang w:val="en-GB"/>
        </w:rPr>
        <w:t xml:space="preserve"> </w:t>
      </w:r>
      <w:proofErr w:type="gramStart"/>
      <w:r>
        <w:rPr>
          <w:rFonts w:ascii="TimesNewRomanPSMT" w:hAnsi="TimesNewRomanPSMT" w:cs="TimesNewRomanPSMT"/>
          <w:lang w:val="en-GB"/>
        </w:rPr>
        <w:t>bw</w:t>
      </w:r>
      <w:proofErr w:type="gramEnd"/>
      <w:r w:rsidRPr="005D3652">
        <w:rPr>
          <w:rFonts w:ascii="TimesNewRomanPSMT" w:hAnsi="TimesNewRomanPSMT" w:cs="TimesNewRomanPSMT"/>
          <w:lang w:val="en-GB"/>
        </w:rPr>
        <w:t xml:space="preserve"> from gestation days 6 through 15. The rabbits were dosed by oral gavage at 120, 240 or 480 mg/kg</w:t>
      </w:r>
      <w:r>
        <w:rPr>
          <w:rFonts w:ascii="TimesNewRomanPSMT" w:hAnsi="TimesNewRomanPSMT" w:cs="TimesNewRomanPSMT"/>
          <w:lang w:val="en-GB"/>
        </w:rPr>
        <w:t xml:space="preserve"> </w:t>
      </w:r>
      <w:proofErr w:type="gramStart"/>
      <w:r>
        <w:rPr>
          <w:rFonts w:ascii="TimesNewRomanPSMT" w:hAnsi="TimesNewRomanPSMT" w:cs="TimesNewRomanPSMT"/>
          <w:lang w:val="en-GB"/>
        </w:rPr>
        <w:t>bw</w:t>
      </w:r>
      <w:proofErr w:type="gramEnd"/>
      <w:r w:rsidRPr="005D3652">
        <w:rPr>
          <w:rFonts w:ascii="TimesNewRomanPSMT" w:hAnsi="TimesNewRomanPSMT" w:cs="TimesNewRomanPSMT"/>
          <w:lang w:val="en-GB"/>
        </w:rPr>
        <w:t xml:space="preserve"> from gestation days 6 through 18. </w:t>
      </w:r>
      <w:r w:rsidRPr="00337150">
        <w:rPr>
          <w:lang w:val="en-US"/>
        </w:rPr>
        <w:t xml:space="preserve">Isopropanol produced developmental toxicity in rats, but not in rabbits. In the rat, the developmental toxicity occurred only at maternally toxic doses and consisted of decreased fetal body weights, but no </w:t>
      </w:r>
      <w:r>
        <w:rPr>
          <w:lang w:val="en-US"/>
        </w:rPr>
        <w:t>malformations</w:t>
      </w:r>
      <w:r w:rsidRPr="00337150">
        <w:rPr>
          <w:lang w:val="en-US"/>
        </w:rPr>
        <w:t xml:space="preserve">. </w:t>
      </w:r>
      <w:r>
        <w:rPr>
          <w:lang w:val="en-US"/>
        </w:rPr>
        <w:t>T</w:t>
      </w:r>
      <w:r w:rsidRPr="00337150">
        <w:rPr>
          <w:lang w:val="en-US"/>
        </w:rPr>
        <w:t xml:space="preserve">he NOAEL </w:t>
      </w:r>
      <w:r>
        <w:rPr>
          <w:lang w:val="en-US"/>
        </w:rPr>
        <w:t>for developmental toxicity was</w:t>
      </w:r>
      <w:r w:rsidRPr="00337150">
        <w:rPr>
          <w:lang w:val="en-US"/>
        </w:rPr>
        <w:t xml:space="preserve"> 400 mg/kg</w:t>
      </w:r>
      <w:r>
        <w:rPr>
          <w:lang w:val="en-US"/>
        </w:rPr>
        <w:t xml:space="preserve"> bw</w:t>
      </w:r>
      <w:r w:rsidRPr="00337150">
        <w:rPr>
          <w:lang w:val="en-US"/>
        </w:rPr>
        <w:t>/day for rats and 480 mg/kg</w:t>
      </w:r>
      <w:r>
        <w:rPr>
          <w:lang w:val="en-US"/>
        </w:rPr>
        <w:t xml:space="preserve"> bw</w:t>
      </w:r>
      <w:r w:rsidRPr="00337150">
        <w:rPr>
          <w:lang w:val="en-US"/>
        </w:rPr>
        <w:t>/day for rabbits</w:t>
      </w:r>
      <w:r>
        <w:rPr>
          <w:lang w:val="en-US"/>
        </w:rPr>
        <w:t xml:space="preserve"> (highest dose tested)</w:t>
      </w:r>
      <w:r w:rsidRPr="00337150">
        <w:rPr>
          <w:lang w:val="en-US"/>
        </w:rPr>
        <w:t>.</w:t>
      </w:r>
    </w:p>
    <w:p w:rsidR="001D41E2" w:rsidRPr="00337150" w:rsidRDefault="001D41E2" w:rsidP="00DE56B0">
      <w:pPr>
        <w:pStyle w:val="NormalWeb"/>
        <w:jc w:val="both"/>
        <w:rPr>
          <w:lang w:val="en-US"/>
        </w:rPr>
      </w:pPr>
      <w:r>
        <w:rPr>
          <w:lang w:val="en-US"/>
        </w:rPr>
        <w:t>In the</w:t>
      </w:r>
      <w:r w:rsidRPr="00337150">
        <w:rPr>
          <w:lang w:val="en-US"/>
        </w:rPr>
        <w:t xml:space="preserve"> developmental </w:t>
      </w:r>
      <w:r>
        <w:rPr>
          <w:lang w:val="en-US"/>
        </w:rPr>
        <w:t>neuro</w:t>
      </w:r>
      <w:r w:rsidRPr="00337150">
        <w:rPr>
          <w:lang w:val="en-US"/>
        </w:rPr>
        <w:t xml:space="preserve">toxicity </w:t>
      </w:r>
      <w:r>
        <w:rPr>
          <w:lang w:val="en-US"/>
        </w:rPr>
        <w:t xml:space="preserve">study, </w:t>
      </w:r>
      <w:r w:rsidRPr="00337150">
        <w:rPr>
          <w:lang w:val="en-US"/>
        </w:rPr>
        <w:t>rats were dosed at 200, 700 and 1200 mg/kg</w:t>
      </w:r>
      <w:r>
        <w:rPr>
          <w:lang w:val="en-US"/>
        </w:rPr>
        <w:t xml:space="preserve"> </w:t>
      </w:r>
      <w:proofErr w:type="gramStart"/>
      <w:r>
        <w:rPr>
          <w:lang w:val="en-US"/>
        </w:rPr>
        <w:t>bw</w:t>
      </w:r>
      <w:proofErr w:type="gramEnd"/>
      <w:r w:rsidRPr="00337150">
        <w:rPr>
          <w:lang w:val="en-US"/>
        </w:rPr>
        <w:t xml:space="preserve"> </w:t>
      </w:r>
      <w:r>
        <w:rPr>
          <w:lang w:val="en-US"/>
        </w:rPr>
        <w:t xml:space="preserve">isopropanol by oral gavage </w:t>
      </w:r>
      <w:r w:rsidRPr="00337150">
        <w:rPr>
          <w:lang w:val="en-US"/>
        </w:rPr>
        <w:t xml:space="preserve">from gestational days 6 through 21. No exposure-related effects were noted on motor activity, </w:t>
      </w:r>
      <w:r>
        <w:rPr>
          <w:lang w:val="en-US"/>
        </w:rPr>
        <w:t xml:space="preserve">the </w:t>
      </w:r>
      <w:r w:rsidRPr="00337150">
        <w:rPr>
          <w:lang w:val="en-US"/>
        </w:rPr>
        <w:t xml:space="preserve">weights of the four regions of the brain, developmental landmarks, or morphological changes to the tissues of the central nervous tissue. </w:t>
      </w:r>
      <w:r>
        <w:rPr>
          <w:lang w:val="en-US"/>
        </w:rPr>
        <w:t>The</w:t>
      </w:r>
      <w:r w:rsidRPr="00337150">
        <w:rPr>
          <w:lang w:val="en-US"/>
        </w:rPr>
        <w:t xml:space="preserve"> NOAEL for </w:t>
      </w:r>
      <w:r>
        <w:rPr>
          <w:lang w:val="en-US"/>
        </w:rPr>
        <w:t>developmental neurotoxicity was</w:t>
      </w:r>
      <w:r w:rsidRPr="00337150">
        <w:rPr>
          <w:lang w:val="en-US"/>
        </w:rPr>
        <w:t xml:space="preserve"> 1200 mg/kg</w:t>
      </w:r>
      <w:r>
        <w:rPr>
          <w:lang w:val="en-US"/>
        </w:rPr>
        <w:t>/day</w:t>
      </w:r>
      <w:r w:rsidRPr="00337150">
        <w:rPr>
          <w:lang w:val="en-US"/>
        </w:rPr>
        <w:t>.</w:t>
      </w:r>
    </w:p>
    <w:p w:rsidR="001D41E2" w:rsidRPr="004B7EF4" w:rsidRDefault="001D41E2" w:rsidP="00DE56B0">
      <w:pPr>
        <w:pStyle w:val="NormalWeb"/>
        <w:jc w:val="both"/>
        <w:rPr>
          <w:lang w:val="en-US"/>
        </w:rPr>
      </w:pPr>
      <w:r w:rsidRPr="004B7EF4">
        <w:rPr>
          <w:b/>
          <w:bCs/>
          <w:i/>
          <w:iCs/>
          <w:lang w:val="en-US"/>
        </w:rPr>
        <w:t>Sb:</w:t>
      </w:r>
      <w:r w:rsidRPr="004B7EF4">
        <w:rPr>
          <w:lang w:val="en-US"/>
        </w:rPr>
        <w:t xml:space="preserve"> </w:t>
      </w:r>
      <w:r>
        <w:rPr>
          <w:lang w:val="en-US"/>
        </w:rPr>
        <w:t>As described in the SIDS Dossier, i</w:t>
      </w:r>
      <w:r w:rsidRPr="004B7EF4">
        <w:rPr>
          <w:lang w:val="en-US"/>
        </w:rPr>
        <w:t xml:space="preserve">n a study comparable to OECD </w:t>
      </w:r>
      <w:r>
        <w:rPr>
          <w:lang w:val="en-US"/>
        </w:rPr>
        <w:t xml:space="preserve">TG </w:t>
      </w:r>
      <w:r w:rsidRPr="004B7EF4">
        <w:rPr>
          <w:lang w:val="en-US"/>
        </w:rPr>
        <w:t>414, pregnant Wistar rats</w:t>
      </w:r>
      <w:r>
        <w:rPr>
          <w:lang w:val="en-US"/>
        </w:rPr>
        <w:t xml:space="preserve"> (15-16</w:t>
      </w:r>
      <w:r w:rsidRPr="004B7EF4">
        <w:rPr>
          <w:lang w:val="en-US"/>
        </w:rPr>
        <w:t>/dose</w:t>
      </w:r>
      <w:r>
        <w:rPr>
          <w:lang w:val="en-US"/>
        </w:rPr>
        <w:t>)</w:t>
      </w:r>
      <w:r w:rsidRPr="004B7EF4">
        <w:rPr>
          <w:lang w:val="en-US"/>
        </w:rPr>
        <w:t xml:space="preserve"> were exposed by inhalation to 0, 3500, 5000 or 7000 ppm </w:t>
      </w:r>
      <w:r>
        <w:rPr>
          <w:lang w:val="en-US"/>
        </w:rPr>
        <w:t>(equivalent to 0, 10,593, 15,157  or 21,186 mg/m</w:t>
      </w:r>
      <w:r w:rsidRPr="00702D71">
        <w:rPr>
          <w:vertAlign w:val="superscript"/>
          <w:lang w:val="en-US"/>
        </w:rPr>
        <w:t>3</w:t>
      </w:r>
      <w:r>
        <w:rPr>
          <w:lang w:val="en-US"/>
        </w:rPr>
        <w:t xml:space="preserve">, respectively) </w:t>
      </w:r>
      <w:r w:rsidRPr="004B7EF4">
        <w:rPr>
          <w:lang w:val="en-US"/>
        </w:rPr>
        <w:t>Sb, 7 hours/day on days 1-19 of gestation. The dams were sacrificed on day 20. At 7000 ppm, narcosis was observed in all animals. At 5000 ppm, the dams were partially narcotized with locomotion activity impaired. Maternal weight gain and food consumption were significantly reduced in all dose groups. No data collected on maternal organ weights, or gross or microscopic lesions. At 7000 ppm</w:t>
      </w:r>
      <w:r>
        <w:rPr>
          <w:lang w:val="en-US"/>
        </w:rPr>
        <w:t>, the</w:t>
      </w:r>
      <w:r w:rsidRPr="004B7EF4">
        <w:rPr>
          <w:lang w:val="en-US"/>
        </w:rPr>
        <w:t xml:space="preserve"> number of live fetuses was significantly reduced and resorptions were increased. Fetal body weights were significantly reduced in the mid- and high dose groups. There was no evidence of teratogenic effects in this study. The no-effect levels were &lt; 3500 ppm </w:t>
      </w:r>
      <w:r w:rsidR="000D75AE">
        <w:rPr>
          <w:lang w:val="en-US"/>
        </w:rPr>
        <w:t xml:space="preserve">(ca. &lt;10.6 mg/L/day) </w:t>
      </w:r>
      <w:r w:rsidRPr="004B7EF4">
        <w:rPr>
          <w:lang w:val="en-US"/>
        </w:rPr>
        <w:t xml:space="preserve">for maternal toxicity and 3500 ppm </w:t>
      </w:r>
      <w:r w:rsidR="000D75AE">
        <w:rPr>
          <w:lang w:val="en-US"/>
        </w:rPr>
        <w:t xml:space="preserve">(ca. 10.6 mg/L/day) </w:t>
      </w:r>
      <w:r w:rsidRPr="004B7EF4">
        <w:rPr>
          <w:lang w:val="en-US"/>
        </w:rPr>
        <w:t>for developmental toxicity (</w:t>
      </w:r>
      <w:r w:rsidRPr="00FF6A3E">
        <w:rPr>
          <w:lang w:val="en-GB"/>
        </w:rPr>
        <w:t>OECD, 2002b</w:t>
      </w:r>
      <w:r w:rsidRPr="004B7EF4">
        <w:rPr>
          <w:lang w:val="en-US"/>
        </w:rPr>
        <w:t>).</w:t>
      </w:r>
    </w:p>
    <w:p w:rsidR="001D41E2" w:rsidRPr="004B7EF4" w:rsidRDefault="001D41E2" w:rsidP="00DE56B0">
      <w:pPr>
        <w:pStyle w:val="NormalWeb"/>
        <w:jc w:val="both"/>
        <w:rPr>
          <w:lang w:val="en-US"/>
        </w:rPr>
      </w:pPr>
      <w:r w:rsidRPr="004B7EF4">
        <w:rPr>
          <w:lang w:val="en-US"/>
        </w:rPr>
        <w:t>In a second breeding of the 2</w:t>
      </w:r>
      <w:r>
        <w:rPr>
          <w:lang w:val="en-US"/>
        </w:rPr>
        <w:t>-</w:t>
      </w:r>
      <w:r w:rsidRPr="004B7EF4">
        <w:rPr>
          <w:lang w:val="en-US"/>
        </w:rPr>
        <w:t>generation study m</w:t>
      </w:r>
      <w:r>
        <w:rPr>
          <w:lang w:val="en-US"/>
        </w:rPr>
        <w:t>en</w:t>
      </w:r>
      <w:r w:rsidRPr="004B7EF4">
        <w:rPr>
          <w:lang w:val="en-US"/>
        </w:rPr>
        <w:t>tioned above</w:t>
      </w:r>
      <w:r>
        <w:rPr>
          <w:lang w:val="en-US"/>
        </w:rPr>
        <w:t>,</w:t>
      </w:r>
      <w:r w:rsidRPr="004B7EF4">
        <w:rPr>
          <w:lang w:val="en-US"/>
        </w:rPr>
        <w:t xml:space="preserve"> Wistar rats </w:t>
      </w:r>
      <w:r>
        <w:rPr>
          <w:lang w:val="en-US"/>
        </w:rPr>
        <w:t xml:space="preserve">(30/sex/dose) </w:t>
      </w:r>
      <w:r w:rsidRPr="004B7EF4">
        <w:rPr>
          <w:lang w:val="en-US"/>
        </w:rPr>
        <w:t>received 0, 0.3, 1.0, or 2.0% solutions (0, 538, 1644, and 3384 mg/kg</w:t>
      </w:r>
      <w:r>
        <w:rPr>
          <w:lang w:val="en-US"/>
        </w:rPr>
        <w:t xml:space="preserve"> bw/</w:t>
      </w:r>
      <w:r w:rsidRPr="004B7EF4">
        <w:rPr>
          <w:lang w:val="en-US"/>
        </w:rPr>
        <w:t>day for males and 0, 594, 1771, and 3122 mg/kg</w:t>
      </w:r>
      <w:r>
        <w:rPr>
          <w:lang w:val="en-US"/>
        </w:rPr>
        <w:t xml:space="preserve"> bw/day</w:t>
      </w:r>
      <w:r w:rsidRPr="004B7EF4">
        <w:rPr>
          <w:lang w:val="en-US"/>
        </w:rPr>
        <w:t xml:space="preserve"> for females) to provide teratologic evaluation of the </w:t>
      </w:r>
      <w:r>
        <w:rPr>
          <w:lang w:val="en-US"/>
        </w:rPr>
        <w:t>dosing</w:t>
      </w:r>
      <w:r w:rsidRPr="004B7EF4">
        <w:rPr>
          <w:lang w:val="en-US"/>
        </w:rPr>
        <w:t>. Pregnancy rates and survival of these females were unaffected.</w:t>
      </w:r>
      <w:r>
        <w:rPr>
          <w:lang w:val="en-US"/>
        </w:rPr>
        <w:t xml:space="preserve"> </w:t>
      </w:r>
      <w:r w:rsidRPr="004B7EF4">
        <w:rPr>
          <w:lang w:val="en-US"/>
        </w:rPr>
        <w:t xml:space="preserve"> All findings </w:t>
      </w:r>
      <w:r>
        <w:rPr>
          <w:lang w:val="en-US"/>
        </w:rPr>
        <w:t xml:space="preserve">for </w:t>
      </w:r>
      <w:r w:rsidRPr="004B7EF4">
        <w:rPr>
          <w:lang w:val="en-US"/>
        </w:rPr>
        <w:t xml:space="preserve">Sb at both 0.3 and 1.0% in the drinking water were negative with respect </w:t>
      </w:r>
      <w:r>
        <w:rPr>
          <w:lang w:val="en-US"/>
        </w:rPr>
        <w:t xml:space="preserve">to </w:t>
      </w:r>
      <w:r w:rsidRPr="004B7EF4">
        <w:rPr>
          <w:lang w:val="en-US"/>
        </w:rPr>
        <w:t xml:space="preserve">both </w:t>
      </w:r>
      <w:r>
        <w:rPr>
          <w:lang w:val="en-US"/>
        </w:rPr>
        <w:t>body weight gain</w:t>
      </w:r>
      <w:r w:rsidRPr="004B7EF4">
        <w:rPr>
          <w:lang w:val="en-US"/>
        </w:rPr>
        <w:t xml:space="preserve"> and reproductive </w:t>
      </w:r>
      <w:r>
        <w:rPr>
          <w:lang w:val="en-US"/>
        </w:rPr>
        <w:t>toxicity</w:t>
      </w:r>
      <w:r w:rsidRPr="004B7EF4">
        <w:rPr>
          <w:lang w:val="en-US"/>
        </w:rPr>
        <w:t xml:space="preserve">. The body weights of the dams were not depressed. </w:t>
      </w:r>
      <w:r>
        <w:rPr>
          <w:lang w:val="en-US"/>
        </w:rPr>
        <w:t>A</w:t>
      </w:r>
      <w:r w:rsidRPr="004B7EF4">
        <w:rPr>
          <w:lang w:val="en-US"/>
        </w:rPr>
        <w:t>t 2.0%</w:t>
      </w:r>
      <w:r>
        <w:rPr>
          <w:lang w:val="en-US"/>
        </w:rPr>
        <w:t xml:space="preserve">, Sb caused significant depression in fetal weight, with evidence of delayed skeletal maturation, but no skeletal and visceral malformations.  The no-effect level for developmental toxicity was 1.0% (estimated to be 1500 mg/kg/day by the authors and 1771 mg/kg/day by EPA/IRIS).  </w:t>
      </w:r>
    </w:p>
    <w:p w:rsidR="001D41E2" w:rsidRPr="00AE137A" w:rsidRDefault="001D41E2" w:rsidP="00DE56B0">
      <w:pPr>
        <w:pStyle w:val="NormalWeb"/>
        <w:jc w:val="both"/>
        <w:rPr>
          <w:lang w:val="en-US"/>
        </w:rPr>
      </w:pPr>
      <w:r w:rsidRPr="00AE137A">
        <w:rPr>
          <w:b/>
          <w:bCs/>
          <w:i/>
          <w:iCs/>
          <w:lang w:val="en-US"/>
        </w:rPr>
        <w:t>DEG:</w:t>
      </w:r>
      <w:r w:rsidRPr="00AE137A">
        <w:rPr>
          <w:lang w:val="en-US"/>
        </w:rPr>
        <w:t xml:space="preserve"> </w:t>
      </w:r>
      <w:r>
        <w:rPr>
          <w:lang w:val="en-US"/>
        </w:rPr>
        <w:t>As described in the SIDS Dossier, i</w:t>
      </w:r>
      <w:r w:rsidRPr="00AE137A">
        <w:rPr>
          <w:lang w:val="en-US"/>
        </w:rPr>
        <w:t xml:space="preserve">n a study comparable to OECD </w:t>
      </w:r>
      <w:r>
        <w:rPr>
          <w:lang w:val="en-US"/>
        </w:rPr>
        <w:t xml:space="preserve">TG </w:t>
      </w:r>
      <w:r w:rsidRPr="00AE137A">
        <w:rPr>
          <w:lang w:val="en-US"/>
        </w:rPr>
        <w:t>414</w:t>
      </w:r>
      <w:r>
        <w:rPr>
          <w:lang w:val="en-US"/>
        </w:rPr>
        <w:t>,</w:t>
      </w:r>
      <w:r w:rsidRPr="00AE137A">
        <w:rPr>
          <w:lang w:val="en-US"/>
        </w:rPr>
        <w:t xml:space="preserve"> 25 pregnant CD rats were administered DEG by gavage at 1.0, 4.0</w:t>
      </w:r>
      <w:r>
        <w:rPr>
          <w:lang w:val="en-US"/>
        </w:rPr>
        <w:t>,</w:t>
      </w:r>
      <w:r w:rsidRPr="00AE137A">
        <w:rPr>
          <w:lang w:val="en-US"/>
        </w:rPr>
        <w:t xml:space="preserve"> and 8.0 m</w:t>
      </w:r>
      <w:r>
        <w:rPr>
          <w:lang w:val="en-US"/>
        </w:rPr>
        <w:t>L</w:t>
      </w:r>
      <w:r w:rsidRPr="00AE137A">
        <w:rPr>
          <w:lang w:val="en-US"/>
        </w:rPr>
        <w:t>/kg</w:t>
      </w:r>
      <w:r>
        <w:rPr>
          <w:lang w:val="en-US"/>
        </w:rPr>
        <w:t xml:space="preserve"> bw</w:t>
      </w:r>
      <w:r w:rsidRPr="00AE137A">
        <w:rPr>
          <w:lang w:val="en-US"/>
        </w:rPr>
        <w:t>/day during organogenesis (day 6-15 of gestation). Exposure resulted in evidence of severe maternal toxicity, including death and kidney injury, at 8.0 ml/kg/day. Less severe maternal effects were found at 4.0 ml/kg</w:t>
      </w:r>
      <w:r>
        <w:rPr>
          <w:lang w:val="en-US"/>
        </w:rPr>
        <w:t xml:space="preserve"> bw</w:t>
      </w:r>
      <w:r w:rsidRPr="00AE137A">
        <w:rPr>
          <w:lang w:val="en-US"/>
        </w:rPr>
        <w:t>/day. Developmental toxicity as evidenced by reduced fetal weight and delayed ossification was observed at 8.0 m</w:t>
      </w:r>
      <w:r>
        <w:rPr>
          <w:lang w:val="en-US"/>
        </w:rPr>
        <w:t>L</w:t>
      </w:r>
      <w:r w:rsidRPr="00AE137A">
        <w:rPr>
          <w:lang w:val="en-US"/>
        </w:rPr>
        <w:t xml:space="preserve">/kg/day. </w:t>
      </w:r>
      <w:r>
        <w:rPr>
          <w:lang w:val="en-US"/>
        </w:rPr>
        <w:t>D</w:t>
      </w:r>
      <w:r w:rsidRPr="00AE137A">
        <w:rPr>
          <w:lang w:val="en-US"/>
        </w:rPr>
        <w:t>elayed ossification was noted at 4.0 m</w:t>
      </w:r>
      <w:r>
        <w:rPr>
          <w:lang w:val="en-US"/>
        </w:rPr>
        <w:t>L</w:t>
      </w:r>
      <w:r w:rsidRPr="00AE137A">
        <w:rPr>
          <w:lang w:val="en-US"/>
        </w:rPr>
        <w:t>/kg</w:t>
      </w:r>
      <w:r>
        <w:rPr>
          <w:lang w:val="en-US"/>
        </w:rPr>
        <w:t xml:space="preserve"> bw</w:t>
      </w:r>
      <w:r w:rsidRPr="00AE137A">
        <w:rPr>
          <w:lang w:val="en-US"/>
        </w:rPr>
        <w:t>/day. The NOEL for maternal toxicity was 1.0 m</w:t>
      </w:r>
      <w:r>
        <w:rPr>
          <w:lang w:val="en-US"/>
        </w:rPr>
        <w:t>L</w:t>
      </w:r>
      <w:r w:rsidRPr="00AE137A">
        <w:rPr>
          <w:lang w:val="en-US"/>
        </w:rPr>
        <w:t>/kg</w:t>
      </w:r>
      <w:r>
        <w:rPr>
          <w:lang w:val="en-US"/>
        </w:rPr>
        <w:t xml:space="preserve"> </w:t>
      </w:r>
      <w:r w:rsidRPr="00AE137A">
        <w:rPr>
          <w:lang w:val="en-US"/>
        </w:rPr>
        <w:t>/day, and the NOEL for developmental toxicity was also 1.0 m</w:t>
      </w:r>
      <w:r>
        <w:rPr>
          <w:lang w:val="en-US"/>
        </w:rPr>
        <w:t>L</w:t>
      </w:r>
      <w:r w:rsidRPr="00AE137A">
        <w:rPr>
          <w:lang w:val="en-US"/>
        </w:rPr>
        <w:t>/kg/day</w:t>
      </w:r>
      <w:r>
        <w:rPr>
          <w:lang w:val="en-US"/>
        </w:rPr>
        <w:t xml:space="preserve"> (BRRC, 1989</w:t>
      </w:r>
      <w:r w:rsidRPr="00AE137A">
        <w:rPr>
          <w:lang w:val="en-US"/>
        </w:rPr>
        <w:t xml:space="preserve">). </w:t>
      </w:r>
    </w:p>
    <w:p w:rsidR="001D41E2" w:rsidRPr="00AE137A" w:rsidRDefault="001D41E2" w:rsidP="00DE56B0">
      <w:pPr>
        <w:pStyle w:val="NormalWeb"/>
        <w:jc w:val="both"/>
        <w:rPr>
          <w:lang w:val="en-US"/>
        </w:rPr>
      </w:pPr>
      <w:r w:rsidRPr="00AE137A">
        <w:rPr>
          <w:lang w:val="en-US"/>
        </w:rPr>
        <w:t xml:space="preserve">In </w:t>
      </w:r>
      <w:r>
        <w:rPr>
          <w:lang w:val="en-US"/>
        </w:rPr>
        <w:t>a</w:t>
      </w:r>
      <w:r w:rsidRPr="00AE137A">
        <w:rPr>
          <w:lang w:val="en-US"/>
        </w:rPr>
        <w:t xml:space="preserve"> </w:t>
      </w:r>
      <w:r>
        <w:rPr>
          <w:lang w:val="en-US"/>
        </w:rPr>
        <w:t xml:space="preserve">guideline </w:t>
      </w:r>
      <w:r w:rsidRPr="00AE137A">
        <w:rPr>
          <w:lang w:val="en-US"/>
        </w:rPr>
        <w:t>study</w:t>
      </w:r>
      <w:r>
        <w:rPr>
          <w:lang w:val="en-US"/>
        </w:rPr>
        <w:t xml:space="preserve"> [</w:t>
      </w:r>
      <w:r w:rsidRPr="00AE137A">
        <w:rPr>
          <w:lang w:val="en-US"/>
        </w:rPr>
        <w:t xml:space="preserve">OECD </w:t>
      </w:r>
      <w:r>
        <w:rPr>
          <w:lang w:val="en-US"/>
        </w:rPr>
        <w:t xml:space="preserve">TG </w:t>
      </w:r>
      <w:r w:rsidRPr="00AE137A">
        <w:rPr>
          <w:lang w:val="en-US"/>
        </w:rPr>
        <w:t>414</w:t>
      </w:r>
      <w:r>
        <w:rPr>
          <w:lang w:val="en-US"/>
        </w:rPr>
        <w:t>]</w:t>
      </w:r>
      <w:r w:rsidRPr="00AE137A">
        <w:rPr>
          <w:lang w:val="en-US"/>
        </w:rPr>
        <w:t xml:space="preserve">, administration of DEG to pregnant Himalayan rabbits </w:t>
      </w:r>
      <w:r>
        <w:rPr>
          <w:lang w:val="en-US"/>
        </w:rPr>
        <w:t xml:space="preserve">(15/dose) </w:t>
      </w:r>
      <w:r w:rsidRPr="00AE137A">
        <w:rPr>
          <w:lang w:val="en-US"/>
        </w:rPr>
        <w:t xml:space="preserve">by stomach tube on day 7 through day 19 </w:t>
      </w:r>
      <w:r>
        <w:rPr>
          <w:lang w:val="en-US"/>
        </w:rPr>
        <w:t>i.</w:t>
      </w:r>
      <w:r w:rsidRPr="00AE137A">
        <w:rPr>
          <w:lang w:val="en-US"/>
        </w:rPr>
        <w:t xml:space="preserve">p </w:t>
      </w:r>
      <w:r>
        <w:rPr>
          <w:lang w:val="en-US"/>
        </w:rPr>
        <w:t>at</w:t>
      </w:r>
      <w:r w:rsidRPr="00AE137A">
        <w:rPr>
          <w:lang w:val="en-US"/>
        </w:rPr>
        <w:t xml:space="preserve"> 0, 100, 400 and 1,000 mg/kg</w:t>
      </w:r>
      <w:r>
        <w:rPr>
          <w:lang w:val="en-US"/>
        </w:rPr>
        <w:t xml:space="preserve"> bw</w:t>
      </w:r>
      <w:r w:rsidRPr="00AE137A">
        <w:rPr>
          <w:lang w:val="en-US"/>
        </w:rPr>
        <w:t xml:space="preserve">/day did not lead to any adverse effects. The observable differences between the control group and the substance-treated groups appeared either without a </w:t>
      </w:r>
      <w:r>
        <w:rPr>
          <w:lang w:val="en-US"/>
        </w:rPr>
        <w:t>c</w:t>
      </w:r>
      <w:r w:rsidRPr="00AE137A">
        <w:rPr>
          <w:lang w:val="en-US"/>
        </w:rPr>
        <w:t>lear dose-response relationship and/or were assessed as being without biological relevance</w:t>
      </w:r>
      <w:r>
        <w:rPr>
          <w:lang w:val="en-US"/>
        </w:rPr>
        <w:t xml:space="preserve"> </w:t>
      </w:r>
      <w:r w:rsidRPr="00AE137A">
        <w:rPr>
          <w:lang w:val="en-US"/>
        </w:rPr>
        <w:t xml:space="preserve">because the </w:t>
      </w:r>
      <w:r>
        <w:rPr>
          <w:lang w:val="en-US"/>
        </w:rPr>
        <w:t>findings were</w:t>
      </w:r>
      <w:r w:rsidRPr="00AE137A">
        <w:rPr>
          <w:lang w:val="en-US"/>
        </w:rPr>
        <w:t xml:space="preserve"> found </w:t>
      </w:r>
      <w:r>
        <w:rPr>
          <w:lang w:val="en-US"/>
        </w:rPr>
        <w:t xml:space="preserve">to occur </w:t>
      </w:r>
      <w:r w:rsidRPr="00AE137A">
        <w:rPr>
          <w:lang w:val="en-US"/>
        </w:rPr>
        <w:t>in a similar range within the historical control data. DEG caused no sign o</w:t>
      </w:r>
      <w:r>
        <w:rPr>
          <w:lang w:val="en-US"/>
        </w:rPr>
        <w:t>f maternal toxicity,</w:t>
      </w:r>
      <w:r w:rsidRPr="00AE137A">
        <w:rPr>
          <w:lang w:val="en-US"/>
        </w:rPr>
        <w:t xml:space="preserve"> embr</w:t>
      </w:r>
      <w:r>
        <w:rPr>
          <w:lang w:val="en-US"/>
        </w:rPr>
        <w:t xml:space="preserve">yo-/fetotoxicity or </w:t>
      </w:r>
      <w:r w:rsidRPr="00AE137A">
        <w:rPr>
          <w:lang w:val="en-US"/>
        </w:rPr>
        <w:t>teratogenic effects in doses up to and including the limit dose of 1,000 mg/kg</w:t>
      </w:r>
      <w:r>
        <w:rPr>
          <w:lang w:val="en-US"/>
        </w:rPr>
        <w:t>/ bw</w:t>
      </w:r>
      <w:r w:rsidRPr="00AE137A">
        <w:rPr>
          <w:lang w:val="en-US"/>
        </w:rPr>
        <w:t>/day (BASF</w:t>
      </w:r>
      <w:r>
        <w:rPr>
          <w:lang w:val="en-US"/>
        </w:rPr>
        <w:t>,</w:t>
      </w:r>
      <w:r w:rsidRPr="00AE137A">
        <w:rPr>
          <w:lang w:val="en-US"/>
        </w:rPr>
        <w:t xml:space="preserve"> 1991). </w:t>
      </w:r>
    </w:p>
    <w:p w:rsidR="001D41E2" w:rsidRPr="00AE137A" w:rsidRDefault="001D41E2" w:rsidP="00DE56B0">
      <w:pPr>
        <w:pStyle w:val="BodyText"/>
      </w:pPr>
      <w:r w:rsidRPr="00AE137A">
        <w:rPr>
          <w:b/>
          <w:bCs/>
          <w:i/>
          <w:iCs/>
        </w:rPr>
        <w:t>Eh:</w:t>
      </w:r>
      <w:r w:rsidRPr="00AE137A">
        <w:t xml:space="preserve"> </w:t>
      </w:r>
      <w:r>
        <w:t xml:space="preserve">In a guideline study (OECD TG 414) pregnant </w:t>
      </w:r>
      <w:r w:rsidRPr="00AE137A">
        <w:t xml:space="preserve">Wistar rats </w:t>
      </w:r>
      <w:r>
        <w:t>(10/dose) were exposed</w:t>
      </w:r>
      <w:r w:rsidRPr="00AE137A">
        <w:t xml:space="preserve"> </w:t>
      </w:r>
      <w:r>
        <w:t xml:space="preserve">to </w:t>
      </w:r>
      <w:r w:rsidRPr="00AE137A">
        <w:t xml:space="preserve">130, 650 and 1,300 mg/kg </w:t>
      </w:r>
      <w:r>
        <w:t>bw</w:t>
      </w:r>
      <w:r w:rsidRPr="00AE137A">
        <w:t>/day several alcohols</w:t>
      </w:r>
      <w:r>
        <w:t xml:space="preserve"> (including Eh)</w:t>
      </w:r>
      <w:r w:rsidRPr="00AE137A">
        <w:t xml:space="preserve"> by gavage on day</w:t>
      </w:r>
      <w:r>
        <w:t>s</w:t>
      </w:r>
      <w:r w:rsidRPr="00AE137A">
        <w:t xml:space="preserve"> 6 to 15 </w:t>
      </w:r>
      <w:r>
        <w:t>of gestation</w:t>
      </w:r>
      <w:r w:rsidRPr="00AE137A">
        <w:t xml:space="preserve">. Two control groups were used (water and water with - 0 .005% Cremophor EL). </w:t>
      </w:r>
    </w:p>
    <w:p w:rsidR="001D41E2" w:rsidRPr="00AE137A" w:rsidRDefault="001D41E2" w:rsidP="00DE56B0">
      <w:pPr>
        <w:autoSpaceDE w:val="0"/>
        <w:autoSpaceDN w:val="0"/>
        <w:adjustRightInd w:val="0"/>
        <w:jc w:val="both"/>
      </w:pPr>
      <w:r w:rsidRPr="00AE137A">
        <w:t>No</w:t>
      </w:r>
      <w:r>
        <w:t xml:space="preserve"> </w:t>
      </w:r>
      <w:r w:rsidRPr="00AE137A">
        <w:t xml:space="preserve">adverse, substance-related effects on dams or fetuses were observed at 130 mg/kg </w:t>
      </w:r>
      <w:r>
        <w:t>bw</w:t>
      </w:r>
      <w:r w:rsidRPr="00AE137A">
        <w:t xml:space="preserve">/day. </w:t>
      </w:r>
      <w:r>
        <w:t>At</w:t>
      </w:r>
      <w:r w:rsidRPr="00AE137A">
        <w:t xml:space="preserve"> 650 mg/kg </w:t>
      </w:r>
      <w:r>
        <w:t>bw</w:t>
      </w:r>
      <w:r w:rsidRPr="00AE137A">
        <w:t>/day</w:t>
      </w:r>
      <w:r>
        <w:t>,</w:t>
      </w:r>
      <w:r w:rsidRPr="00AE137A">
        <w:t xml:space="preserve"> minimal maternal toxic effects (piloerection)</w:t>
      </w:r>
      <w:r>
        <w:t xml:space="preserve"> </w:t>
      </w:r>
      <w:r w:rsidRPr="00AE137A">
        <w:t xml:space="preserve">and minimal </w:t>
      </w:r>
      <w:r>
        <w:t>e</w:t>
      </w:r>
      <w:r w:rsidRPr="00AE137A">
        <w:t>mbryo-/fetotoxic effects (slightly reduced mean fetal body weights and increased frequency of skeletal variations and retardations</w:t>
      </w:r>
      <w:r>
        <w:t xml:space="preserve"> were observed</w:t>
      </w:r>
      <w:r w:rsidRPr="00AE137A">
        <w:t>. Clear signs of maternal toxicity (reduced body weight gain, apathy, death of 6/10 animals etc.) were found at 1</w:t>
      </w:r>
      <w:r>
        <w:t>,</w:t>
      </w:r>
      <w:r w:rsidRPr="00AE137A">
        <w:t xml:space="preserve">300 mg/kg </w:t>
      </w:r>
      <w:r>
        <w:t>bw</w:t>
      </w:r>
      <w:r w:rsidRPr="00AE137A">
        <w:t xml:space="preserve">/day. </w:t>
      </w:r>
      <w:r>
        <w:t>E</w:t>
      </w:r>
      <w:r w:rsidRPr="00AE137A">
        <w:t xml:space="preserve">mbryo and fetotoxic effects were </w:t>
      </w:r>
      <w:r>
        <w:t xml:space="preserve">also </w:t>
      </w:r>
      <w:r w:rsidRPr="00AE137A">
        <w:t>observed (increased number of resorptions and increased postimplantation loss</w:t>
      </w:r>
      <w:r>
        <w:t>,</w:t>
      </w:r>
      <w:r w:rsidRPr="00AE137A">
        <w:t xml:space="preserve"> markedly reduced mean fetal body weights, skeletal retardations, variations and malformations</w:t>
      </w:r>
      <w:r>
        <w:t>,</w:t>
      </w:r>
      <w:r w:rsidRPr="00AE137A">
        <w:t xml:space="preserve"> increased incidence of fetuses with dilated renal pelvis and/or hydroureter</w:t>
      </w:r>
      <w:r>
        <w:t>,</w:t>
      </w:r>
      <w:r w:rsidRPr="00AE137A">
        <w:t xml:space="preserve"> 1 fetus with acaudia and atresia ani)</w:t>
      </w:r>
      <w:r>
        <w:t xml:space="preserve"> at this dose</w:t>
      </w:r>
      <w:r w:rsidRPr="00AE137A">
        <w:t xml:space="preserve">. Due to the low number of fetuses in the 1300 mg/kg </w:t>
      </w:r>
      <w:r>
        <w:t>bw</w:t>
      </w:r>
      <w:r w:rsidRPr="00AE137A">
        <w:t>/day test group</w:t>
      </w:r>
      <w:r>
        <w:t xml:space="preserve"> and the severe maternal toxicity</w:t>
      </w:r>
      <w:r w:rsidRPr="00AE137A">
        <w:t>, a final assessment whether certain findings in these groups are really substance-related eff</w:t>
      </w:r>
      <w:r>
        <w:t>ects is difficult (OECD 1991</w:t>
      </w:r>
      <w:r w:rsidRPr="00AE137A">
        <w:t xml:space="preserve">). </w:t>
      </w:r>
    </w:p>
    <w:p w:rsidR="001D41E2" w:rsidRPr="00AE137A" w:rsidRDefault="001D41E2" w:rsidP="00DE56B0">
      <w:pPr>
        <w:autoSpaceDE w:val="0"/>
        <w:autoSpaceDN w:val="0"/>
        <w:adjustRightInd w:val="0"/>
        <w:jc w:val="both"/>
      </w:pPr>
    </w:p>
    <w:p w:rsidR="001D41E2" w:rsidRPr="00AE137A" w:rsidRDefault="001D41E2" w:rsidP="00DE56B0">
      <w:pPr>
        <w:jc w:val="both"/>
        <w:rPr>
          <w:rFonts w:ascii="Helvetica" w:hAnsi="Helvetica" w:cs="Helvetica"/>
          <w:sz w:val="20"/>
          <w:szCs w:val="20"/>
        </w:rPr>
      </w:pPr>
      <w:r>
        <w:t>Fifteen pregnant S</w:t>
      </w:r>
      <w:r w:rsidRPr="00AE137A">
        <w:t xml:space="preserve">prague-Dawley rats were exposed (whole body) for 7 h/day  on gestation days 1-19 to </w:t>
      </w:r>
      <w:r>
        <w:t>Eh</w:t>
      </w:r>
      <w:r w:rsidRPr="00AE137A">
        <w:t xml:space="preserve"> at the highest concentration (0.85 mg/L) that could be generated as a vapor (limit test). </w:t>
      </w:r>
      <w:r>
        <w:t xml:space="preserve"> The c</w:t>
      </w:r>
      <w:r w:rsidRPr="00AE137A">
        <w:t xml:space="preserve">oncentration was </w:t>
      </w:r>
      <w:r>
        <w:t>measured</w:t>
      </w:r>
      <w:r w:rsidRPr="00AE137A">
        <w:t xml:space="preserve"> analytically. Observations of the maternal animals did not provide evidence of toxicity. Overall f</w:t>
      </w:r>
      <w:r>
        <w:t>oo</w:t>
      </w:r>
      <w:r w:rsidRPr="00AE137A">
        <w:t>d consumption was lower than in controls (ca. 10-15%)</w:t>
      </w:r>
      <w:r>
        <w:t xml:space="preserve"> but not</w:t>
      </w:r>
      <w:r w:rsidRPr="00AE137A">
        <w:t xml:space="preserve"> statistical</w:t>
      </w:r>
      <w:r>
        <w:t>ly</w:t>
      </w:r>
      <w:r w:rsidRPr="00AE137A">
        <w:t xml:space="preserve"> significan</w:t>
      </w:r>
      <w:r>
        <w:t>t</w:t>
      </w:r>
      <w:r w:rsidRPr="00AE137A">
        <w:t>. There were no treatment</w:t>
      </w:r>
      <w:r>
        <w:t>-related</w:t>
      </w:r>
      <w:r w:rsidRPr="00AE137A">
        <w:t xml:space="preserve"> effects on water </w:t>
      </w:r>
      <w:r>
        <w:t>consumption</w:t>
      </w:r>
      <w:r w:rsidRPr="00AE137A">
        <w:t>.  There were no treatment</w:t>
      </w:r>
      <w:r>
        <w:t>-related</w:t>
      </w:r>
      <w:r w:rsidRPr="00AE137A">
        <w:t xml:space="preserve"> effects on the number of corpora lutea, or on the number or fetal weights of either sex. No malformations were observed.  Inhalation of </w:t>
      </w:r>
      <w:r>
        <w:t>Eh</w:t>
      </w:r>
      <w:r w:rsidRPr="00AE137A">
        <w:t xml:space="preserve"> resulted in small (non-significant), reversible delays in ossification. These variations are frequently seen with growth retardation, but significant effects on fetal weights were not observed in the present study. The present study found no indication of malformations induced after exposure of pregnant rats to 0.85 mg/L </w:t>
      </w:r>
      <w:r>
        <w:t>of Eh</w:t>
      </w:r>
      <w:r w:rsidRPr="00AE137A">
        <w:rPr>
          <w:rFonts w:ascii="Helvetica" w:hAnsi="Helvetica" w:cs="Helvetica"/>
          <w:sz w:val="20"/>
          <w:szCs w:val="20"/>
        </w:rPr>
        <w:t xml:space="preserve"> </w:t>
      </w:r>
      <w:r>
        <w:t>(OECD 1991: Nelson, 1989</w:t>
      </w:r>
      <w:r w:rsidRPr="00AE137A">
        <w:t>)</w:t>
      </w:r>
      <w:r>
        <w:t>.</w:t>
      </w:r>
    </w:p>
    <w:p w:rsidR="001D41E2" w:rsidRPr="00AE137A" w:rsidRDefault="001D41E2" w:rsidP="00DE56B0">
      <w:pPr>
        <w:autoSpaceDE w:val="0"/>
        <w:autoSpaceDN w:val="0"/>
        <w:adjustRightInd w:val="0"/>
        <w:jc w:val="both"/>
      </w:pPr>
    </w:p>
    <w:p w:rsidR="001D41E2" w:rsidRDefault="001D41E2" w:rsidP="00DE56B0">
      <w:pPr>
        <w:autoSpaceDE w:val="0"/>
        <w:autoSpaceDN w:val="0"/>
        <w:adjustRightInd w:val="0"/>
        <w:jc w:val="both"/>
      </w:pPr>
      <w:r w:rsidRPr="00AE137A">
        <w:t>In a developmental toxicity test</w:t>
      </w:r>
      <w:r>
        <w:t xml:space="preserve"> (OECD 1995: Tyl </w:t>
      </w:r>
      <w:r w:rsidRPr="00956920">
        <w:rPr>
          <w:i/>
          <w:iCs/>
        </w:rPr>
        <w:t>et al</w:t>
      </w:r>
      <w:r>
        <w:t>. 1992)</w:t>
      </w:r>
      <w:r w:rsidRPr="00AE137A">
        <w:t xml:space="preserve"> following USEPA TSCA Health Effects Testing Guidelines CFR 798.4900 (similar to OECD </w:t>
      </w:r>
      <w:r>
        <w:t xml:space="preserve">TG </w:t>
      </w:r>
      <w:r w:rsidRPr="00AE137A">
        <w:t>414), 25 pregnant Fischer 344 rats were exposed to 0.0 0.3, 1.0 or 3.0 m</w:t>
      </w:r>
      <w:r>
        <w:t>L</w:t>
      </w:r>
      <w:r w:rsidRPr="00AE137A">
        <w:t>/kg</w:t>
      </w:r>
      <w:r>
        <w:t xml:space="preserve"> bw</w:t>
      </w:r>
      <w:r w:rsidRPr="00AE137A">
        <w:t xml:space="preserve">/day neat (undiluted) Eh by occluded cutaneous application, six hours per day, on gestational days (gd) 6 through 15. There were no treatment-related maternal deaths. No dams aborted. Maternal weight gain was significantly reduced for </w:t>
      </w:r>
      <w:proofErr w:type="gramStart"/>
      <w:r w:rsidRPr="00AE137A">
        <w:t>gd</w:t>
      </w:r>
      <w:proofErr w:type="gramEnd"/>
      <w:r w:rsidRPr="00AE137A">
        <w:t xml:space="preserve"> 6-9 at 3.0 m</w:t>
      </w:r>
      <w:r>
        <w:t>L</w:t>
      </w:r>
      <w:r w:rsidRPr="00AE137A">
        <w:t>/kg</w:t>
      </w:r>
      <w:r>
        <w:t xml:space="preserve"> bw</w:t>
      </w:r>
      <w:r w:rsidRPr="00AE137A">
        <w:t xml:space="preserve">/day. Food consumption was reduced for the same period. Treatment-related clinical signs were local (skin drying; scaling, crust </w:t>
      </w:r>
      <w:r>
        <w:t>f</w:t>
      </w:r>
      <w:r w:rsidRPr="00AE137A">
        <w:t xml:space="preserve">ormation) </w:t>
      </w:r>
      <w:r>
        <w:t xml:space="preserve">and </w:t>
      </w:r>
      <w:r w:rsidRPr="00AE137A">
        <w:t>observed at 1.0 and 3.0 m</w:t>
      </w:r>
      <w:r>
        <w:t>L</w:t>
      </w:r>
      <w:r w:rsidRPr="00AE137A">
        <w:t>/kg</w:t>
      </w:r>
      <w:r>
        <w:t xml:space="preserve"> bw</w:t>
      </w:r>
      <w:r w:rsidRPr="00AE137A">
        <w:t xml:space="preserve">/day. There were no effects on terminal maternal body weight, gestational weight gain (absolute or corrected), gravid uterine weight, or on thymus, liver, spleen, adrenal or kidney weights (absolute or relative). Gestational parameters, including </w:t>
      </w:r>
      <w:r>
        <w:t xml:space="preserve">the </w:t>
      </w:r>
      <w:r w:rsidRPr="00AE137A">
        <w:t>number of ovarian corpora lutea, total, viable and nonviable implantations per litter, sex ratio</w:t>
      </w:r>
      <w:r>
        <w:t>,</w:t>
      </w:r>
      <w:r w:rsidRPr="00AE137A">
        <w:t xml:space="preserve"> and fetal body weight per litter were unaffected by exposure to </w:t>
      </w:r>
      <w:r>
        <w:t>Eh</w:t>
      </w:r>
      <w:r w:rsidRPr="00AE137A">
        <w:t>. There was no significant increase in the incidence of malformations</w:t>
      </w:r>
      <w:r>
        <w:t>.</w:t>
      </w:r>
      <w:r w:rsidRPr="00AE137A">
        <w:t xml:space="preserve"> </w:t>
      </w:r>
    </w:p>
    <w:p w:rsidR="001D41E2" w:rsidRPr="00AE137A" w:rsidRDefault="001D41E2" w:rsidP="00DE56B0">
      <w:pPr>
        <w:autoSpaceDE w:val="0"/>
        <w:autoSpaceDN w:val="0"/>
        <w:adjustRightInd w:val="0"/>
        <w:jc w:val="both"/>
      </w:pPr>
    </w:p>
    <w:p w:rsidR="001D41E2" w:rsidRPr="004B7EF4" w:rsidRDefault="001D41E2" w:rsidP="00DE56B0">
      <w:pPr>
        <w:autoSpaceDE w:val="0"/>
        <w:autoSpaceDN w:val="0"/>
        <w:adjustRightInd w:val="0"/>
        <w:jc w:val="both"/>
      </w:pPr>
      <w:r w:rsidRPr="00AE137A">
        <w:t xml:space="preserve">There are no developmentally toxic or teratogenic effects attributable to </w:t>
      </w:r>
      <w:r>
        <w:t>Eh</w:t>
      </w:r>
      <w:r w:rsidRPr="00AE137A">
        <w:t xml:space="preserve"> applied dermally to pregnant F344 rats, at treatment levels up to and including 3.0 m</w:t>
      </w:r>
      <w:r>
        <w:t>L</w:t>
      </w:r>
      <w:r w:rsidRPr="00AE137A">
        <w:t>/kg</w:t>
      </w:r>
      <w:r>
        <w:t xml:space="preserve"> bw</w:t>
      </w:r>
      <w:r w:rsidRPr="00AE137A">
        <w:t>/day (2520 mg/kg</w:t>
      </w:r>
      <w:r>
        <w:t xml:space="preserve"> bw</w:t>
      </w:r>
      <w:r w:rsidRPr="00AE137A">
        <w:t>/day</w:t>
      </w:r>
      <w:r>
        <w:t xml:space="preserve"> = NOAEL</w:t>
      </w:r>
      <w:r w:rsidRPr="00AE137A">
        <w:t>). The NOAEL for maternal systemic toxicity is 1.0 m</w:t>
      </w:r>
      <w:r>
        <w:t>L/</w:t>
      </w:r>
      <w:r w:rsidRPr="00AE137A">
        <w:t>kg</w:t>
      </w:r>
      <w:r>
        <w:t xml:space="preserve"> bw</w:t>
      </w:r>
      <w:r w:rsidRPr="00AE137A">
        <w:t>/day (840 mg/kg</w:t>
      </w:r>
      <w:r>
        <w:t xml:space="preserve"> bw</w:t>
      </w:r>
      <w:r w:rsidRPr="00AE137A">
        <w:t>/day), based on reduced body weight gain, and the NOAEL for skin irritation is 0.3 m</w:t>
      </w:r>
      <w:r>
        <w:t>L</w:t>
      </w:r>
      <w:r w:rsidRPr="00AE137A">
        <w:t>/kg</w:t>
      </w:r>
      <w:r>
        <w:t xml:space="preserve"> bw</w:t>
      </w:r>
      <w:r w:rsidRPr="00AE137A">
        <w:t>/day (252 mg/kg</w:t>
      </w:r>
      <w:r>
        <w:t xml:space="preserve"> bw</w:t>
      </w:r>
      <w:r w:rsidRPr="00AE137A">
        <w:t>/day).</w:t>
      </w:r>
      <w:r>
        <w:t xml:space="preserve"> </w:t>
      </w:r>
    </w:p>
    <w:p w:rsidR="001D41E2" w:rsidRDefault="001D41E2" w:rsidP="00FC3F4E">
      <w:pPr>
        <w:pStyle w:val="BodyText"/>
        <w:spacing w:before="240"/>
      </w:pPr>
      <w:r w:rsidRPr="00337150">
        <w:rPr>
          <w:b/>
          <w:bCs/>
          <w:i/>
          <w:iCs/>
        </w:rPr>
        <w:t>HCl</w:t>
      </w:r>
      <w:r w:rsidRPr="00337150">
        <w:rPr>
          <w:b/>
          <w:bCs/>
        </w:rPr>
        <w:t>:</w:t>
      </w:r>
      <w:r>
        <w:t xml:space="preserve">  Limited information is available regarding developmental toxicity associated with HCl (OECD 2002a; </w:t>
      </w:r>
      <w:hyperlink r:id="rId55" w:history="1">
        <w:r w:rsidRPr="00F35456">
          <w:rPr>
            <w:rStyle w:val="Hyperlink"/>
            <w:sz w:val="24"/>
            <w:szCs w:val="24"/>
          </w:rPr>
          <w:t>http://www.chem.unep.ch/irptc/sids/oecdsids/7647010.pdf</w:t>
        </w:r>
      </w:hyperlink>
      <w:r w:rsidRPr="00F35456">
        <w:t>):</w:t>
      </w:r>
      <w:r>
        <w:t xml:space="preserve"> However, in one study, p</w:t>
      </w:r>
      <w:r w:rsidRPr="003D27DF">
        <w:t>regnant female</w:t>
      </w:r>
      <w:r>
        <w:t>s</w:t>
      </w:r>
      <w:r w:rsidRPr="003D27DF">
        <w:t xml:space="preserve"> exposed to </w:t>
      </w:r>
      <w:r>
        <w:t xml:space="preserve">0.45 mg/L </w:t>
      </w:r>
      <w:r w:rsidRPr="003D27DF">
        <w:t>hydrogen chloride vapour for 1 hour</w:t>
      </w:r>
      <w:r>
        <w:t xml:space="preserve"> on the 9</w:t>
      </w:r>
      <w:r w:rsidRPr="00196FE2">
        <w:rPr>
          <w:vertAlign w:val="superscript"/>
        </w:rPr>
        <w:t>th</w:t>
      </w:r>
      <w:r>
        <w:t xml:space="preserve"> day of gestation, exhibited haemorraghic oedema of the lungs, and a third of the dams died from severe dyspnea </w:t>
      </w:r>
      <w:r w:rsidRPr="003D27DF">
        <w:t>and cyanosis</w:t>
      </w:r>
      <w:r>
        <w:t>.  Surviving dams had</w:t>
      </w:r>
      <w:r w:rsidRPr="003D27DF">
        <w:t xml:space="preserve"> functional disorders of lungs, </w:t>
      </w:r>
      <w:r>
        <w:t xml:space="preserve">kidney and </w:t>
      </w:r>
      <w:r w:rsidRPr="003D27DF">
        <w:t>liver</w:t>
      </w:r>
      <w:r>
        <w:t>.  I</w:t>
      </w:r>
      <w:r w:rsidRPr="003D27DF">
        <w:t xml:space="preserve">ncreased mortality </w:t>
      </w:r>
      <w:r>
        <w:t xml:space="preserve">was seen in the pups as well as lung, kidney, and liver effects primarily in male animals.  </w:t>
      </w:r>
    </w:p>
    <w:p w:rsidR="001D41E2" w:rsidRPr="00710441" w:rsidRDefault="001D41E2" w:rsidP="00FC3F4E">
      <w:pPr>
        <w:pStyle w:val="Caption"/>
        <w:ind w:left="0"/>
      </w:pPr>
      <w:bookmarkStart w:id="83" w:name="_Toc264983298"/>
      <w:r>
        <w:t>Table 2</w:t>
      </w:r>
      <w:r w:rsidR="002F054D">
        <w:t>2</w:t>
      </w:r>
      <w:r>
        <w:t xml:space="preserve">  </w:t>
      </w:r>
      <w:r w:rsidR="00361759">
        <w:t xml:space="preserve">   </w:t>
      </w:r>
      <w:r>
        <w:t>Summary of Developmental Toxicity</w:t>
      </w:r>
      <w:bookmarkEnd w:id="83"/>
      <w:r w:rsidR="002F054D">
        <w:t xml:space="preserve"> Data</w:t>
      </w:r>
    </w:p>
    <w:tbl>
      <w:tblPr>
        <w:tblW w:w="5000" w:type="pct"/>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37"/>
        <w:gridCol w:w="1340"/>
        <w:gridCol w:w="4385"/>
        <w:gridCol w:w="2193"/>
      </w:tblGrid>
      <w:tr w:rsidR="001D41E2" w:rsidRPr="004B7EF4" w:rsidTr="00361759">
        <w:tc>
          <w:tcPr>
            <w:tcW w:w="1908" w:type="dxa"/>
            <w:vAlign w:val="center"/>
          </w:tcPr>
          <w:p w:rsidR="001D41E2" w:rsidRPr="004B7EF4" w:rsidRDefault="001D41E2" w:rsidP="00DE56B0">
            <w:pPr>
              <w:pStyle w:val="Tabletext"/>
              <w:rPr>
                <w:b/>
                <w:bCs/>
              </w:rPr>
            </w:pPr>
            <w:r w:rsidRPr="004B7EF4">
              <w:rPr>
                <w:b/>
                <w:bCs/>
              </w:rPr>
              <w:t xml:space="preserve">Category member / </w:t>
            </w:r>
            <w:r w:rsidRPr="00071FE0">
              <w:rPr>
                <w:b/>
                <w:bCs/>
                <w:highlight w:val="lightGray"/>
              </w:rPr>
              <w:t>hydrolysis product</w:t>
            </w:r>
          </w:p>
        </w:tc>
        <w:tc>
          <w:tcPr>
            <w:tcW w:w="1320" w:type="dxa"/>
            <w:vAlign w:val="center"/>
          </w:tcPr>
          <w:p w:rsidR="001D41E2" w:rsidRPr="004B7EF4" w:rsidRDefault="001D41E2" w:rsidP="00DE56B0">
            <w:pPr>
              <w:pStyle w:val="Tabletext"/>
              <w:jc w:val="center"/>
              <w:rPr>
                <w:b/>
                <w:bCs/>
              </w:rPr>
            </w:pPr>
            <w:r w:rsidRPr="004B7EF4">
              <w:rPr>
                <w:b/>
                <w:bCs/>
              </w:rPr>
              <w:t>Test species</w:t>
            </w:r>
          </w:p>
        </w:tc>
        <w:tc>
          <w:tcPr>
            <w:tcW w:w="4320" w:type="dxa"/>
            <w:vAlign w:val="center"/>
          </w:tcPr>
          <w:p w:rsidR="001D41E2" w:rsidRPr="004B7EF4" w:rsidRDefault="001D41E2" w:rsidP="00DE56B0">
            <w:pPr>
              <w:pStyle w:val="Tabletext"/>
              <w:jc w:val="center"/>
              <w:rPr>
                <w:b/>
                <w:bCs/>
              </w:rPr>
            </w:pPr>
            <w:r>
              <w:rPr>
                <w:b/>
                <w:bCs/>
              </w:rPr>
              <w:t xml:space="preserve">Route: </w:t>
            </w:r>
            <w:r w:rsidRPr="004B7EF4">
              <w:rPr>
                <w:b/>
                <w:bCs/>
              </w:rPr>
              <w:t>Result</w:t>
            </w:r>
          </w:p>
        </w:tc>
        <w:tc>
          <w:tcPr>
            <w:tcW w:w="2160" w:type="dxa"/>
            <w:vAlign w:val="center"/>
          </w:tcPr>
          <w:p w:rsidR="001D41E2" w:rsidRPr="004B7EF4" w:rsidRDefault="001D41E2" w:rsidP="00DE56B0">
            <w:pPr>
              <w:pStyle w:val="Tabletext"/>
              <w:jc w:val="center"/>
              <w:rPr>
                <w:b/>
                <w:bCs/>
              </w:rPr>
            </w:pPr>
            <w:r w:rsidRPr="004B7EF4">
              <w:rPr>
                <w:b/>
                <w:bCs/>
              </w:rPr>
              <w:t>Reference</w:t>
            </w:r>
          </w:p>
        </w:tc>
      </w:tr>
      <w:tr w:rsidR="001D41E2" w:rsidRPr="004B7EF4" w:rsidTr="00361759">
        <w:trPr>
          <w:trHeight w:val="397"/>
        </w:trPr>
        <w:tc>
          <w:tcPr>
            <w:tcW w:w="9708" w:type="dxa"/>
            <w:gridSpan w:val="4"/>
            <w:vAlign w:val="center"/>
          </w:tcPr>
          <w:p w:rsidR="001D41E2" w:rsidRPr="004B7EF4" w:rsidRDefault="001D41E2" w:rsidP="00DE56B0">
            <w:pPr>
              <w:pStyle w:val="Tabletext"/>
            </w:pPr>
            <w:r w:rsidRPr="004B7EF4">
              <w:rPr>
                <w:b/>
                <w:bCs/>
              </w:rPr>
              <w:t xml:space="preserve">Effects on </w:t>
            </w:r>
            <w:r>
              <w:rPr>
                <w:b/>
                <w:bCs/>
              </w:rPr>
              <w:t>Development</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Me</w:t>
            </w:r>
          </w:p>
        </w:tc>
        <w:tc>
          <w:tcPr>
            <w:tcW w:w="1320" w:type="dxa"/>
            <w:shd w:val="clear" w:color="auto" w:fill="BFBFBF" w:themeFill="background1" w:themeFillShade="BF"/>
            <w:vAlign w:val="center"/>
          </w:tcPr>
          <w:p w:rsidR="001D41E2" w:rsidRPr="00071FE0" w:rsidRDefault="007D3E3E" w:rsidP="00DE56B0">
            <w:pPr>
              <w:jc w:val="center"/>
              <w:rPr>
                <w:i/>
                <w:iCs/>
                <w:sz w:val="20"/>
                <w:szCs w:val="20"/>
                <w:highlight w:val="lightGray"/>
              </w:rPr>
            </w:pPr>
            <w:r w:rsidRPr="007D3E3E">
              <w:rPr>
                <w:i/>
                <w:iCs/>
                <w:sz w:val="20"/>
                <w:szCs w:val="20"/>
                <w:highlight w:val="lightGray"/>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NOAEC of 6.65 mg/L/d (develop)</w:t>
            </w:r>
          </w:p>
          <w:p w:rsidR="001D41E2" w:rsidRPr="00071FE0" w:rsidRDefault="007D3E3E" w:rsidP="00DE56B0">
            <w:pPr>
              <w:pStyle w:val="Tabletext"/>
              <w:jc w:val="center"/>
              <w:rPr>
                <w:highlight w:val="lightGray"/>
              </w:rPr>
            </w:pPr>
            <w:r w:rsidRPr="007D3E3E">
              <w:rPr>
                <w:highlight w:val="lightGray"/>
              </w:rPr>
              <w:t>Inhalation: NOAEC of 13.3 mg/L/d (matern.)</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2004a</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Et</w:t>
            </w:r>
          </w:p>
        </w:tc>
        <w:tc>
          <w:tcPr>
            <w:tcW w:w="1320" w:type="dxa"/>
            <w:shd w:val="clear" w:color="auto" w:fill="BFBFBF" w:themeFill="background1" w:themeFillShade="BF"/>
            <w:vAlign w:val="center"/>
          </w:tcPr>
          <w:p w:rsidR="001D41E2" w:rsidRPr="00071FE0" w:rsidRDefault="007D3E3E" w:rsidP="00DE56B0">
            <w:pPr>
              <w:pStyle w:val="NormalWeb"/>
              <w:spacing w:before="120" w:after="120"/>
              <w:jc w:val="center"/>
              <w:rPr>
                <w:sz w:val="20"/>
                <w:szCs w:val="20"/>
                <w:highlight w:val="lightGray"/>
                <w:lang w:val="en-US"/>
              </w:rPr>
            </w:pPr>
            <w:r w:rsidRPr="007D3E3E">
              <w:rPr>
                <w:sz w:val="20"/>
                <w:szCs w:val="20"/>
                <w:highlight w:val="lightGray"/>
                <w:lang w:val="en-US"/>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NOAEC &gt;ca. 38 mg/L/d (develop)</w:t>
            </w:r>
          </w:p>
          <w:p w:rsidR="001D41E2" w:rsidRPr="00071FE0" w:rsidRDefault="007D3E3E" w:rsidP="000D75AE">
            <w:pPr>
              <w:pStyle w:val="Tabletext"/>
              <w:jc w:val="center"/>
              <w:rPr>
                <w:highlight w:val="lightGray"/>
              </w:rPr>
            </w:pPr>
            <w:r w:rsidRPr="007D3E3E">
              <w:rPr>
                <w:highlight w:val="lightGray"/>
              </w:rPr>
              <w:t>Inhalation: NOAEC ca. 30 mg/L/d (matern.)</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2005</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Pr</w:t>
            </w:r>
          </w:p>
        </w:tc>
        <w:tc>
          <w:tcPr>
            <w:tcW w:w="1320" w:type="dxa"/>
            <w:shd w:val="clear" w:color="auto" w:fill="BFBFBF" w:themeFill="background1" w:themeFillShade="BF"/>
            <w:vAlign w:val="center"/>
          </w:tcPr>
          <w:p w:rsidR="001D41E2" w:rsidRPr="00071FE0" w:rsidRDefault="007D3E3E" w:rsidP="00DE56B0">
            <w:pPr>
              <w:pStyle w:val="NormalWeb"/>
              <w:spacing w:before="120" w:after="120"/>
              <w:jc w:val="center"/>
              <w:rPr>
                <w:sz w:val="20"/>
                <w:szCs w:val="20"/>
                <w:highlight w:val="lightGray"/>
                <w:lang w:val="en-US"/>
              </w:rPr>
            </w:pPr>
            <w:r w:rsidRPr="007D3E3E">
              <w:rPr>
                <w:sz w:val="20"/>
                <w:szCs w:val="20"/>
                <w:highlight w:val="lightGray"/>
                <w:lang w:val="en-US"/>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NOEC 8.9 mg/L/day</w:t>
            </w:r>
          </w:p>
          <w:p w:rsidR="001D41E2" w:rsidRPr="00071FE0" w:rsidRDefault="007D3E3E" w:rsidP="00DE56B0">
            <w:pPr>
              <w:pStyle w:val="Tabletext"/>
              <w:jc w:val="center"/>
              <w:rPr>
                <w:highlight w:val="lightGray"/>
              </w:rPr>
            </w:pPr>
            <w:r w:rsidRPr="007D3E3E">
              <w:rPr>
                <w:highlight w:val="lightGray"/>
              </w:rPr>
              <w:t>(maternal and developmental)</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ECB, 2008</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Ip</w:t>
            </w:r>
          </w:p>
        </w:tc>
        <w:tc>
          <w:tcPr>
            <w:tcW w:w="1320" w:type="dxa"/>
            <w:shd w:val="clear" w:color="auto" w:fill="BFBFBF" w:themeFill="background1" w:themeFillShade="BF"/>
            <w:vAlign w:val="center"/>
          </w:tcPr>
          <w:p w:rsidR="001D41E2" w:rsidRPr="00071FE0" w:rsidRDefault="007D3E3E" w:rsidP="00DE56B0">
            <w:pPr>
              <w:pStyle w:val="NormalWeb"/>
              <w:spacing w:before="120" w:after="120"/>
              <w:jc w:val="center"/>
              <w:rPr>
                <w:sz w:val="20"/>
                <w:szCs w:val="20"/>
                <w:highlight w:val="lightGray"/>
                <w:lang w:val="en-US"/>
              </w:rPr>
            </w:pPr>
            <w:r w:rsidRPr="007D3E3E">
              <w:rPr>
                <w:sz w:val="20"/>
                <w:szCs w:val="20"/>
                <w:highlight w:val="lightGray"/>
                <w:lang w:val="en-US"/>
              </w:rPr>
              <w:t>rat          rabbit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 xml:space="preserve">Oral (gavage): NOAEL 400 mg/kg  bw/day                 </w:t>
            </w:r>
          </w:p>
          <w:p w:rsidR="001D41E2" w:rsidRPr="00071FE0" w:rsidRDefault="007D3E3E" w:rsidP="00DE56B0">
            <w:pPr>
              <w:pStyle w:val="Tabletext"/>
              <w:jc w:val="center"/>
              <w:rPr>
                <w:highlight w:val="lightGray"/>
              </w:rPr>
            </w:pPr>
            <w:r w:rsidRPr="007D3E3E">
              <w:rPr>
                <w:highlight w:val="lightGray"/>
              </w:rPr>
              <w:t>Oral (gavage): NOAEL 480 mg/kg bw/day (maternal and developmental)</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2000</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Sb</w:t>
            </w:r>
          </w:p>
        </w:tc>
        <w:tc>
          <w:tcPr>
            <w:tcW w:w="1320" w:type="dxa"/>
            <w:shd w:val="clear" w:color="auto" w:fill="BFBFBF" w:themeFill="background1" w:themeFillShade="BF"/>
            <w:vAlign w:val="center"/>
          </w:tcPr>
          <w:p w:rsidR="001D41E2" w:rsidRPr="00071FE0" w:rsidRDefault="007D3E3E" w:rsidP="00DE56B0">
            <w:pPr>
              <w:jc w:val="center"/>
              <w:rPr>
                <w:i/>
                <w:iCs/>
                <w:sz w:val="20"/>
                <w:szCs w:val="20"/>
                <w:highlight w:val="lightGray"/>
              </w:rPr>
            </w:pPr>
            <w:r w:rsidRPr="007D3E3E">
              <w:rPr>
                <w:i/>
                <w:iCs/>
                <w:sz w:val="20"/>
                <w:szCs w:val="20"/>
                <w:highlight w:val="lightGray"/>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NOAEC ca. 10.6 mg/L/d (develop.)</w:t>
            </w:r>
          </w:p>
          <w:p w:rsidR="001D41E2" w:rsidRPr="00071FE0" w:rsidRDefault="007D3E3E" w:rsidP="000D75AE">
            <w:pPr>
              <w:pStyle w:val="Tabletext"/>
              <w:jc w:val="center"/>
              <w:rPr>
                <w:highlight w:val="lightGray"/>
              </w:rPr>
            </w:pPr>
            <w:r w:rsidRPr="007D3E3E">
              <w:rPr>
                <w:highlight w:val="lightGray"/>
              </w:rPr>
              <w:t>Inhalation: NOAEC &lt; ca. 10.6 mg/L/d (matern.)</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2002b</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DEG</w:t>
            </w:r>
          </w:p>
        </w:tc>
        <w:tc>
          <w:tcPr>
            <w:tcW w:w="1320" w:type="dxa"/>
            <w:shd w:val="clear" w:color="auto" w:fill="BFBFBF" w:themeFill="background1" w:themeFillShade="BF"/>
            <w:vAlign w:val="center"/>
          </w:tcPr>
          <w:p w:rsidR="001D41E2" w:rsidRPr="00071FE0" w:rsidRDefault="007D3E3E" w:rsidP="00DE56B0">
            <w:pPr>
              <w:pStyle w:val="NormalWeb"/>
              <w:spacing w:before="120" w:after="120"/>
              <w:jc w:val="center"/>
              <w:rPr>
                <w:sz w:val="20"/>
                <w:szCs w:val="20"/>
                <w:highlight w:val="lightGray"/>
                <w:lang w:val="en-US"/>
              </w:rPr>
            </w:pPr>
            <w:r w:rsidRPr="007D3E3E">
              <w:rPr>
                <w:sz w:val="20"/>
                <w:szCs w:val="20"/>
                <w:highlight w:val="lightGray"/>
                <w:lang w:val="en-US"/>
              </w:rPr>
              <w:t>rat         rabbit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Oral (gavage): NOAEL 1000 mg/kg bw/day</w:t>
            </w:r>
          </w:p>
          <w:p w:rsidR="001D41E2" w:rsidRPr="00071FE0" w:rsidRDefault="007D3E3E" w:rsidP="00DE56B0">
            <w:pPr>
              <w:pStyle w:val="Tabletext"/>
              <w:jc w:val="center"/>
              <w:rPr>
                <w:highlight w:val="lightGray"/>
              </w:rPr>
            </w:pPr>
            <w:r w:rsidRPr="007D3E3E">
              <w:rPr>
                <w:highlight w:val="lightGray"/>
              </w:rPr>
              <w:t>(maternal and developmental)</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2004b</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Eh</w:t>
            </w:r>
          </w:p>
        </w:tc>
        <w:tc>
          <w:tcPr>
            <w:tcW w:w="1320" w:type="dxa"/>
            <w:shd w:val="clear" w:color="auto" w:fill="BFBFBF" w:themeFill="background1" w:themeFillShade="BF"/>
            <w:vAlign w:val="center"/>
          </w:tcPr>
          <w:p w:rsidR="001D41E2" w:rsidRPr="00071FE0" w:rsidRDefault="007D3E3E" w:rsidP="00DE56B0">
            <w:pPr>
              <w:pStyle w:val="NormalWeb"/>
              <w:spacing w:before="120" w:after="120"/>
              <w:jc w:val="center"/>
              <w:rPr>
                <w:sz w:val="20"/>
                <w:szCs w:val="20"/>
                <w:highlight w:val="lightGray"/>
                <w:lang w:val="en-US"/>
              </w:rPr>
            </w:pPr>
            <w:r w:rsidRPr="007D3E3E">
              <w:rPr>
                <w:sz w:val="20"/>
                <w:szCs w:val="20"/>
                <w:highlight w:val="lightGray"/>
                <w:lang w:val="en-US"/>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Oral (gavage): NOAEL 650 mg/kg bw/day</w:t>
            </w:r>
          </w:p>
          <w:p w:rsidR="001D41E2" w:rsidRPr="00071FE0" w:rsidRDefault="007D3E3E" w:rsidP="00DE56B0">
            <w:pPr>
              <w:pStyle w:val="Tabletext"/>
              <w:jc w:val="center"/>
              <w:rPr>
                <w:highlight w:val="lightGray"/>
              </w:rPr>
            </w:pPr>
            <w:r w:rsidRPr="007D3E3E">
              <w:rPr>
                <w:highlight w:val="lightGray"/>
              </w:rPr>
              <w:t>(maternal and developmental)</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1995</w:t>
            </w:r>
          </w:p>
        </w:tc>
      </w:tr>
      <w:tr w:rsidR="001D41E2" w:rsidRPr="004B7EF4" w:rsidTr="00361759">
        <w:trPr>
          <w:trHeight w:val="567"/>
        </w:trPr>
        <w:tc>
          <w:tcPr>
            <w:tcW w:w="1908" w:type="dxa"/>
            <w:shd w:val="clear" w:color="auto" w:fill="BFBFBF" w:themeFill="background1" w:themeFillShade="BF"/>
            <w:vAlign w:val="center"/>
          </w:tcPr>
          <w:p w:rsidR="001D41E2" w:rsidRPr="00071FE0" w:rsidRDefault="007D3E3E" w:rsidP="00361759">
            <w:pPr>
              <w:pStyle w:val="Tabletext"/>
              <w:ind w:left="424"/>
              <w:rPr>
                <w:highlight w:val="lightGray"/>
              </w:rPr>
            </w:pPr>
            <w:r w:rsidRPr="007D3E3E">
              <w:rPr>
                <w:highlight w:val="lightGray"/>
              </w:rPr>
              <w:t>HCl</w:t>
            </w:r>
          </w:p>
        </w:tc>
        <w:tc>
          <w:tcPr>
            <w:tcW w:w="1320" w:type="dxa"/>
            <w:shd w:val="clear" w:color="auto" w:fill="BFBFBF" w:themeFill="background1" w:themeFillShade="BF"/>
            <w:vAlign w:val="center"/>
          </w:tcPr>
          <w:p w:rsidR="001D41E2" w:rsidRPr="00071FE0" w:rsidRDefault="007D3E3E" w:rsidP="00DE56B0">
            <w:pPr>
              <w:jc w:val="center"/>
              <w:rPr>
                <w:i/>
                <w:iCs/>
                <w:sz w:val="20"/>
                <w:szCs w:val="20"/>
                <w:highlight w:val="lightGray"/>
              </w:rPr>
            </w:pPr>
            <w:r w:rsidRPr="007D3E3E">
              <w:rPr>
                <w:i/>
                <w:iCs/>
                <w:sz w:val="20"/>
                <w:szCs w:val="20"/>
                <w:highlight w:val="lightGray"/>
              </w:rPr>
              <w:t>rat</w:t>
            </w:r>
          </w:p>
        </w:tc>
        <w:tc>
          <w:tcPr>
            <w:tcW w:w="4320" w:type="dxa"/>
            <w:shd w:val="clear" w:color="auto" w:fill="BFBFBF" w:themeFill="background1" w:themeFillShade="BF"/>
            <w:vAlign w:val="center"/>
          </w:tcPr>
          <w:p w:rsidR="001D41E2" w:rsidRPr="00071FE0" w:rsidRDefault="007D3E3E" w:rsidP="00DE56B0">
            <w:pPr>
              <w:pStyle w:val="Tabletext"/>
              <w:jc w:val="center"/>
              <w:rPr>
                <w:highlight w:val="lightGray"/>
              </w:rPr>
            </w:pPr>
            <w:r w:rsidRPr="007D3E3E">
              <w:rPr>
                <w:highlight w:val="lightGray"/>
              </w:rPr>
              <w:t>Inhalation: LOAEC 0.45 mg/L/day</w:t>
            </w:r>
          </w:p>
          <w:p w:rsidR="001D41E2" w:rsidRPr="00071FE0" w:rsidRDefault="007D3E3E" w:rsidP="00DE56B0">
            <w:pPr>
              <w:pStyle w:val="Tabletext"/>
              <w:jc w:val="center"/>
              <w:rPr>
                <w:highlight w:val="lightGray"/>
              </w:rPr>
            </w:pPr>
            <w:r w:rsidRPr="007D3E3E">
              <w:rPr>
                <w:highlight w:val="lightGray"/>
              </w:rPr>
              <w:t>(maternal and developmental)</w:t>
            </w:r>
          </w:p>
        </w:tc>
        <w:tc>
          <w:tcPr>
            <w:tcW w:w="2160" w:type="dxa"/>
            <w:shd w:val="clear" w:color="auto" w:fill="BFBFBF" w:themeFill="background1" w:themeFillShade="BF"/>
            <w:vAlign w:val="center"/>
          </w:tcPr>
          <w:p w:rsidR="001D41E2" w:rsidRPr="00071FE0" w:rsidRDefault="007D3E3E" w:rsidP="00361759">
            <w:pPr>
              <w:pStyle w:val="Tabletext"/>
              <w:ind w:left="416"/>
              <w:rPr>
                <w:highlight w:val="lightGray"/>
              </w:rPr>
            </w:pPr>
            <w:r w:rsidRPr="007D3E3E">
              <w:rPr>
                <w:highlight w:val="lightGray"/>
              </w:rPr>
              <w:t>OECD,  2002a</w:t>
            </w:r>
          </w:p>
        </w:tc>
      </w:tr>
    </w:tbl>
    <w:p w:rsidR="001D41E2" w:rsidRPr="004B7EF4" w:rsidRDefault="001D41E2" w:rsidP="00361759">
      <w:pPr>
        <w:pStyle w:val="Heading8"/>
        <w:spacing w:before="240"/>
        <w:rPr>
          <w:lang w:val="en-US"/>
        </w:rPr>
      </w:pPr>
      <w:r w:rsidRPr="004B7EF4">
        <w:rPr>
          <w:lang w:val="en-US"/>
        </w:rPr>
        <w:t>Studies in Humans</w:t>
      </w:r>
    </w:p>
    <w:p w:rsidR="001D41E2" w:rsidRPr="004B7EF4" w:rsidRDefault="001D41E2" w:rsidP="00DE56B0">
      <w:pPr>
        <w:pStyle w:val="BodyText"/>
        <w:rPr>
          <w:lang w:val="en-US"/>
        </w:rPr>
      </w:pPr>
      <w:r w:rsidRPr="004B7EF4">
        <w:rPr>
          <w:lang w:val="en-US"/>
        </w:rPr>
        <w:t>No data available.</w:t>
      </w:r>
    </w:p>
    <w:p w:rsidR="001D41E2" w:rsidRDefault="001D41E2" w:rsidP="00DE56B0">
      <w:pPr>
        <w:pStyle w:val="Heading8"/>
        <w:rPr>
          <w:lang w:val="en-US"/>
        </w:rPr>
      </w:pPr>
      <w:r w:rsidRPr="004B7EF4">
        <w:rPr>
          <w:lang w:val="en-US"/>
        </w:rPr>
        <w:t>Conclusion</w:t>
      </w:r>
    </w:p>
    <w:p w:rsidR="001D41E2" w:rsidRPr="00B95405" w:rsidRDefault="001D41E2" w:rsidP="00B95405">
      <w:pPr>
        <w:jc w:val="both"/>
        <w:rPr>
          <w:rStyle w:val="BodyTextChar11"/>
        </w:rPr>
      </w:pPr>
      <w:r w:rsidRPr="00B95405">
        <w:rPr>
          <w:rStyle w:val="BodyTextChar11"/>
        </w:rPr>
        <w:t>No reproductive toxicity studies are available for the chloroformates category members</w:t>
      </w:r>
      <w:r>
        <w:rPr>
          <w:rStyle w:val="BodyTextChar11"/>
        </w:rPr>
        <w:t xml:space="preserve">.  </w:t>
      </w:r>
      <w:r w:rsidRPr="00B95405">
        <w:rPr>
          <w:rStyle w:val="BodyTextChar11"/>
        </w:rPr>
        <w:t xml:space="preserve">Data are available for all of the hydrolysis products. No effects on fertility were observed in inhalation studies with rats exposed to Me, </w:t>
      </w:r>
      <w:proofErr w:type="gramStart"/>
      <w:r w:rsidRPr="00B95405">
        <w:rPr>
          <w:rStyle w:val="BodyTextChar11"/>
        </w:rPr>
        <w:t>Et</w:t>
      </w:r>
      <w:proofErr w:type="gramEnd"/>
      <w:r w:rsidRPr="00B95405">
        <w:rPr>
          <w:rStyle w:val="BodyTextChar11"/>
        </w:rPr>
        <w:t xml:space="preserve"> and Pr. The inhalation NOAE</w:t>
      </w:r>
      <w:r>
        <w:rPr>
          <w:rStyle w:val="BodyTextChar11"/>
        </w:rPr>
        <w:t>C</w:t>
      </w:r>
      <w:r w:rsidRPr="00B95405">
        <w:rPr>
          <w:rStyle w:val="BodyTextChar11"/>
        </w:rPr>
        <w:t xml:space="preserve"> for reproductive toxicity ranges from 1000 ppm (1.3 mg/L) for Me to 16000 ppm (30 mg/L) for Et. In an inhalation study with Pr in rats, male fertility was impaired.  The NOAEC for reproductive toxicity (males) was 3500 ppm (8.9 mg/L) and females 7000 ppm (17.9 mg/L) (highest dose tested).  No effects on the gonads were observed after repeated inhalation exposures to HCl in rats up to 50 ppm.  Similarly, there were no effects on the reproductive organs in rats after repeated inhalation exposures to Eh at 0.64 mg/L/day. No significant adverse effects on fertility were observed in drinking water studies with rats exposed to DEG, Sb and Ip.  The NOAELs range from 625 mg/kg bw/day (male rat; Ip) to 1500 mg/kg bw/day for Sb and 6125 mg/kg bw/day for DEG.  For Et, reproductive effects in rats exposed by the oral route, other than an increase in the number of small pups, were observed at very high concentrations; the NOAEL for reproductive toxicity is &gt;2000 mg/kg/day.  For Ip, in an oral 2-generation study in rats, there was a decrease in the male mating index at 1000 mg/kg bw/day. The NOAEL for reproductive toxicity is 500 mg/kg bw/day.  No developmental effects were observed in the absence of maternal toxicity for </w:t>
      </w:r>
      <w:proofErr w:type="gramStart"/>
      <w:r w:rsidRPr="00B95405">
        <w:rPr>
          <w:rStyle w:val="BodyTextChar11"/>
        </w:rPr>
        <w:t>Et</w:t>
      </w:r>
      <w:proofErr w:type="gramEnd"/>
      <w:r w:rsidRPr="00B95405">
        <w:rPr>
          <w:rStyle w:val="BodyTextChar11"/>
        </w:rPr>
        <w:t xml:space="preserve">, Ip, Sb, DEG, and Eh. Malformations and fetal weight changes were observed following the inhalation exposure of rats to </w:t>
      </w:r>
      <w:proofErr w:type="gramStart"/>
      <w:r w:rsidRPr="00B95405">
        <w:rPr>
          <w:rStyle w:val="BodyTextChar11"/>
        </w:rPr>
        <w:t>Me</w:t>
      </w:r>
      <w:proofErr w:type="gramEnd"/>
      <w:r w:rsidRPr="00B95405">
        <w:rPr>
          <w:rStyle w:val="BodyTextChar11"/>
        </w:rPr>
        <w:t>. The NOAEC was 6.65 mg/L/d (5000 ppm).  Inhalation exposure of rats exposed to Pr showed skeletal malformations at 17.9 mg/L/day.  At 25.5 mg/L/day, there was a significant increase in the incidence of skeletal, visceral and external malformations and significant implantation loss. The NO</w:t>
      </w:r>
      <w:r>
        <w:rPr>
          <w:rStyle w:val="BodyTextChar11"/>
        </w:rPr>
        <w:t>A</w:t>
      </w:r>
      <w:r w:rsidRPr="00B95405">
        <w:rPr>
          <w:rStyle w:val="BodyTextChar11"/>
        </w:rPr>
        <w:t>EC for developmental toxicity was 8.9 mg/L.</w:t>
      </w:r>
      <w:r>
        <w:rPr>
          <w:rStyle w:val="BodyTextChar11"/>
        </w:rPr>
        <w:t xml:space="preserve">  For HCl, no reliable studies are available.  As reproductive and developmental effects are seen only at high doses for the alcohol hydrolysis products, </w:t>
      </w:r>
      <w:r w:rsidRPr="00B95405">
        <w:rPr>
          <w:rStyle w:val="BodyTextChar11"/>
        </w:rPr>
        <w:t>the chloroformates category members are not expected to be reproductive toxicants</w:t>
      </w:r>
      <w:r>
        <w:rPr>
          <w:rStyle w:val="BodyTextChar11"/>
        </w:rPr>
        <w:t xml:space="preserve"> and are unlikely to show developmental toxicity</w:t>
      </w:r>
      <w:r w:rsidRPr="00B95405">
        <w:rPr>
          <w:rStyle w:val="BodyTextChar11"/>
        </w:rPr>
        <w:t>.</w:t>
      </w:r>
    </w:p>
    <w:p w:rsidR="009D5214" w:rsidRDefault="001D41E2">
      <w:pPr>
        <w:pStyle w:val="Heading1"/>
        <w:numPr>
          <w:ilvl w:val="0"/>
          <w:numId w:val="28"/>
        </w:numPr>
        <w:tabs>
          <w:tab w:val="clear" w:pos="1077"/>
        </w:tabs>
        <w:ind w:left="839" w:hanging="839"/>
        <w:rPr>
          <w:lang w:val="en-US"/>
        </w:rPr>
      </w:pPr>
      <w:bookmarkStart w:id="84" w:name="_Toc264983271"/>
      <w:r w:rsidRPr="004B7EF4">
        <w:rPr>
          <w:lang w:val="en-US"/>
        </w:rPr>
        <w:t>hazards to the environment</w:t>
      </w:r>
      <w:bookmarkEnd w:id="51"/>
      <w:bookmarkEnd w:id="52"/>
      <w:bookmarkEnd w:id="53"/>
      <w:bookmarkEnd w:id="54"/>
      <w:bookmarkEnd w:id="84"/>
    </w:p>
    <w:p w:rsidR="001D41E2" w:rsidRPr="000C6902" w:rsidRDefault="001D41E2">
      <w:pPr>
        <w:pStyle w:val="Heading2"/>
        <w:numPr>
          <w:ilvl w:val="1"/>
          <w:numId w:val="28"/>
        </w:numPr>
        <w:tabs>
          <w:tab w:val="clear" w:pos="1440"/>
        </w:tabs>
        <w:rPr>
          <w:lang w:val="en-US"/>
        </w:rPr>
      </w:pPr>
      <w:bookmarkStart w:id="85" w:name="_Toc32726039"/>
      <w:bookmarkStart w:id="86" w:name="_Toc32727222"/>
      <w:bookmarkStart w:id="87" w:name="_Toc43868670"/>
      <w:bookmarkStart w:id="88" w:name="_Toc200358257"/>
      <w:bookmarkStart w:id="89" w:name="_Toc264983272"/>
      <w:r w:rsidRPr="000C6902">
        <w:rPr>
          <w:lang w:val="en-US"/>
        </w:rPr>
        <w:t>Aquatic Effects</w:t>
      </w:r>
      <w:bookmarkEnd w:id="85"/>
      <w:bookmarkEnd w:id="86"/>
      <w:bookmarkEnd w:id="87"/>
      <w:bookmarkEnd w:id="88"/>
      <w:bookmarkEnd w:id="89"/>
    </w:p>
    <w:p w:rsidR="001D41E2" w:rsidRDefault="001D41E2" w:rsidP="006A22BB">
      <w:pPr>
        <w:pStyle w:val="BodyText"/>
      </w:pPr>
      <w:r>
        <w:t xml:space="preserve">Data on the acute toxicity to fish are available for sponsored substances MeCF, PrCF, IpCF, SbCF, ObCF and EhCF.  Data on EtCF are not available but will be filled by all of the available data on the other category members.  </w:t>
      </w:r>
    </w:p>
    <w:p w:rsidR="001D41E2" w:rsidRDefault="001D41E2" w:rsidP="006A22BB">
      <w:pPr>
        <w:pStyle w:val="BodyText"/>
      </w:pPr>
      <w:r>
        <w:t>Acute toxicity to aquatic invertebrates and aquatic plants are not available for the chloroformate category members.  Due to the short hydrolysis half-lives (</w:t>
      </w:r>
      <w:r w:rsidR="007D3E3E" w:rsidRPr="007D3E3E">
        <w:rPr>
          <w:szCs w:val="24"/>
          <w:u w:val="single"/>
        </w:rPr>
        <w:t>&lt;</w:t>
      </w:r>
      <w:r>
        <w:t xml:space="preserve"> 30 min) of the chloroformate category members, results from the hydrolysis products are also used to fulfill the endpoint requirements with respect to ecotoxicology (i.e., aquatic invertebrates and aquatic plants).  </w:t>
      </w:r>
    </w:p>
    <w:p w:rsidR="001D41E2" w:rsidRPr="004B7EF4" w:rsidRDefault="001D41E2" w:rsidP="00CD2283">
      <w:pPr>
        <w:pStyle w:val="BodyText"/>
        <w:rPr>
          <w:lang w:val="en-US"/>
        </w:rPr>
      </w:pPr>
      <w:r w:rsidRPr="004B7EF4">
        <w:rPr>
          <w:lang w:val="en-US"/>
        </w:rPr>
        <w:t xml:space="preserve">Table </w:t>
      </w:r>
      <w:r>
        <w:rPr>
          <w:lang w:val="en-US"/>
        </w:rPr>
        <w:t>2</w:t>
      </w:r>
      <w:r w:rsidR="002F054D">
        <w:rPr>
          <w:lang w:val="en-US"/>
        </w:rPr>
        <w:t>3</w:t>
      </w:r>
      <w:r w:rsidRPr="004B7EF4">
        <w:rPr>
          <w:lang w:val="en-US"/>
        </w:rPr>
        <w:t xml:space="preserve"> </w:t>
      </w:r>
      <w:r>
        <w:rPr>
          <w:lang w:val="en-US"/>
        </w:rPr>
        <w:t xml:space="preserve">provides a </w:t>
      </w:r>
      <w:r w:rsidRPr="004B7EF4">
        <w:rPr>
          <w:lang w:val="en-US"/>
        </w:rPr>
        <w:t xml:space="preserve">summary </w:t>
      </w:r>
      <w:r>
        <w:rPr>
          <w:lang w:val="en-US"/>
        </w:rPr>
        <w:t xml:space="preserve">of the </w:t>
      </w:r>
      <w:r w:rsidRPr="004B7EF4">
        <w:rPr>
          <w:lang w:val="en-US"/>
        </w:rPr>
        <w:t>results.</w:t>
      </w:r>
    </w:p>
    <w:p w:rsidR="001D41E2" w:rsidRPr="001130ED" w:rsidRDefault="001D41E2" w:rsidP="001130ED">
      <w:pPr>
        <w:pStyle w:val="Heading3"/>
        <w:numPr>
          <w:ilvl w:val="0"/>
          <w:numId w:val="0"/>
        </w:numPr>
        <w:tabs>
          <w:tab w:val="clear" w:pos="1440"/>
          <w:tab w:val="clear" w:pos="2160"/>
        </w:tabs>
        <w:rPr>
          <w:rFonts w:ascii="Times New Roman" w:hAnsi="Times New Roman" w:cs="Times New Roman"/>
          <w:b w:val="0"/>
          <w:u w:val="single"/>
          <w:lang w:val="en-US"/>
        </w:rPr>
      </w:pPr>
      <w:bookmarkStart w:id="90" w:name="_Toc264983273"/>
      <w:r w:rsidRPr="001130ED">
        <w:rPr>
          <w:rFonts w:ascii="Times New Roman" w:hAnsi="Times New Roman" w:cs="Times New Roman"/>
          <w:b w:val="0"/>
          <w:u w:val="single"/>
          <w:lang w:val="en-US"/>
        </w:rPr>
        <w:t>Acute Toxicity Test Results</w:t>
      </w:r>
      <w:bookmarkEnd w:id="90"/>
    </w:p>
    <w:p w:rsidR="001D41E2" w:rsidRDefault="001D41E2">
      <w:pPr>
        <w:pStyle w:val="BodyText"/>
        <w:rPr>
          <w:i/>
          <w:iCs/>
          <w:lang w:val="en-US"/>
        </w:rPr>
      </w:pPr>
      <w:r w:rsidRPr="007E3379">
        <w:rPr>
          <w:i/>
          <w:iCs/>
          <w:lang w:val="en-US"/>
        </w:rPr>
        <w:t>Fish</w:t>
      </w:r>
    </w:p>
    <w:p w:rsidR="001D41E2" w:rsidRPr="007E3379" w:rsidRDefault="001D41E2">
      <w:pPr>
        <w:pStyle w:val="BodyText"/>
        <w:rPr>
          <w:i/>
          <w:iCs/>
          <w:lang w:val="en-US"/>
        </w:rPr>
      </w:pPr>
      <w:r w:rsidRPr="003076A6">
        <w:rPr>
          <w:lang w:val="en-US"/>
        </w:rPr>
        <w:t xml:space="preserve">The following acute fish toxicity test results using nominal concentrations have been determined for the parent chloroformate category members, with the exception of IpCF for which </w:t>
      </w:r>
      <w:r w:rsidRPr="003076A6">
        <w:rPr>
          <w:color w:val="000000"/>
          <w:lang w:val="en-US"/>
        </w:rPr>
        <w:t>mean measured concentrations</w:t>
      </w:r>
      <w:r w:rsidRPr="003076A6">
        <w:rPr>
          <w:color w:val="000000"/>
        </w:rPr>
        <w:t xml:space="preserve"> were </w:t>
      </w:r>
      <w:r w:rsidRPr="003076A6">
        <w:rPr>
          <w:color w:val="000000"/>
          <w:lang w:val="en-US"/>
        </w:rPr>
        <w:t>extrapolated via chemical analysis of the hydrolysis product</w:t>
      </w:r>
      <w:r>
        <w:rPr>
          <w:color w:val="000000"/>
          <w:lang w:val="en-US"/>
        </w:rPr>
        <w:t>,</w:t>
      </w:r>
      <w:r w:rsidRPr="003076A6">
        <w:rPr>
          <w:color w:val="000000"/>
          <w:lang w:val="en-US"/>
        </w:rPr>
        <w:t xml:space="preserve"> isopropanol</w:t>
      </w:r>
      <w:r>
        <w:rPr>
          <w:color w:val="000000"/>
          <w:lang w:val="en-US"/>
        </w:rPr>
        <w:t xml:space="preserve">.  </w:t>
      </w:r>
      <w:proofErr w:type="gramStart"/>
      <w:r>
        <w:rPr>
          <w:color w:val="000000"/>
          <w:lang w:val="en-US"/>
        </w:rPr>
        <w:t>pH</w:t>
      </w:r>
      <w:proofErr w:type="gramEnd"/>
      <w:r>
        <w:rPr>
          <w:color w:val="000000"/>
          <w:lang w:val="en-US"/>
        </w:rPr>
        <w:t xml:space="preserve"> remained within acceptable limits during all testing with the parent chloroformate category members.</w:t>
      </w:r>
      <w:r w:rsidRPr="003076A6">
        <w:rPr>
          <w:color w:val="000000"/>
          <w:lang w:val="en-US"/>
        </w:rPr>
        <w:t xml:space="preserve"> </w:t>
      </w:r>
      <w:r w:rsidRPr="003076A6">
        <w:rPr>
          <w:lang w:val="en-US"/>
        </w:rPr>
        <w:t xml:space="preserve"> </w:t>
      </w:r>
    </w:p>
    <w:p w:rsidR="001D41E2" w:rsidRPr="007E3379" w:rsidRDefault="001D41E2" w:rsidP="00B02E40">
      <w:pPr>
        <w:pStyle w:val="BodyText"/>
        <w:rPr>
          <w:b/>
          <w:bCs/>
          <w:i/>
          <w:iCs/>
          <w:lang w:val="en-US"/>
        </w:rPr>
      </w:pPr>
      <w:r w:rsidRPr="007E3379">
        <w:rPr>
          <w:b/>
          <w:bCs/>
          <w:i/>
          <w:iCs/>
          <w:lang w:val="en-US"/>
        </w:rPr>
        <w:t xml:space="preserve">Sponsored </w:t>
      </w:r>
      <w:r>
        <w:rPr>
          <w:b/>
          <w:bCs/>
          <w:i/>
          <w:iCs/>
          <w:lang w:val="en-US"/>
        </w:rPr>
        <w:t>s</w:t>
      </w:r>
      <w:r w:rsidRPr="007E3379">
        <w:rPr>
          <w:b/>
          <w:bCs/>
          <w:i/>
          <w:iCs/>
          <w:lang w:val="en-US"/>
        </w:rPr>
        <w:t>ubstances</w:t>
      </w:r>
    </w:p>
    <w:p w:rsidR="001D41E2" w:rsidRPr="004B7EF4" w:rsidRDefault="001D41E2" w:rsidP="00FF6A3E">
      <w:pPr>
        <w:pStyle w:val="BodyText"/>
        <w:rPr>
          <w:color w:val="000000"/>
          <w:lang w:val="en-US"/>
        </w:rPr>
      </w:pPr>
      <w:r w:rsidRPr="007E3379">
        <w:rPr>
          <w:b/>
          <w:bCs/>
          <w:i/>
          <w:iCs/>
          <w:lang w:val="en-US"/>
        </w:rPr>
        <w:t>MeCF</w:t>
      </w:r>
      <w:r>
        <w:rPr>
          <w:b/>
          <w:bCs/>
          <w:i/>
          <w:iCs/>
          <w:lang w:val="en-US"/>
        </w:rPr>
        <w:t xml:space="preserve">: </w:t>
      </w:r>
      <w:r w:rsidRPr="007E3379">
        <w:rPr>
          <w:lang w:val="en-US"/>
        </w:rPr>
        <w:t>MeCF w</w:t>
      </w:r>
      <w:r w:rsidRPr="004B7EF4">
        <w:rPr>
          <w:lang w:val="en-US"/>
        </w:rPr>
        <w:t>as tested in a 96-h static acute toxicity test with the golden orfe (</w:t>
      </w:r>
      <w:r w:rsidRPr="004B7EF4">
        <w:rPr>
          <w:i/>
          <w:iCs/>
          <w:lang w:val="en-US"/>
        </w:rPr>
        <w:t>Leuciscus idus</w:t>
      </w:r>
      <w:r w:rsidRPr="004B7EF4">
        <w:rPr>
          <w:lang w:val="en-US"/>
        </w:rPr>
        <w:t>) similar to the German Industrial Standard DIN 38412, part 15. The following test concentrations were se</w:t>
      </w:r>
      <w:r w:rsidRPr="004B7EF4">
        <w:rPr>
          <w:color w:val="000000"/>
          <w:lang w:val="en-US"/>
        </w:rPr>
        <w:t>t up: 0 (control), 1, 1.6, 2.5, 4.0, 5.0, 6.3, 10 and 100 mg/L. The emul</w:t>
      </w:r>
      <w:r w:rsidRPr="004B7EF4">
        <w:rPr>
          <w:lang w:val="en-US"/>
        </w:rPr>
        <w:t xml:space="preserve">sified product was added to the test aquaria and evenly dispersed by means of a glass rod. The test substance was added to the test water while </w:t>
      </w:r>
      <w:r w:rsidRPr="00FF6A3E">
        <w:rPr>
          <w:lang w:val="en-US"/>
        </w:rPr>
        <w:t>fish (10/concentration) were</w:t>
      </w:r>
      <w:r w:rsidRPr="004B7EF4">
        <w:rPr>
          <w:lang w:val="en-US"/>
        </w:rPr>
        <w:t xml:space="preserve"> already present in the aquaria.</w:t>
      </w:r>
      <w:r w:rsidRPr="004B7EF4">
        <w:rPr>
          <w:color w:val="000000"/>
          <w:lang w:val="en-US"/>
        </w:rPr>
        <w:t xml:space="preserve"> No analytical monitoring was performed. The physico-chemical parameters remained at acceptable levels. Based</w:t>
      </w:r>
      <w:r w:rsidRPr="004B7EF4">
        <w:rPr>
          <w:color w:val="000000"/>
          <w:lang w:val="en-US" w:eastAsia="de-DE"/>
        </w:rPr>
        <w:t xml:space="preserve"> on nominal concentrations, the 96-hour LC</w:t>
      </w:r>
      <w:r w:rsidRPr="004B7EF4">
        <w:rPr>
          <w:color w:val="000000"/>
          <w:vertAlign w:val="subscript"/>
          <w:lang w:val="en-US" w:eastAsia="de-DE"/>
        </w:rPr>
        <w:t>50</w:t>
      </w:r>
      <w:r w:rsidRPr="004B7EF4">
        <w:rPr>
          <w:color w:val="000000"/>
          <w:lang w:val="en-US" w:eastAsia="de-DE"/>
        </w:rPr>
        <w:t xml:space="preserve"> was 4.5 mg/L (95 % CL</w:t>
      </w:r>
      <w:r>
        <w:rPr>
          <w:color w:val="000000"/>
          <w:lang w:val="en-US" w:eastAsia="de-DE"/>
        </w:rPr>
        <w:t>=</w:t>
      </w:r>
      <w:r w:rsidRPr="004B7EF4">
        <w:rPr>
          <w:color w:val="000000"/>
          <w:lang w:val="en-US" w:eastAsia="de-DE"/>
        </w:rPr>
        <w:t xml:space="preserve"> 3.9-5.1 mg/L) (Hoechst AG, 1981). </w:t>
      </w:r>
    </w:p>
    <w:p w:rsidR="001D41E2" w:rsidRPr="004B7EF4" w:rsidRDefault="001D41E2" w:rsidP="00555C54">
      <w:pPr>
        <w:pStyle w:val="BodyText"/>
        <w:rPr>
          <w:lang w:val="en-US"/>
        </w:rPr>
      </w:pPr>
      <w:r w:rsidRPr="007E3379">
        <w:rPr>
          <w:b/>
          <w:bCs/>
          <w:i/>
          <w:iCs/>
          <w:color w:val="000000"/>
          <w:lang w:val="en-US"/>
        </w:rPr>
        <w:t>PrCF</w:t>
      </w:r>
      <w:r w:rsidRPr="004B7EF4">
        <w:rPr>
          <w:i/>
          <w:iCs/>
          <w:color w:val="000000"/>
          <w:lang w:val="en-US"/>
        </w:rPr>
        <w:t>: Danio rerio</w:t>
      </w:r>
      <w:r w:rsidRPr="004B7EF4">
        <w:rPr>
          <w:color w:val="000000"/>
          <w:lang w:val="en-US"/>
        </w:rPr>
        <w:t xml:space="preserve"> (10/</w:t>
      </w:r>
      <w:r>
        <w:rPr>
          <w:color w:val="000000"/>
          <w:lang w:val="en-US"/>
        </w:rPr>
        <w:t>group</w:t>
      </w:r>
      <w:r w:rsidRPr="004B7EF4">
        <w:rPr>
          <w:color w:val="000000"/>
          <w:lang w:val="en-US"/>
        </w:rPr>
        <w:t>) were exposed to nominal concentrations of 0 (control), 0.464, 1.0, 2.15, 4.64, and 10.0 mg/L in an OECD TG 203 study</w:t>
      </w:r>
      <w:r>
        <w:rPr>
          <w:color w:val="000000"/>
          <w:lang w:val="en-US"/>
        </w:rPr>
        <w:t xml:space="preserve"> (static)</w:t>
      </w:r>
      <w:r w:rsidRPr="004B7EF4">
        <w:rPr>
          <w:color w:val="000000"/>
          <w:lang w:val="en-US"/>
        </w:rPr>
        <w:t>. The pre-weighed test substance was added to the test water using an ultra-turrax stirrer; afterwards f</w:t>
      </w:r>
      <w:r w:rsidRPr="004B7EF4">
        <w:rPr>
          <w:lang w:val="en-US"/>
        </w:rPr>
        <w:t>i</w:t>
      </w:r>
      <w:r>
        <w:rPr>
          <w:lang w:val="en-US"/>
        </w:rPr>
        <w:t>sh were placed into the aquaria</w:t>
      </w:r>
      <w:r w:rsidRPr="004B7EF4">
        <w:rPr>
          <w:lang w:val="en-US"/>
        </w:rPr>
        <w:t xml:space="preserve">. Chemical analysis of the test concentrations was not carried out. The physico-chemical parameters remained within the recommended limits. </w:t>
      </w:r>
      <w:r>
        <w:rPr>
          <w:lang w:val="en-US"/>
        </w:rPr>
        <w:t>Based on nominal concentrations, t</w:t>
      </w:r>
      <w:r w:rsidRPr="004B7EF4">
        <w:rPr>
          <w:lang w:val="en-US"/>
        </w:rPr>
        <w:t xml:space="preserve">he </w:t>
      </w:r>
      <w:r>
        <w:rPr>
          <w:lang w:val="en-US"/>
        </w:rPr>
        <w:t xml:space="preserve">96-hour </w:t>
      </w:r>
      <w:r w:rsidRPr="004B7EF4">
        <w:rPr>
          <w:lang w:val="en-US"/>
        </w:rPr>
        <w:t>LC</w:t>
      </w:r>
      <w:r w:rsidRPr="004B7EF4">
        <w:rPr>
          <w:vertAlign w:val="subscript"/>
          <w:lang w:val="en-US"/>
        </w:rPr>
        <w:t>50</w:t>
      </w:r>
      <w:r w:rsidRPr="004B7EF4">
        <w:rPr>
          <w:lang w:val="en-US"/>
        </w:rPr>
        <w:t xml:space="preserve"> value of 3.16 mg/L was de</w:t>
      </w:r>
      <w:r>
        <w:rPr>
          <w:lang w:val="en-US"/>
        </w:rPr>
        <w:t>termined</w:t>
      </w:r>
      <w:r w:rsidRPr="004B7EF4">
        <w:rPr>
          <w:lang w:val="en-US"/>
        </w:rPr>
        <w:t xml:space="preserve"> from the geometric mean of the LC</w:t>
      </w:r>
      <w:r w:rsidRPr="004B7EF4">
        <w:rPr>
          <w:vertAlign w:val="subscript"/>
          <w:lang w:val="en-US"/>
        </w:rPr>
        <w:t>0</w:t>
      </w:r>
      <w:r w:rsidRPr="004B7EF4">
        <w:rPr>
          <w:lang w:val="en-US"/>
        </w:rPr>
        <w:t xml:space="preserve"> (2.15 mg/L) and the LC</w:t>
      </w:r>
      <w:r w:rsidRPr="004B7EF4">
        <w:rPr>
          <w:vertAlign w:val="subscript"/>
          <w:lang w:val="en-US"/>
        </w:rPr>
        <w:t>100</w:t>
      </w:r>
      <w:r w:rsidRPr="004B7EF4">
        <w:rPr>
          <w:lang w:val="en-US"/>
        </w:rPr>
        <w:t xml:space="preserve"> (4.64 mg/L) </w:t>
      </w:r>
      <w:r w:rsidRPr="004B7EF4">
        <w:rPr>
          <w:color w:val="000000"/>
          <w:lang w:val="en-US"/>
        </w:rPr>
        <w:t>(BASF AG, 1998a).</w:t>
      </w:r>
    </w:p>
    <w:p w:rsidR="001D41E2" w:rsidRPr="004B7EF4" w:rsidRDefault="001D41E2" w:rsidP="00A16048">
      <w:pPr>
        <w:pStyle w:val="BodyText"/>
        <w:rPr>
          <w:lang w:val="en-US"/>
        </w:rPr>
      </w:pPr>
      <w:r w:rsidRPr="007E3379">
        <w:rPr>
          <w:b/>
          <w:bCs/>
          <w:i/>
          <w:iCs/>
          <w:color w:val="000000"/>
          <w:lang w:val="en-US"/>
        </w:rPr>
        <w:t>IpCF:</w:t>
      </w:r>
      <w:r w:rsidRPr="004B7EF4">
        <w:rPr>
          <w:i/>
          <w:iCs/>
          <w:color w:val="000000"/>
          <w:lang w:val="en-US"/>
        </w:rPr>
        <w:t xml:space="preserve"> </w:t>
      </w:r>
      <w:r w:rsidRPr="004B7EF4">
        <w:rPr>
          <w:color w:val="000000"/>
          <w:lang w:val="en-US"/>
        </w:rPr>
        <w:t xml:space="preserve">A 96-hour semi-static acute test with the zebrafish </w:t>
      </w:r>
      <w:r w:rsidRPr="004B7EF4">
        <w:rPr>
          <w:i/>
          <w:iCs/>
          <w:color w:val="000000"/>
          <w:lang w:val="en-US"/>
        </w:rPr>
        <w:t>Danio rerio</w:t>
      </w:r>
      <w:r w:rsidRPr="004B7EF4">
        <w:rPr>
          <w:color w:val="000000"/>
          <w:lang w:val="en-US"/>
        </w:rPr>
        <w:t xml:space="preserve"> was performed under GLP conditions and following OECD TG 203. Ten fish each were exposed to the nominal test concentrations of</w:t>
      </w:r>
      <w:r w:rsidRPr="004B7EF4">
        <w:rPr>
          <w:lang w:val="en-US"/>
        </w:rPr>
        <w:t xml:space="preserve"> </w:t>
      </w:r>
      <w:r w:rsidRPr="004B7EF4">
        <w:rPr>
          <w:color w:val="000000"/>
          <w:lang w:val="en-US"/>
        </w:rPr>
        <w:t>0, 4.64, 10.0, 21.5, 46.4</w:t>
      </w:r>
      <w:r>
        <w:rPr>
          <w:color w:val="000000"/>
          <w:lang w:val="en-US"/>
        </w:rPr>
        <w:t>,</w:t>
      </w:r>
      <w:r w:rsidRPr="004B7EF4">
        <w:rPr>
          <w:color w:val="000000"/>
          <w:lang w:val="en-US"/>
        </w:rPr>
        <w:t xml:space="preserve"> and 100 mg/L. The pre-weighed test substance was added to the test water using an ultra-turrax stirrer; afterwards fish were placed into the aquaria (all-in-all the procedure took about 20 min). The renewal of the test solutions was done daily the same way in a separate clean set of aquaria. Temperature, pH and oxygen content remained at acceptable levels throughout the test. Based on mean measured concentrations (extrapolated via chemical analysis of the hydrolysis product isopropanol), the 96</w:t>
      </w:r>
      <w:r w:rsidRPr="004B7EF4">
        <w:rPr>
          <w:color w:val="000000"/>
          <w:lang w:val="en-US"/>
        </w:rPr>
        <w:noBreakHyphen/>
        <w:t>h LC</w:t>
      </w:r>
      <w:r w:rsidRPr="004B7EF4">
        <w:rPr>
          <w:color w:val="000000"/>
          <w:vertAlign w:val="subscript"/>
          <w:lang w:val="en-US"/>
        </w:rPr>
        <w:t>50</w:t>
      </w:r>
      <w:r w:rsidRPr="004B7EF4">
        <w:rPr>
          <w:color w:val="000000"/>
          <w:lang w:val="en-US"/>
        </w:rPr>
        <w:t xml:space="preserve"> was 8.2 mg/L (95% CL</w:t>
      </w:r>
      <w:r>
        <w:rPr>
          <w:color w:val="000000"/>
          <w:lang w:val="en-US"/>
        </w:rPr>
        <w:t>=</w:t>
      </w:r>
      <w:r w:rsidRPr="004B7EF4">
        <w:rPr>
          <w:color w:val="000000"/>
          <w:lang w:val="en-US"/>
        </w:rPr>
        <w:t xml:space="preserve"> 6.6-10.2 mg/L) (BASF AG, 1998b).</w:t>
      </w:r>
      <w:r w:rsidRPr="004B7EF4">
        <w:rPr>
          <w:lang w:val="en-US"/>
        </w:rPr>
        <w:t xml:space="preserve"> </w:t>
      </w:r>
    </w:p>
    <w:p w:rsidR="001D41E2" w:rsidRPr="004B7EF4" w:rsidRDefault="001D41E2" w:rsidP="00742423">
      <w:pPr>
        <w:pStyle w:val="BodyText"/>
        <w:rPr>
          <w:color w:val="000000"/>
          <w:lang w:val="en-US"/>
        </w:rPr>
      </w:pPr>
      <w:r w:rsidRPr="007E3379">
        <w:rPr>
          <w:b/>
          <w:bCs/>
          <w:i/>
          <w:iCs/>
          <w:color w:val="000000"/>
          <w:lang w:val="en-US"/>
        </w:rPr>
        <w:t>SbCF:</w:t>
      </w:r>
      <w:r w:rsidRPr="004B7EF4">
        <w:rPr>
          <w:i/>
          <w:iCs/>
          <w:color w:val="000000"/>
          <w:lang w:val="en-US"/>
        </w:rPr>
        <w:t xml:space="preserve"> </w:t>
      </w:r>
      <w:r>
        <w:rPr>
          <w:color w:val="000000"/>
          <w:lang w:val="en-US"/>
        </w:rPr>
        <w:t xml:space="preserve">The </w:t>
      </w:r>
      <w:r w:rsidRPr="004B7EF4">
        <w:rPr>
          <w:color w:val="000000"/>
          <w:lang w:val="en-US"/>
        </w:rPr>
        <w:t xml:space="preserve">acute toxicity </w:t>
      </w:r>
      <w:r w:rsidRPr="000F1FF2">
        <w:rPr>
          <w:color w:val="000000"/>
          <w:lang w:val="en-US"/>
        </w:rPr>
        <w:t xml:space="preserve">of SbCF </w:t>
      </w:r>
      <w:r>
        <w:rPr>
          <w:color w:val="000000"/>
          <w:lang w:val="en-US"/>
        </w:rPr>
        <w:t xml:space="preserve">in </w:t>
      </w:r>
      <w:r w:rsidRPr="004B7EF4">
        <w:rPr>
          <w:color w:val="000000"/>
          <w:lang w:val="en-US"/>
        </w:rPr>
        <w:t xml:space="preserve">the zebrafish </w:t>
      </w:r>
      <w:r w:rsidRPr="004B7EF4">
        <w:rPr>
          <w:i/>
          <w:iCs/>
          <w:color w:val="000000"/>
          <w:lang w:val="en-US"/>
        </w:rPr>
        <w:t>Danio rerio</w:t>
      </w:r>
      <w:r w:rsidRPr="004B7EF4">
        <w:rPr>
          <w:color w:val="000000"/>
          <w:lang w:val="en-US"/>
        </w:rPr>
        <w:t xml:space="preserve"> </w:t>
      </w:r>
      <w:r w:rsidRPr="000F1FF2">
        <w:rPr>
          <w:color w:val="000000"/>
          <w:lang w:val="en-US"/>
        </w:rPr>
        <w:t>was</w:t>
      </w:r>
      <w:r w:rsidRPr="004B7EF4">
        <w:rPr>
          <w:color w:val="000000"/>
          <w:lang w:val="en-US"/>
        </w:rPr>
        <w:t xml:space="preserve"> studied in a 96-hour GLP guideline study following OECD TG 203. Ten fish</w:t>
      </w:r>
      <w:r>
        <w:rPr>
          <w:color w:val="000000"/>
          <w:lang w:val="en-US"/>
        </w:rPr>
        <w:t xml:space="preserve"> per group </w:t>
      </w:r>
      <w:r w:rsidRPr="004B7EF4">
        <w:rPr>
          <w:color w:val="000000"/>
          <w:lang w:val="en-US"/>
        </w:rPr>
        <w:t>were exposed under static conditions to the nominal test concentrations of</w:t>
      </w:r>
      <w:r w:rsidRPr="004B7EF4">
        <w:rPr>
          <w:lang w:val="en-US"/>
        </w:rPr>
        <w:t xml:space="preserve"> </w:t>
      </w:r>
      <w:r w:rsidRPr="004B7EF4">
        <w:rPr>
          <w:color w:val="000000"/>
          <w:lang w:val="en-US"/>
        </w:rPr>
        <w:t>0, 4.64, 10.0, 21.5, 46.4</w:t>
      </w:r>
      <w:r>
        <w:rPr>
          <w:color w:val="000000"/>
          <w:lang w:val="en-US"/>
        </w:rPr>
        <w:t>,</w:t>
      </w:r>
      <w:r w:rsidRPr="004B7EF4">
        <w:rPr>
          <w:color w:val="000000"/>
          <w:lang w:val="en-US"/>
        </w:rPr>
        <w:t xml:space="preserve"> and 100 mg/L. The pre-weighed test substance was added to the test water using an ultra-turrax stirrer; afterwards fish were placed into the aquaria (all-in-all the procedure took about 20 min). Analytical </w:t>
      </w:r>
      <w:r>
        <w:rPr>
          <w:color w:val="000000"/>
          <w:lang w:val="en-US"/>
        </w:rPr>
        <w:t>measurement of the test concentrations</w:t>
      </w:r>
      <w:r w:rsidRPr="004B7EF4">
        <w:rPr>
          <w:color w:val="000000"/>
          <w:lang w:val="en-US"/>
        </w:rPr>
        <w:t xml:space="preserve"> was not carried out. </w:t>
      </w:r>
      <w:r w:rsidRPr="004B7EF4">
        <w:rPr>
          <w:lang w:val="en-US"/>
        </w:rPr>
        <w:t xml:space="preserve">The physico-chemical parameters remained at acceptable levels. No </w:t>
      </w:r>
      <w:r>
        <w:rPr>
          <w:lang w:val="en-US"/>
        </w:rPr>
        <w:t>mortality occurred u</w:t>
      </w:r>
      <w:r w:rsidRPr="004B7EF4">
        <w:rPr>
          <w:lang w:val="en-US"/>
        </w:rPr>
        <w:t xml:space="preserve">p to the 21.5 mg/L concentration. Six of ten fish died at 46.4 mg/L and all fish died at 100 mg/L. </w:t>
      </w:r>
      <w:r>
        <w:rPr>
          <w:lang w:val="en-US"/>
        </w:rPr>
        <w:t>Based on nominal concentrations, t</w:t>
      </w:r>
      <w:r w:rsidRPr="004B7EF4">
        <w:rPr>
          <w:lang w:val="en-US"/>
        </w:rPr>
        <w:t xml:space="preserve">he </w:t>
      </w:r>
      <w:r w:rsidRPr="004B7EF4">
        <w:rPr>
          <w:color w:val="000000"/>
          <w:lang w:val="en-US"/>
        </w:rPr>
        <w:t>96</w:t>
      </w:r>
      <w:r w:rsidRPr="004B7EF4">
        <w:rPr>
          <w:color w:val="000000"/>
          <w:lang w:val="en-US"/>
        </w:rPr>
        <w:noBreakHyphen/>
        <w:t xml:space="preserve">h </w:t>
      </w:r>
      <w:r w:rsidRPr="004B7EF4">
        <w:rPr>
          <w:lang w:val="en-US"/>
        </w:rPr>
        <w:t>LC</w:t>
      </w:r>
      <w:r w:rsidRPr="004B7EF4">
        <w:rPr>
          <w:vertAlign w:val="subscript"/>
          <w:lang w:val="en-US"/>
        </w:rPr>
        <w:t>50</w:t>
      </w:r>
      <w:r w:rsidRPr="004B7EF4">
        <w:rPr>
          <w:lang w:val="en-US"/>
        </w:rPr>
        <w:t xml:space="preserve"> </w:t>
      </w:r>
      <w:proofErr w:type="gramStart"/>
      <w:r w:rsidRPr="004B7EF4">
        <w:rPr>
          <w:lang w:val="en-US"/>
        </w:rPr>
        <w:t>was</w:t>
      </w:r>
      <w:proofErr w:type="gramEnd"/>
      <w:r w:rsidRPr="004B7EF4">
        <w:rPr>
          <w:lang w:val="en-US"/>
        </w:rPr>
        <w:t xml:space="preserve"> </w:t>
      </w:r>
      <w:r>
        <w:rPr>
          <w:lang w:val="en-US"/>
        </w:rPr>
        <w:t xml:space="preserve">determined to be </w:t>
      </w:r>
      <w:r w:rsidRPr="004B7EF4">
        <w:rPr>
          <w:lang w:val="en-US"/>
        </w:rPr>
        <w:t>ca. 46.4 mg/L (BASF AG, 1999b).</w:t>
      </w:r>
    </w:p>
    <w:p w:rsidR="001D41E2" w:rsidRPr="004B7EF4" w:rsidRDefault="001D41E2" w:rsidP="00742423">
      <w:pPr>
        <w:pStyle w:val="BodyText"/>
        <w:rPr>
          <w:lang w:val="en-US"/>
        </w:rPr>
      </w:pPr>
      <w:r w:rsidRPr="007E3379">
        <w:rPr>
          <w:b/>
          <w:bCs/>
          <w:i/>
          <w:iCs/>
          <w:color w:val="000000"/>
          <w:lang w:val="en-US"/>
        </w:rPr>
        <w:t>ObCF:</w:t>
      </w:r>
      <w:r w:rsidRPr="004B7EF4">
        <w:rPr>
          <w:i/>
          <w:iCs/>
          <w:color w:val="000000"/>
          <w:lang w:val="en-US"/>
        </w:rPr>
        <w:t xml:space="preserve"> </w:t>
      </w:r>
      <w:r>
        <w:rPr>
          <w:lang w:val="en-US"/>
        </w:rPr>
        <w:t xml:space="preserve">A </w:t>
      </w:r>
      <w:r w:rsidRPr="004B7EF4">
        <w:rPr>
          <w:lang w:val="en-US"/>
        </w:rPr>
        <w:t>96-hour static study with the golden orfe (</w:t>
      </w:r>
      <w:r w:rsidRPr="004B7EF4">
        <w:rPr>
          <w:i/>
          <w:iCs/>
          <w:lang w:val="en-US"/>
        </w:rPr>
        <w:t>Leuciscus idus</w:t>
      </w:r>
      <w:r w:rsidRPr="004B7EF4">
        <w:rPr>
          <w:lang w:val="en-US"/>
        </w:rPr>
        <w:t>) similar to the German Industrial Standard DIN 38 412, part 15</w:t>
      </w:r>
      <w:r>
        <w:rPr>
          <w:lang w:val="en-US"/>
        </w:rPr>
        <w:t xml:space="preserve"> was conducted</w:t>
      </w:r>
      <w:r w:rsidRPr="004B7EF4">
        <w:rPr>
          <w:lang w:val="en-US"/>
        </w:rPr>
        <w:t>. Ten fish each were exposed to nominal test concentrations of 0 (control), 0 (solvent control), 0.681, 1.00, 1.47, 2.15, 3.16, and 4.64 mg/L. The product was dissolved in acetone and added to the test water. Afterwards</w:t>
      </w:r>
      <w:r>
        <w:rPr>
          <w:lang w:val="en-US"/>
        </w:rPr>
        <w:t>,</w:t>
      </w:r>
      <w:r w:rsidRPr="004B7EF4">
        <w:rPr>
          <w:lang w:val="en-US"/>
        </w:rPr>
        <w:t xml:space="preserve"> the fish were placed into the aquaria. </w:t>
      </w:r>
      <w:r w:rsidRPr="004B7EF4">
        <w:rPr>
          <w:color w:val="000000"/>
          <w:lang w:val="en-US"/>
        </w:rPr>
        <w:t xml:space="preserve">No analytical </w:t>
      </w:r>
      <w:r>
        <w:rPr>
          <w:color w:val="000000"/>
          <w:lang w:val="en-US"/>
        </w:rPr>
        <w:t>measurement</w:t>
      </w:r>
      <w:r w:rsidRPr="004B7EF4">
        <w:rPr>
          <w:color w:val="000000"/>
          <w:lang w:val="en-US"/>
        </w:rPr>
        <w:t xml:space="preserve"> was carried out. </w:t>
      </w:r>
      <w:r w:rsidRPr="004B7EF4">
        <w:rPr>
          <w:lang w:val="en-US"/>
        </w:rPr>
        <w:t>Temperature, pH and oxygen content were within acceptable limits. Based on nominal concentrations, the 96-h LC</w:t>
      </w:r>
      <w:r w:rsidRPr="004B7EF4">
        <w:rPr>
          <w:vertAlign w:val="subscript"/>
          <w:lang w:val="en-US"/>
        </w:rPr>
        <w:t>50</w:t>
      </w:r>
      <w:r w:rsidRPr="004B7EF4">
        <w:rPr>
          <w:lang w:val="en-US"/>
        </w:rPr>
        <w:t xml:space="preserve"> was 1.78 mg/L (BASF AG, 1987b).</w:t>
      </w:r>
    </w:p>
    <w:p w:rsidR="001D41E2" w:rsidRPr="004B7EF4" w:rsidRDefault="001D41E2" w:rsidP="00170EAC">
      <w:pPr>
        <w:pStyle w:val="BodyText"/>
        <w:rPr>
          <w:color w:val="000000"/>
          <w:lang w:val="en-US"/>
        </w:rPr>
      </w:pPr>
      <w:r w:rsidRPr="007E3379">
        <w:rPr>
          <w:b/>
          <w:bCs/>
          <w:i/>
          <w:iCs/>
          <w:lang w:val="en-US"/>
        </w:rPr>
        <w:t>EhCF</w:t>
      </w:r>
      <w:r w:rsidRPr="007E3379">
        <w:rPr>
          <w:b/>
          <w:bCs/>
          <w:lang w:val="en-US"/>
        </w:rPr>
        <w:t>:</w:t>
      </w:r>
      <w:r w:rsidRPr="004B7EF4">
        <w:rPr>
          <w:lang w:val="en-US"/>
        </w:rPr>
        <w:t xml:space="preserve"> </w:t>
      </w:r>
      <w:r w:rsidRPr="004B7EF4">
        <w:rPr>
          <w:color w:val="000000"/>
          <w:lang w:val="en-US"/>
        </w:rPr>
        <w:t xml:space="preserve">Acute fish toxicity test data on EhCF are available from two studies: one with </w:t>
      </w:r>
      <w:r w:rsidRPr="004B7EF4">
        <w:rPr>
          <w:lang w:val="en-US"/>
        </w:rPr>
        <w:t>golden orfe (</w:t>
      </w:r>
      <w:r w:rsidRPr="004B7EF4">
        <w:rPr>
          <w:i/>
          <w:iCs/>
          <w:lang w:val="en-US"/>
        </w:rPr>
        <w:t>Leuciscus idus</w:t>
      </w:r>
      <w:r w:rsidRPr="004B7EF4">
        <w:rPr>
          <w:lang w:val="en-US"/>
        </w:rPr>
        <w:t xml:space="preserve">) and one with the </w:t>
      </w:r>
      <w:r w:rsidRPr="004B7EF4">
        <w:rPr>
          <w:color w:val="000000"/>
          <w:lang w:val="en-US"/>
        </w:rPr>
        <w:t>zebrafish (</w:t>
      </w:r>
      <w:r w:rsidRPr="004B7EF4">
        <w:rPr>
          <w:i/>
          <w:iCs/>
          <w:color w:val="000000"/>
          <w:lang w:val="en-US"/>
        </w:rPr>
        <w:t>Danio rerio</w:t>
      </w:r>
      <w:r w:rsidRPr="004B7EF4">
        <w:rPr>
          <w:color w:val="000000"/>
          <w:lang w:val="en-US"/>
        </w:rPr>
        <w:t xml:space="preserve">). </w:t>
      </w:r>
    </w:p>
    <w:p w:rsidR="001D41E2" w:rsidRPr="004B7EF4" w:rsidRDefault="001D41E2" w:rsidP="008E5D76">
      <w:pPr>
        <w:pStyle w:val="BodyText"/>
        <w:numPr>
          <w:ilvl w:val="0"/>
          <w:numId w:val="30"/>
        </w:numPr>
        <w:rPr>
          <w:color w:val="000000"/>
          <w:lang w:val="en-US"/>
        </w:rPr>
      </w:pPr>
      <w:r w:rsidRPr="004B7EF4">
        <w:rPr>
          <w:color w:val="000000"/>
          <w:lang w:val="en-US"/>
        </w:rPr>
        <w:t xml:space="preserve">The study with the golden orfe was a static acute test performed according to the </w:t>
      </w:r>
      <w:r w:rsidRPr="004B7EF4">
        <w:rPr>
          <w:lang w:val="en-US"/>
        </w:rPr>
        <w:t>German Industrial Standard DIN 38 412, part 15.</w:t>
      </w:r>
      <w:r w:rsidRPr="004B7EF4">
        <w:rPr>
          <w:color w:val="000000"/>
          <w:lang w:val="en-US"/>
        </w:rPr>
        <w:t xml:space="preserve"> Nominal concentrations of </w:t>
      </w:r>
      <w:r w:rsidRPr="004B7EF4">
        <w:rPr>
          <w:lang w:val="en-US"/>
        </w:rPr>
        <w:t xml:space="preserve">0 (control), 1.0, 2.15, 4.64, 10 mg/L were prepared. </w:t>
      </w:r>
      <w:r w:rsidRPr="004B7EF4">
        <w:rPr>
          <w:color w:val="000000"/>
          <w:lang w:val="en-US"/>
        </w:rPr>
        <w:t xml:space="preserve">The test solution was prepared by adding the test </w:t>
      </w:r>
      <w:r>
        <w:rPr>
          <w:color w:val="000000"/>
          <w:lang w:val="en-US"/>
        </w:rPr>
        <w:t>material</w:t>
      </w:r>
      <w:r w:rsidRPr="004B7EF4">
        <w:rPr>
          <w:color w:val="000000"/>
          <w:lang w:val="en-US"/>
        </w:rPr>
        <w:t xml:space="preserve"> to the test media without any pre-treatment. Then, the fish were placed into the test aquaria. Ten fish were exposed for 96 hours to each concentration and the control. </w:t>
      </w:r>
      <w:r w:rsidRPr="004B7EF4">
        <w:rPr>
          <w:lang w:val="en-US"/>
        </w:rPr>
        <w:t>Chemical analysis of the test concentrations was not carried out. Oxygen content, t</w:t>
      </w:r>
      <w:r w:rsidRPr="004B7EF4">
        <w:rPr>
          <w:color w:val="000000"/>
          <w:lang w:val="en-US"/>
        </w:rPr>
        <w:t xml:space="preserve">emperature and pH values remained at acceptable levels throughout the test. </w:t>
      </w:r>
      <w:r>
        <w:rPr>
          <w:color w:val="000000"/>
          <w:lang w:val="en-US"/>
        </w:rPr>
        <w:t>Based on nominal concentrations, t</w:t>
      </w:r>
      <w:r w:rsidRPr="004B7EF4">
        <w:rPr>
          <w:color w:val="000000"/>
          <w:lang w:val="en-US"/>
        </w:rPr>
        <w:t>he 96-h LC</w:t>
      </w:r>
      <w:r w:rsidRPr="004B7EF4">
        <w:rPr>
          <w:color w:val="000000"/>
          <w:vertAlign w:val="subscript"/>
          <w:lang w:val="en-US"/>
        </w:rPr>
        <w:t>50</w:t>
      </w:r>
      <w:r w:rsidRPr="004B7EF4">
        <w:rPr>
          <w:color w:val="000000"/>
          <w:lang w:val="en-US"/>
        </w:rPr>
        <w:t xml:space="preserve"> was 3.16 mg/L (geometric mean of LC</w:t>
      </w:r>
      <w:r w:rsidRPr="004B7EF4">
        <w:rPr>
          <w:color w:val="000000"/>
          <w:vertAlign w:val="subscript"/>
          <w:lang w:val="en-US"/>
        </w:rPr>
        <w:t>0</w:t>
      </w:r>
      <w:r w:rsidRPr="004B7EF4">
        <w:rPr>
          <w:color w:val="000000"/>
          <w:lang w:val="en-US"/>
        </w:rPr>
        <w:t xml:space="preserve"> and LC</w:t>
      </w:r>
      <w:r w:rsidRPr="004B7EF4">
        <w:rPr>
          <w:color w:val="000000"/>
          <w:vertAlign w:val="subscript"/>
          <w:lang w:val="en-US"/>
        </w:rPr>
        <w:t>100</w:t>
      </w:r>
      <w:r w:rsidRPr="004B7EF4">
        <w:rPr>
          <w:color w:val="000000"/>
          <w:lang w:val="en-US"/>
        </w:rPr>
        <w:t>) (BASF AG, 1988a).</w:t>
      </w:r>
    </w:p>
    <w:p w:rsidR="001D41E2" w:rsidRPr="004B7EF4" w:rsidRDefault="001D41E2" w:rsidP="00B96725">
      <w:pPr>
        <w:pStyle w:val="BodyText"/>
        <w:numPr>
          <w:ilvl w:val="0"/>
          <w:numId w:val="30"/>
        </w:numPr>
        <w:rPr>
          <w:color w:val="000000"/>
          <w:lang w:val="en-US"/>
        </w:rPr>
      </w:pPr>
      <w:r>
        <w:rPr>
          <w:color w:val="000000"/>
          <w:lang w:val="en-US"/>
        </w:rPr>
        <w:t>In the study w</w:t>
      </w:r>
      <w:r w:rsidRPr="004B7EF4">
        <w:rPr>
          <w:color w:val="000000"/>
          <w:lang w:val="en-US"/>
        </w:rPr>
        <w:t xml:space="preserve">ith zebrafish, </w:t>
      </w:r>
      <w:r>
        <w:rPr>
          <w:color w:val="000000"/>
          <w:lang w:val="en-US"/>
        </w:rPr>
        <w:t xml:space="preserve">ten </w:t>
      </w:r>
      <w:r w:rsidRPr="004B7EF4">
        <w:rPr>
          <w:color w:val="000000"/>
          <w:lang w:val="en-US"/>
        </w:rPr>
        <w:t xml:space="preserve">fish </w:t>
      </w:r>
      <w:r>
        <w:rPr>
          <w:color w:val="000000"/>
          <w:lang w:val="en-US"/>
        </w:rPr>
        <w:t xml:space="preserve">per group </w:t>
      </w:r>
      <w:r w:rsidRPr="004B7EF4">
        <w:rPr>
          <w:color w:val="000000"/>
          <w:lang w:val="en-US"/>
        </w:rPr>
        <w:t>were exposed for 96 hours to nominal concentrations of 0 (control), 0 (solvent control), 1.0, 3.5, 5.0, 10.0 mg/L following OECD TG 203. Experiments were conducted in two steps. The product dissolved in TWEEN 80 was added to a small volume of the test water and the mixture was homogenized using an ultra-turrax stirrer. Subsequently</w:t>
      </w:r>
      <w:r>
        <w:rPr>
          <w:color w:val="000000"/>
          <w:lang w:val="en-US"/>
        </w:rPr>
        <w:t>,</w:t>
      </w:r>
      <w:r w:rsidRPr="004B7EF4">
        <w:rPr>
          <w:color w:val="000000"/>
          <w:lang w:val="en-US"/>
        </w:rPr>
        <w:t xml:space="preserve"> the mixture was added to the test vessels and stirred with a glass rod. Immediately afterwards the fish were placed into the test vessels. The test item concentrations were not analyzed. Temperature and pH values were within the recommended limits. In the 3.5 mg/L concentration</w:t>
      </w:r>
      <w:r>
        <w:rPr>
          <w:color w:val="000000"/>
          <w:lang w:val="en-US"/>
        </w:rPr>
        <w:t>,</w:t>
      </w:r>
      <w:r w:rsidRPr="004B7EF4">
        <w:rPr>
          <w:color w:val="000000"/>
          <w:lang w:val="en-US"/>
        </w:rPr>
        <w:t xml:space="preserve"> the oxygen content dropped to levels below 6 mg/L after 72 h, but this had no influence on fish survival (no mortality). </w:t>
      </w:r>
      <w:r>
        <w:rPr>
          <w:color w:val="000000"/>
          <w:lang w:val="en-US"/>
        </w:rPr>
        <w:t>Based on nominal concentrations, t</w:t>
      </w:r>
      <w:r w:rsidRPr="004B7EF4">
        <w:rPr>
          <w:color w:val="000000"/>
          <w:lang w:val="en-US"/>
        </w:rPr>
        <w:t>he 96-h LC</w:t>
      </w:r>
      <w:r w:rsidRPr="004B7EF4">
        <w:rPr>
          <w:color w:val="000000"/>
          <w:vertAlign w:val="subscript"/>
          <w:lang w:val="en-US"/>
        </w:rPr>
        <w:t>50</w:t>
      </w:r>
      <w:r w:rsidRPr="004B7EF4">
        <w:rPr>
          <w:color w:val="000000"/>
          <w:lang w:val="en-US"/>
        </w:rPr>
        <w:t xml:space="preserve"> was 4.18 mg/L (Hoechst AG, 1988). </w:t>
      </w:r>
    </w:p>
    <w:p w:rsidR="001D41E2" w:rsidRPr="001130ED" w:rsidRDefault="001D41E2" w:rsidP="00B02E40">
      <w:pPr>
        <w:pStyle w:val="NormalWeb"/>
        <w:spacing w:before="0" w:beforeAutospacing="0" w:after="180" w:afterAutospacing="0"/>
        <w:jc w:val="both"/>
        <w:rPr>
          <w:bCs/>
          <w:i/>
          <w:iCs/>
          <w:lang w:val="en-US"/>
        </w:rPr>
      </w:pPr>
      <w:r w:rsidRPr="001130ED">
        <w:rPr>
          <w:bCs/>
          <w:i/>
          <w:iCs/>
          <w:lang w:val="en-US"/>
        </w:rPr>
        <w:t>Hydrolysis products</w:t>
      </w:r>
    </w:p>
    <w:p w:rsidR="001D41E2" w:rsidRPr="004B7EF4" w:rsidRDefault="001D41E2" w:rsidP="006F26FC">
      <w:pPr>
        <w:pStyle w:val="NormalWeb"/>
        <w:spacing w:before="0" w:beforeAutospacing="0"/>
        <w:jc w:val="both"/>
        <w:rPr>
          <w:lang w:val="en-US"/>
        </w:rPr>
      </w:pPr>
      <w:r w:rsidRPr="004B7EF4">
        <w:rPr>
          <w:lang w:val="en-US"/>
        </w:rPr>
        <w:t xml:space="preserve">The reported key studies </w:t>
      </w:r>
      <w:r>
        <w:rPr>
          <w:lang w:val="en-US"/>
        </w:rPr>
        <w:t xml:space="preserve">for the hydrolysis products </w:t>
      </w:r>
      <w:r w:rsidRPr="004B7EF4">
        <w:rPr>
          <w:lang w:val="en-US"/>
        </w:rPr>
        <w:t>were all performed according to or similar to national or international standard procedures. The fish species exposed in the key studies were predominantly rainbow trout (</w:t>
      </w:r>
      <w:r w:rsidRPr="004B7EF4">
        <w:rPr>
          <w:i/>
          <w:iCs/>
          <w:lang w:val="en-US"/>
        </w:rPr>
        <w:t>Oncorhynchus mykiss</w:t>
      </w:r>
      <w:r w:rsidRPr="004B7EF4">
        <w:rPr>
          <w:lang w:val="en-US"/>
        </w:rPr>
        <w:t>) and fathead minnow (</w:t>
      </w:r>
      <w:r w:rsidRPr="004B7EF4">
        <w:rPr>
          <w:i/>
          <w:iCs/>
          <w:lang w:val="en-US"/>
        </w:rPr>
        <w:t>Pimephales promelas</w:t>
      </w:r>
      <w:r w:rsidRPr="004B7EF4">
        <w:rPr>
          <w:lang w:val="en-US"/>
        </w:rPr>
        <w:t>). Except for one study (with Pr, 48-h), the exposure duration was 96 hours. In most cases the nominal concentrations were confirmed by analytical monitoring. Except for the results with 2-ethylhexanol (Eh), the 96-h LC</w:t>
      </w:r>
      <w:r w:rsidRPr="004B7EF4">
        <w:rPr>
          <w:vertAlign w:val="subscript"/>
          <w:lang w:val="en-US"/>
        </w:rPr>
        <w:t>50</w:t>
      </w:r>
      <w:r w:rsidRPr="004B7EF4">
        <w:rPr>
          <w:lang w:val="en-US"/>
        </w:rPr>
        <w:t xml:space="preserve"> values of the </w:t>
      </w:r>
      <w:r>
        <w:rPr>
          <w:lang w:val="en-US"/>
        </w:rPr>
        <w:t>hydrolysis product</w:t>
      </w:r>
      <w:r w:rsidRPr="004B7EF4">
        <w:rPr>
          <w:lang w:val="en-US"/>
        </w:rPr>
        <w:t xml:space="preserve">s are clearly </w:t>
      </w:r>
      <w:r w:rsidRPr="000F1FF2">
        <w:rPr>
          <w:lang w:val="en-US"/>
        </w:rPr>
        <w:t xml:space="preserve">higher than 100 mg/L (&gt; 3000 mg/L), indicating no harmful effects on fish (the results are summarized in Table </w:t>
      </w:r>
      <w:r>
        <w:rPr>
          <w:lang w:val="en-US"/>
        </w:rPr>
        <w:t>2</w:t>
      </w:r>
      <w:r w:rsidR="002F054D">
        <w:rPr>
          <w:lang w:val="en-US"/>
        </w:rPr>
        <w:t>3</w:t>
      </w:r>
      <w:r w:rsidRPr="000F1FF2">
        <w:rPr>
          <w:lang w:val="en-US"/>
        </w:rPr>
        <w:t>).</w:t>
      </w:r>
      <w:r w:rsidRPr="004B7EF4">
        <w:rPr>
          <w:lang w:val="en-US"/>
        </w:rPr>
        <w:t xml:space="preserve"> </w:t>
      </w:r>
    </w:p>
    <w:p w:rsidR="001D41E2" w:rsidRPr="004B7EF4" w:rsidRDefault="001D41E2" w:rsidP="00322FE5">
      <w:pPr>
        <w:pStyle w:val="NormalWeb"/>
        <w:spacing w:before="0" w:beforeAutospacing="0"/>
        <w:jc w:val="both"/>
        <w:rPr>
          <w:lang w:val="en-US"/>
        </w:rPr>
      </w:pPr>
      <w:r w:rsidRPr="004B7EF4">
        <w:rPr>
          <w:lang w:val="en-US"/>
        </w:rPr>
        <w:t>The 96-h LC</w:t>
      </w:r>
      <w:r w:rsidRPr="004B7EF4">
        <w:rPr>
          <w:vertAlign w:val="subscript"/>
          <w:lang w:val="en-US"/>
        </w:rPr>
        <w:t>50</w:t>
      </w:r>
      <w:r w:rsidRPr="004B7EF4">
        <w:rPr>
          <w:lang w:val="en-US"/>
        </w:rPr>
        <w:t xml:space="preserve"> derived in the two key studies with Eh range between 10 and 100 mg/L, indicating harmful effects</w:t>
      </w:r>
      <w:r>
        <w:rPr>
          <w:lang w:val="en-US"/>
        </w:rPr>
        <w:t>.</w:t>
      </w:r>
      <w:r w:rsidRPr="004B7EF4">
        <w:rPr>
          <w:lang w:val="en-US"/>
        </w:rPr>
        <w:t xml:space="preserve"> </w:t>
      </w:r>
    </w:p>
    <w:p w:rsidR="001D41E2" w:rsidRPr="007E3379" w:rsidRDefault="001D41E2" w:rsidP="00B02E40">
      <w:pPr>
        <w:pStyle w:val="NormalWeb"/>
        <w:spacing w:before="0" w:beforeAutospacing="0" w:after="180" w:afterAutospacing="0"/>
        <w:jc w:val="both"/>
        <w:rPr>
          <w:b/>
          <w:bCs/>
          <w:i/>
          <w:iCs/>
          <w:lang w:val="en-US"/>
        </w:rPr>
      </w:pPr>
      <w:r w:rsidRPr="007E3379">
        <w:rPr>
          <w:b/>
          <w:bCs/>
          <w:i/>
          <w:iCs/>
          <w:lang w:val="en-US"/>
        </w:rPr>
        <w:t>HCl</w:t>
      </w:r>
    </w:p>
    <w:p w:rsidR="001D41E2" w:rsidRPr="004B7EF4" w:rsidRDefault="001D41E2" w:rsidP="00B566B2">
      <w:pPr>
        <w:pStyle w:val="NormalWeb"/>
        <w:spacing w:before="0" w:beforeAutospacing="0"/>
        <w:jc w:val="both"/>
        <w:rPr>
          <w:lang w:val="en-US"/>
        </w:rPr>
      </w:pPr>
      <w:r w:rsidRPr="004B7EF4">
        <w:rPr>
          <w:lang w:val="en-US"/>
        </w:rPr>
        <w:t xml:space="preserve">In the key study with </w:t>
      </w:r>
      <w:r w:rsidRPr="004B7EF4">
        <w:rPr>
          <w:i/>
          <w:iCs/>
          <w:lang w:val="en-US"/>
        </w:rPr>
        <w:t>Cyprinus carpio</w:t>
      </w:r>
      <w:r w:rsidRPr="004B7EF4">
        <w:rPr>
          <w:lang w:val="en-US"/>
        </w:rPr>
        <w:t xml:space="preserve">, </w:t>
      </w:r>
      <w:r w:rsidRPr="004B7EF4">
        <w:rPr>
          <w:i/>
          <w:iCs/>
          <w:lang w:val="en-US"/>
        </w:rPr>
        <w:t>HCl</w:t>
      </w:r>
      <w:r w:rsidRPr="004B7EF4">
        <w:rPr>
          <w:lang w:val="en-US"/>
        </w:rPr>
        <w:t xml:space="preserve"> was tested under semi-static conditions following OECD TG 203. Fish (10/concentration) were exposed for 96 hours to a control and different concentrations of 12 N (37.2%) HCl, resulting in pH </w:t>
      </w:r>
      <w:r>
        <w:rPr>
          <w:lang w:val="en-US"/>
        </w:rPr>
        <w:t xml:space="preserve">values of </w:t>
      </w:r>
      <w:r w:rsidRPr="004B7EF4">
        <w:rPr>
          <w:lang w:val="en-US"/>
        </w:rPr>
        <w:t>6.0, 5.5, 5.0, 4.5 and 4.0. Test solutions were renewed daily. The test concentrations were monitored by pH measurements and recalculated to 12 N HCl. Based on this acid equivalent (nominal values), the 96-h LC</w:t>
      </w:r>
      <w:r w:rsidRPr="004B7EF4">
        <w:rPr>
          <w:vertAlign w:val="subscript"/>
          <w:lang w:val="en-US"/>
        </w:rPr>
        <w:t>50</w:t>
      </w:r>
      <w:r w:rsidRPr="004B7EF4">
        <w:rPr>
          <w:lang w:val="en-US"/>
        </w:rPr>
        <w:t xml:space="preserve"> was determined to be 4.92 mg/L (pH 4.3) (OECD, 2002a). </w:t>
      </w:r>
    </w:p>
    <w:p w:rsidR="001D41E2" w:rsidRPr="001130ED" w:rsidRDefault="001D41E2" w:rsidP="00B96725">
      <w:pPr>
        <w:pStyle w:val="BodyText"/>
        <w:rPr>
          <w:bCs/>
          <w:color w:val="000000"/>
          <w:u w:val="single"/>
          <w:lang w:val="en-US" w:eastAsia="de-DE"/>
        </w:rPr>
      </w:pPr>
      <w:r w:rsidRPr="001130ED">
        <w:rPr>
          <w:bCs/>
          <w:color w:val="000000"/>
          <w:u w:val="single"/>
          <w:lang w:val="en-US" w:eastAsia="de-DE"/>
        </w:rPr>
        <w:t xml:space="preserve">Discussion and conclusion on fish acute toxicity </w:t>
      </w:r>
    </w:p>
    <w:p w:rsidR="001D41E2" w:rsidRPr="004B7EF4" w:rsidRDefault="001D41E2" w:rsidP="00322FE5">
      <w:pPr>
        <w:pStyle w:val="BodyText"/>
        <w:rPr>
          <w:color w:val="000000"/>
          <w:lang w:val="en-US" w:eastAsia="de-DE"/>
        </w:rPr>
      </w:pPr>
      <w:r>
        <w:rPr>
          <w:color w:val="000000"/>
          <w:lang w:val="en-US" w:eastAsia="de-DE"/>
        </w:rPr>
        <w:t>There is a difference</w:t>
      </w:r>
      <w:r w:rsidRPr="004B7EF4">
        <w:rPr>
          <w:color w:val="000000"/>
          <w:lang w:val="en-US" w:eastAsia="de-DE"/>
        </w:rPr>
        <w:t xml:space="preserve"> between the toxicity results of the category members and those of the </w:t>
      </w:r>
      <w:r>
        <w:rPr>
          <w:color w:val="000000"/>
          <w:lang w:val="en-US" w:eastAsia="de-DE"/>
        </w:rPr>
        <w:t>hydrolysis product</w:t>
      </w:r>
      <w:r w:rsidRPr="004B7EF4">
        <w:rPr>
          <w:color w:val="000000"/>
          <w:lang w:val="en-US" w:eastAsia="de-DE"/>
        </w:rPr>
        <w:t>s. Results from the category members (LC</w:t>
      </w:r>
      <w:r w:rsidRPr="004B7EF4">
        <w:rPr>
          <w:color w:val="000000"/>
          <w:vertAlign w:val="subscript"/>
          <w:lang w:val="en-US" w:eastAsia="de-DE"/>
        </w:rPr>
        <w:t>50</w:t>
      </w:r>
      <w:r w:rsidRPr="004B7EF4">
        <w:rPr>
          <w:color w:val="000000"/>
          <w:lang w:val="en-US" w:eastAsia="de-DE"/>
        </w:rPr>
        <w:t xml:space="preserve"> </w:t>
      </w:r>
      <w:r>
        <w:rPr>
          <w:color w:val="000000"/>
          <w:lang w:val="en-US" w:eastAsia="de-DE"/>
        </w:rPr>
        <w:t xml:space="preserve">mostly </w:t>
      </w:r>
      <w:r w:rsidRPr="004B7EF4">
        <w:rPr>
          <w:color w:val="000000"/>
          <w:lang w:val="en-US" w:eastAsia="de-DE"/>
        </w:rPr>
        <w:t xml:space="preserve">between 1 and 10 mg/L) indicate a higher fish acute toxicity than the </w:t>
      </w:r>
      <w:r>
        <w:rPr>
          <w:color w:val="000000"/>
          <w:lang w:val="en-US" w:eastAsia="de-DE"/>
        </w:rPr>
        <w:t>hydrolysis product</w:t>
      </w:r>
      <w:r w:rsidRPr="004B7EF4">
        <w:rPr>
          <w:color w:val="000000"/>
          <w:lang w:val="en-US" w:eastAsia="de-DE"/>
        </w:rPr>
        <w:t>s (LC</w:t>
      </w:r>
      <w:r w:rsidRPr="004B7EF4">
        <w:rPr>
          <w:color w:val="000000"/>
          <w:vertAlign w:val="subscript"/>
          <w:lang w:val="en-US" w:eastAsia="de-DE"/>
        </w:rPr>
        <w:t>50</w:t>
      </w:r>
      <w:r w:rsidRPr="004B7EF4">
        <w:rPr>
          <w:color w:val="000000"/>
          <w:lang w:val="en-US" w:eastAsia="de-DE"/>
        </w:rPr>
        <w:t xml:space="preserve"> &gt; 3000 mg/L; exception Eh: LC</w:t>
      </w:r>
      <w:r w:rsidRPr="004B7EF4">
        <w:rPr>
          <w:color w:val="000000"/>
          <w:vertAlign w:val="subscript"/>
          <w:lang w:val="en-US" w:eastAsia="de-DE"/>
        </w:rPr>
        <w:t>50</w:t>
      </w:r>
      <w:r w:rsidRPr="004B7EF4">
        <w:rPr>
          <w:color w:val="000000"/>
          <w:lang w:val="en-US" w:eastAsia="de-DE"/>
        </w:rPr>
        <w:t xml:space="preserve"> </w:t>
      </w:r>
      <w:r>
        <w:rPr>
          <w:color w:val="000000"/>
          <w:lang w:val="en-US" w:eastAsia="de-DE"/>
        </w:rPr>
        <w:t xml:space="preserve">= 17.1 and </w:t>
      </w:r>
      <w:r w:rsidR="00551CE4">
        <w:rPr>
          <w:color w:val="000000"/>
          <w:lang w:val="en-US" w:eastAsia="de-DE"/>
        </w:rPr>
        <w:t>2</w:t>
      </w:r>
      <w:r>
        <w:rPr>
          <w:color w:val="000000"/>
          <w:lang w:val="en-US" w:eastAsia="de-DE"/>
        </w:rPr>
        <w:t xml:space="preserve">8.2 </w:t>
      </w:r>
      <w:r w:rsidRPr="004B7EF4">
        <w:rPr>
          <w:color w:val="000000"/>
          <w:lang w:val="en-US" w:eastAsia="de-DE"/>
        </w:rPr>
        <w:t>mg/L).</w:t>
      </w:r>
    </w:p>
    <w:p w:rsidR="001D41E2" w:rsidRPr="004B7EF4" w:rsidRDefault="001D41E2" w:rsidP="00CE2B12">
      <w:pPr>
        <w:pStyle w:val="BodyText"/>
        <w:rPr>
          <w:color w:val="000000"/>
          <w:lang w:val="en-US" w:eastAsia="de-DE"/>
        </w:rPr>
      </w:pPr>
      <w:r w:rsidRPr="004B7EF4">
        <w:rPr>
          <w:color w:val="000000"/>
          <w:lang w:val="en-US" w:eastAsia="de-DE"/>
        </w:rPr>
        <w:t xml:space="preserve">Although the members of the chloroformates category hydrolyze quickly, it is </w:t>
      </w:r>
      <w:r>
        <w:rPr>
          <w:color w:val="000000"/>
          <w:lang w:val="en-US" w:eastAsia="de-DE"/>
        </w:rPr>
        <w:t>possible</w:t>
      </w:r>
      <w:r w:rsidRPr="004B7EF4">
        <w:rPr>
          <w:color w:val="000000"/>
          <w:lang w:val="en-US" w:eastAsia="de-DE"/>
        </w:rPr>
        <w:t xml:space="preserve"> that the observed toxicity </w:t>
      </w:r>
      <w:r>
        <w:rPr>
          <w:color w:val="000000"/>
          <w:lang w:val="en-US" w:eastAsia="de-DE"/>
        </w:rPr>
        <w:t xml:space="preserve">to fish </w:t>
      </w:r>
      <w:r w:rsidRPr="004B7EF4">
        <w:rPr>
          <w:color w:val="000000"/>
          <w:lang w:val="en-US" w:eastAsia="de-DE"/>
        </w:rPr>
        <w:t xml:space="preserve">is </w:t>
      </w:r>
      <w:r>
        <w:rPr>
          <w:color w:val="000000"/>
          <w:lang w:val="en-US" w:eastAsia="de-DE"/>
        </w:rPr>
        <w:t xml:space="preserve">partly </w:t>
      </w:r>
      <w:r w:rsidRPr="004B7EF4">
        <w:rPr>
          <w:color w:val="000000"/>
          <w:lang w:val="en-US" w:eastAsia="de-DE"/>
        </w:rPr>
        <w:t xml:space="preserve">related to </w:t>
      </w:r>
      <w:r w:rsidRPr="004B7EF4">
        <w:rPr>
          <w:lang w:val="en-US"/>
        </w:rPr>
        <w:t xml:space="preserve">high reactivity of unhydrolyzed chloroformates </w:t>
      </w:r>
      <w:r w:rsidRPr="004B7EF4">
        <w:rPr>
          <w:color w:val="000000"/>
          <w:lang w:val="en-US" w:eastAsia="de-DE"/>
        </w:rPr>
        <w:t xml:space="preserve">at the very beginning of the test. The toxicity may be explained by reactions </w:t>
      </w:r>
      <w:r w:rsidRPr="004B7EF4">
        <w:rPr>
          <w:snapToGrid w:val="0"/>
          <w:lang w:val="en-US"/>
        </w:rPr>
        <w:t>with nucleophiles (such as -NH</w:t>
      </w:r>
      <w:r w:rsidRPr="004B7EF4">
        <w:rPr>
          <w:snapToGrid w:val="0"/>
          <w:vertAlign w:val="subscript"/>
          <w:lang w:val="en-US"/>
        </w:rPr>
        <w:t>2</w:t>
      </w:r>
      <w:r w:rsidRPr="004B7EF4">
        <w:rPr>
          <w:snapToGrid w:val="0"/>
          <w:lang w:val="en-US"/>
        </w:rPr>
        <w:t xml:space="preserve">, -SH and -OH) </w:t>
      </w:r>
      <w:r w:rsidRPr="004B7EF4">
        <w:rPr>
          <w:color w:val="000000"/>
          <w:lang w:val="en-US" w:eastAsia="de-DE"/>
        </w:rPr>
        <w:t>on biological macromolecules.</w:t>
      </w:r>
    </w:p>
    <w:p w:rsidR="001D41E2" w:rsidRPr="004B7EF4" w:rsidRDefault="001D41E2" w:rsidP="00FF6A3E">
      <w:pPr>
        <w:pStyle w:val="BodyText"/>
        <w:rPr>
          <w:color w:val="000000"/>
          <w:lang w:val="en-US" w:eastAsia="de-DE"/>
        </w:rPr>
      </w:pPr>
      <w:r w:rsidRPr="004B7EF4">
        <w:rPr>
          <w:color w:val="000000"/>
          <w:lang w:val="en-US" w:eastAsia="de-DE"/>
        </w:rPr>
        <w:t>In the reported cases with the category members, all mortalities occurred during the first 24-hour exposure period.</w:t>
      </w:r>
    </w:p>
    <w:p w:rsidR="001D41E2" w:rsidRPr="004B7EF4" w:rsidRDefault="001D41E2" w:rsidP="00B96725">
      <w:pPr>
        <w:pStyle w:val="BodyText"/>
        <w:rPr>
          <w:color w:val="000000"/>
          <w:lang w:val="en-US" w:eastAsia="de-DE"/>
        </w:rPr>
      </w:pPr>
      <w:r w:rsidRPr="004B7EF4">
        <w:rPr>
          <w:color w:val="000000"/>
          <w:lang w:val="en-US" w:eastAsia="de-DE"/>
        </w:rPr>
        <w:t>In most of the available studies with the chloroformates</w:t>
      </w:r>
      <w:r>
        <w:rPr>
          <w:color w:val="000000"/>
          <w:lang w:val="en-US" w:eastAsia="de-DE"/>
        </w:rPr>
        <w:t>,</w:t>
      </w:r>
      <w:r w:rsidRPr="004B7EF4">
        <w:rPr>
          <w:color w:val="000000"/>
          <w:lang w:val="en-US" w:eastAsia="de-DE"/>
        </w:rPr>
        <w:t xml:space="preserve"> it was reported that the product was added to the test water before the fish were placed into the prepared aquaria. In cases where it was reported, the duration of the whole procedure was given with about 20 min (10 min for the renewal procedure). During this period and depending on the specific hydrolysis half-life, the chloroformates </w:t>
      </w:r>
      <w:r>
        <w:rPr>
          <w:color w:val="000000"/>
          <w:lang w:val="en-US" w:eastAsia="de-DE"/>
        </w:rPr>
        <w:t>are expected to hydrolyze</w:t>
      </w:r>
      <w:r w:rsidRPr="004B7EF4">
        <w:rPr>
          <w:color w:val="000000"/>
          <w:lang w:val="en-US" w:eastAsia="de-DE"/>
        </w:rPr>
        <w:t xml:space="preserve"> </w:t>
      </w:r>
      <w:r>
        <w:rPr>
          <w:color w:val="000000"/>
          <w:lang w:val="en-US" w:eastAsia="de-DE"/>
        </w:rPr>
        <w:t>during this time</w:t>
      </w:r>
      <w:r w:rsidRPr="004B7EF4">
        <w:rPr>
          <w:color w:val="000000"/>
          <w:lang w:val="en-US" w:eastAsia="de-DE"/>
        </w:rPr>
        <w:t xml:space="preserve">. However, it is likely that some amounts of unhydrolyzed test substance were still present and responsible for the relatively high toxicity. With MeCF, the test substance was added to the test water when fish were already present. Here it is obvious that reactive molecules had adverse effects on fish.   </w:t>
      </w:r>
    </w:p>
    <w:p w:rsidR="001D41E2" w:rsidRPr="004B7EF4" w:rsidRDefault="001D41E2" w:rsidP="0033035E">
      <w:pPr>
        <w:pStyle w:val="BodyText"/>
        <w:rPr>
          <w:color w:val="000000"/>
          <w:lang w:val="en-US" w:eastAsia="de-DE"/>
        </w:rPr>
      </w:pPr>
      <w:r w:rsidRPr="004B7EF4">
        <w:rPr>
          <w:color w:val="000000"/>
          <w:lang w:val="en-US" w:eastAsia="de-DE"/>
        </w:rPr>
        <w:t>Since the chloroformates are hydrolyzed to the corresponding alcohols, CO</w:t>
      </w:r>
      <w:r w:rsidRPr="004B7EF4">
        <w:rPr>
          <w:color w:val="000000"/>
          <w:vertAlign w:val="subscript"/>
          <w:lang w:val="en-US" w:eastAsia="de-DE"/>
        </w:rPr>
        <w:t>2</w:t>
      </w:r>
      <w:r w:rsidRPr="004B7EF4">
        <w:rPr>
          <w:color w:val="000000"/>
          <w:lang w:val="en-US" w:eastAsia="de-DE"/>
        </w:rPr>
        <w:t xml:space="preserve"> and HCl, an influence of the test water pH on fish toxicity is possible</w:t>
      </w:r>
      <w:r>
        <w:rPr>
          <w:color w:val="000000"/>
          <w:lang w:val="en-US" w:eastAsia="de-DE"/>
        </w:rPr>
        <w:t xml:space="preserve"> but</w:t>
      </w:r>
      <w:r w:rsidRPr="004B7EF4">
        <w:rPr>
          <w:color w:val="000000"/>
          <w:lang w:val="en-US" w:eastAsia="de-DE"/>
        </w:rPr>
        <w:t xml:space="preserve"> unlikely since even at the highest tested concentrations, which resulted in high mortality, the monitored pH at test start (stated for the time points 0 – 2 h) was at neutral levels (pH ≥ 6.8) in all cases. Therefore, the toxicity could not be driven by pH effects.</w:t>
      </w:r>
    </w:p>
    <w:p w:rsidR="001D41E2" w:rsidRPr="004B7EF4" w:rsidRDefault="001D41E2" w:rsidP="00C15018">
      <w:pPr>
        <w:pStyle w:val="BodyText"/>
        <w:rPr>
          <w:lang w:val="en-US"/>
        </w:rPr>
      </w:pPr>
      <w:r w:rsidRPr="004B7EF4">
        <w:rPr>
          <w:lang w:val="en-US"/>
        </w:rPr>
        <w:t xml:space="preserve">In conclusion, it can be stated that unhydrolyzed chloroformates category members have acute toxic effects on fish. The hydrolysis product HCl is acutely toxic to fish due to the acidification of the test medium. The latter effect, however, is unlikely to be responsible for the toxicity of the chloroformates.  </w:t>
      </w:r>
    </w:p>
    <w:p w:rsidR="001D41E2" w:rsidRPr="007E3379" w:rsidRDefault="001D41E2" w:rsidP="00C15018">
      <w:pPr>
        <w:pStyle w:val="BodyText"/>
        <w:rPr>
          <w:i/>
          <w:iCs/>
          <w:lang w:val="en-US"/>
        </w:rPr>
      </w:pPr>
      <w:r w:rsidRPr="007E3379">
        <w:rPr>
          <w:i/>
          <w:iCs/>
          <w:lang w:val="en-US"/>
        </w:rPr>
        <w:t>Aquatic invertebrates</w:t>
      </w:r>
    </w:p>
    <w:p w:rsidR="001D41E2" w:rsidRDefault="001D41E2" w:rsidP="00C15018">
      <w:pPr>
        <w:pStyle w:val="BodyText"/>
      </w:pPr>
      <w:r>
        <w:t>Studies on the acute toxicity to invertebrates are not available for the chloroformate category members.  Due to the short hydrolysis half-lives (</w:t>
      </w:r>
      <w:r w:rsidR="007D3E3E" w:rsidRPr="007D3E3E">
        <w:rPr>
          <w:szCs w:val="24"/>
          <w:u w:val="single"/>
        </w:rPr>
        <w:t>&lt;</w:t>
      </w:r>
      <w:r>
        <w:t xml:space="preserve"> 30 min) of the chloroformate category members, results from the hydrolysis products are used to fulfill this endpoint.  </w:t>
      </w:r>
    </w:p>
    <w:p w:rsidR="001D41E2" w:rsidRPr="001130ED" w:rsidRDefault="001D41E2" w:rsidP="00C15018">
      <w:pPr>
        <w:pStyle w:val="BodyText"/>
        <w:rPr>
          <w:bCs/>
          <w:i/>
          <w:iCs/>
          <w:lang w:val="en-US"/>
        </w:rPr>
      </w:pPr>
      <w:r w:rsidRPr="001130ED">
        <w:rPr>
          <w:bCs/>
          <w:i/>
          <w:iCs/>
          <w:lang w:val="en-US"/>
        </w:rPr>
        <w:t>Hydrolysis products</w:t>
      </w:r>
    </w:p>
    <w:p w:rsidR="001D41E2" w:rsidRPr="004B7EF4" w:rsidRDefault="001D41E2" w:rsidP="00C15018">
      <w:pPr>
        <w:pStyle w:val="BodyText"/>
        <w:rPr>
          <w:lang w:val="en-US"/>
        </w:rPr>
      </w:pPr>
      <w:r w:rsidRPr="004B7EF4">
        <w:rPr>
          <w:lang w:val="en-US"/>
        </w:rPr>
        <w:t xml:space="preserve">As with fish, the key studies were predominantly taken from OECD and EU dossiers and were performed according to or similar to standardized test methods. Most of the key studies were 48-hour </w:t>
      </w:r>
      <w:r w:rsidRPr="004B7EF4">
        <w:rPr>
          <w:i/>
          <w:iCs/>
          <w:lang w:val="en-US"/>
        </w:rPr>
        <w:t>Daphnia magna</w:t>
      </w:r>
      <w:r w:rsidRPr="004B7EF4">
        <w:rPr>
          <w:lang w:val="en-US"/>
        </w:rPr>
        <w:t xml:space="preserve"> studies. One study (with </w:t>
      </w:r>
      <w:proofErr w:type="gramStart"/>
      <w:r w:rsidRPr="004B7EF4">
        <w:rPr>
          <w:lang w:val="en-US"/>
        </w:rPr>
        <w:t>Et</w:t>
      </w:r>
      <w:proofErr w:type="gramEnd"/>
      <w:r w:rsidRPr="004B7EF4">
        <w:rPr>
          <w:lang w:val="en-US"/>
        </w:rPr>
        <w:t xml:space="preserve">) was performed with </w:t>
      </w:r>
      <w:r w:rsidRPr="004B7EF4">
        <w:rPr>
          <w:i/>
          <w:iCs/>
          <w:lang w:val="en-US"/>
        </w:rPr>
        <w:t>Ceriodaphnia dubia</w:t>
      </w:r>
      <w:r w:rsidRPr="004B7EF4">
        <w:rPr>
          <w:lang w:val="en-US"/>
        </w:rPr>
        <w:t xml:space="preserve">. Additional results are available from tests with </w:t>
      </w:r>
      <w:r w:rsidRPr="004B7EF4">
        <w:rPr>
          <w:i/>
          <w:iCs/>
          <w:lang w:val="en-US"/>
        </w:rPr>
        <w:t>Gammarus pulex</w:t>
      </w:r>
      <w:r w:rsidRPr="004B7EF4">
        <w:rPr>
          <w:lang w:val="en-US"/>
        </w:rPr>
        <w:t xml:space="preserve"> (Pr) and </w:t>
      </w:r>
      <w:r w:rsidRPr="004B7EF4">
        <w:rPr>
          <w:i/>
          <w:iCs/>
          <w:lang w:val="en-US"/>
        </w:rPr>
        <w:t>Crangon crangon</w:t>
      </w:r>
      <w:r w:rsidRPr="004B7EF4">
        <w:rPr>
          <w:lang w:val="en-US"/>
        </w:rPr>
        <w:t xml:space="preserve"> (Ip). Besides the latter study with this marine invertebrate, which was conducted under semi-static conditions, the freshwater studies were all run in static test systems. Analytical m</w:t>
      </w:r>
      <w:r>
        <w:rPr>
          <w:lang w:val="en-US"/>
        </w:rPr>
        <w:t>easurements of the test concentrations were</w:t>
      </w:r>
      <w:r w:rsidRPr="004B7EF4">
        <w:rPr>
          <w:lang w:val="en-US"/>
        </w:rPr>
        <w:t xml:space="preserve"> not reported. Similar to </w:t>
      </w:r>
      <w:r>
        <w:rPr>
          <w:lang w:val="en-US"/>
        </w:rPr>
        <w:t xml:space="preserve">the results observed with </w:t>
      </w:r>
      <w:r w:rsidRPr="004B7EF4">
        <w:rPr>
          <w:lang w:val="en-US"/>
        </w:rPr>
        <w:t>fish</w:t>
      </w:r>
      <w:r>
        <w:rPr>
          <w:lang w:val="en-US"/>
        </w:rPr>
        <w:t>,</w:t>
      </w:r>
      <w:r w:rsidRPr="004B7EF4">
        <w:rPr>
          <w:lang w:val="en-US"/>
        </w:rPr>
        <w:t xml:space="preserve"> no acutely harmful effects were observed (EC</w:t>
      </w:r>
      <w:r w:rsidRPr="004B7EF4">
        <w:rPr>
          <w:vertAlign w:val="subscript"/>
          <w:lang w:val="en-US"/>
        </w:rPr>
        <w:t>50</w:t>
      </w:r>
      <w:r w:rsidRPr="004B7EF4">
        <w:rPr>
          <w:lang w:val="en-US"/>
        </w:rPr>
        <w:t xml:space="preserve"> ≥ 1000 mg/L) with the exception of Eh, which showed harmful effects on </w:t>
      </w:r>
      <w:r w:rsidRPr="004B7EF4">
        <w:rPr>
          <w:i/>
          <w:iCs/>
          <w:lang w:val="en-US"/>
        </w:rPr>
        <w:t>D. magna</w:t>
      </w:r>
      <w:r w:rsidRPr="004B7EF4">
        <w:rPr>
          <w:lang w:val="en-US"/>
        </w:rPr>
        <w:t xml:space="preserve"> (EC</w:t>
      </w:r>
      <w:r w:rsidRPr="004B7EF4">
        <w:rPr>
          <w:vertAlign w:val="subscript"/>
          <w:lang w:val="en-US"/>
        </w:rPr>
        <w:t>50</w:t>
      </w:r>
      <w:r w:rsidRPr="004B7EF4">
        <w:rPr>
          <w:lang w:val="en-US"/>
        </w:rPr>
        <w:t xml:space="preserve"> ca. 35 mg/L) (Dow, 1980).</w:t>
      </w:r>
    </w:p>
    <w:p w:rsidR="001D41E2" w:rsidRPr="007E3379" w:rsidRDefault="001D41E2" w:rsidP="00C72A82">
      <w:pPr>
        <w:pStyle w:val="BodyText"/>
        <w:rPr>
          <w:b/>
          <w:bCs/>
          <w:i/>
          <w:iCs/>
          <w:lang w:val="en-US"/>
        </w:rPr>
      </w:pPr>
      <w:r w:rsidRPr="007E3379">
        <w:rPr>
          <w:b/>
          <w:bCs/>
          <w:i/>
          <w:iCs/>
          <w:lang w:val="en-US"/>
        </w:rPr>
        <w:t>HCl</w:t>
      </w:r>
    </w:p>
    <w:p w:rsidR="001D41E2" w:rsidRPr="004B7EF4" w:rsidRDefault="001D41E2" w:rsidP="003109FE">
      <w:pPr>
        <w:pStyle w:val="NormalWeb"/>
        <w:spacing w:before="0" w:beforeAutospacing="0"/>
        <w:jc w:val="both"/>
        <w:rPr>
          <w:lang w:val="en-US"/>
        </w:rPr>
      </w:pPr>
      <w:r w:rsidRPr="004B7EF4">
        <w:rPr>
          <w:lang w:val="en-US"/>
        </w:rPr>
        <w:t xml:space="preserve">Effects of </w:t>
      </w:r>
      <w:r w:rsidRPr="004B7EF4">
        <w:rPr>
          <w:i/>
          <w:iCs/>
          <w:lang w:val="en-US"/>
        </w:rPr>
        <w:t>HCl</w:t>
      </w:r>
      <w:r w:rsidRPr="004B7EF4">
        <w:rPr>
          <w:lang w:val="en-US"/>
        </w:rPr>
        <w:t xml:space="preserve"> on </w:t>
      </w:r>
      <w:r w:rsidRPr="004B7EF4">
        <w:rPr>
          <w:i/>
          <w:iCs/>
          <w:lang w:val="en-US"/>
        </w:rPr>
        <w:t>Daphnia magna</w:t>
      </w:r>
      <w:r w:rsidRPr="004B7EF4">
        <w:rPr>
          <w:lang w:val="en-US"/>
        </w:rPr>
        <w:t xml:space="preserve"> were investigated in a 48-h semi-static study following OECD TG 202. The following pH conditions were set up by using different amounts of 12 N (37.2%) HCl: pH 6.0, 5.5, 5.0, 4.5 and 4.0. </w:t>
      </w:r>
      <w:r>
        <w:rPr>
          <w:lang w:val="en-US"/>
        </w:rPr>
        <w:t>The control and t</w:t>
      </w:r>
      <w:r w:rsidRPr="004B7EF4">
        <w:rPr>
          <w:lang w:val="en-US"/>
        </w:rPr>
        <w:t>est solutions were renewed daily. The test concentrations were monitored by pH measurements and recalculated to 12 N HCl. Based on this acid equivalent (nominal values), the 48-h EC</w:t>
      </w:r>
      <w:r w:rsidRPr="004B7EF4">
        <w:rPr>
          <w:vertAlign w:val="subscript"/>
          <w:lang w:val="en-US"/>
        </w:rPr>
        <w:t>50</w:t>
      </w:r>
      <w:r w:rsidRPr="004B7EF4">
        <w:rPr>
          <w:lang w:val="en-US"/>
        </w:rPr>
        <w:t xml:space="preserve"> was determined to be 0.492 mg/L (pH 5.3) (OECD, 2002a). </w:t>
      </w:r>
    </w:p>
    <w:p w:rsidR="001D41E2" w:rsidRPr="007E3379" w:rsidRDefault="001D41E2" w:rsidP="00C15018">
      <w:pPr>
        <w:pStyle w:val="BodyText"/>
        <w:rPr>
          <w:i/>
          <w:iCs/>
          <w:lang w:val="en-US"/>
        </w:rPr>
      </w:pPr>
      <w:r w:rsidRPr="007E3379">
        <w:rPr>
          <w:i/>
          <w:iCs/>
          <w:lang w:val="en-US"/>
        </w:rPr>
        <w:t>Aquatic plants</w:t>
      </w:r>
    </w:p>
    <w:p w:rsidR="001D41E2" w:rsidRPr="004B7EF4" w:rsidRDefault="001D41E2" w:rsidP="00FC1816">
      <w:pPr>
        <w:pStyle w:val="BodyText"/>
        <w:rPr>
          <w:u w:val="single"/>
          <w:lang w:val="en-US"/>
        </w:rPr>
      </w:pPr>
      <w:r>
        <w:t>Studies on the acute toxicity to algae are not available for the chloroformate category members.  Due to the short hydrolysis half-lives (</w:t>
      </w:r>
      <w:r w:rsidR="007D3E3E" w:rsidRPr="007D3E3E">
        <w:rPr>
          <w:szCs w:val="24"/>
          <w:u w:val="single"/>
        </w:rPr>
        <w:t>&lt;</w:t>
      </w:r>
      <w:r>
        <w:t xml:space="preserve"> 30 min) of the chloroformate category members, results from the hydrolysis products are used to fulfill this endpoint.  </w:t>
      </w:r>
    </w:p>
    <w:p w:rsidR="001D41E2" w:rsidRPr="001130ED" w:rsidRDefault="001D41E2" w:rsidP="00FC1816">
      <w:pPr>
        <w:pStyle w:val="BodyText"/>
        <w:rPr>
          <w:bCs/>
          <w:i/>
          <w:iCs/>
          <w:lang w:val="en-US"/>
        </w:rPr>
      </w:pPr>
      <w:r w:rsidRPr="001130ED">
        <w:rPr>
          <w:bCs/>
          <w:i/>
          <w:iCs/>
          <w:lang w:val="en-US"/>
        </w:rPr>
        <w:t>Hydrolysis products</w:t>
      </w:r>
    </w:p>
    <w:p w:rsidR="001D41E2" w:rsidRPr="004B7EF4" w:rsidRDefault="001D41E2" w:rsidP="00742423">
      <w:pPr>
        <w:pStyle w:val="BodyText"/>
        <w:rPr>
          <w:lang w:val="en-US"/>
        </w:rPr>
      </w:pPr>
      <w:r>
        <w:rPr>
          <w:lang w:val="en-US"/>
        </w:rPr>
        <w:t>T</w:t>
      </w:r>
      <w:r w:rsidRPr="004B7EF4">
        <w:rPr>
          <w:lang w:val="en-US"/>
        </w:rPr>
        <w:t xml:space="preserve">he key study results were taken from the peer-reviewed EU and OECD dossiers. The algae studies were performed with the green algae species </w:t>
      </w:r>
      <w:r w:rsidRPr="004B7EF4">
        <w:rPr>
          <w:i/>
          <w:iCs/>
          <w:lang w:val="en-US"/>
        </w:rPr>
        <w:t>Chorella pyrenoidosa</w:t>
      </w:r>
      <w:r w:rsidRPr="004B7EF4">
        <w:rPr>
          <w:lang w:val="en-US"/>
        </w:rPr>
        <w:t xml:space="preserve">, </w:t>
      </w:r>
      <w:r w:rsidRPr="004B7EF4">
        <w:rPr>
          <w:i/>
          <w:iCs/>
          <w:lang w:val="en-US"/>
        </w:rPr>
        <w:t>Chlorella vulgaris</w:t>
      </w:r>
      <w:r w:rsidRPr="004B7EF4">
        <w:rPr>
          <w:lang w:val="en-US"/>
        </w:rPr>
        <w:t xml:space="preserve">, </w:t>
      </w:r>
      <w:r w:rsidRPr="004B7EF4">
        <w:rPr>
          <w:i/>
          <w:iCs/>
          <w:lang w:val="en-US"/>
        </w:rPr>
        <w:t>Pseudokirchneriella subcapitata</w:t>
      </w:r>
      <w:r w:rsidRPr="004B7EF4">
        <w:rPr>
          <w:lang w:val="en-US"/>
        </w:rPr>
        <w:t xml:space="preserve"> and </w:t>
      </w:r>
      <w:r w:rsidRPr="004B7EF4">
        <w:rPr>
          <w:i/>
          <w:iCs/>
          <w:lang w:val="en-US"/>
        </w:rPr>
        <w:t>Scenedesmus quadricauda</w:t>
      </w:r>
      <w:r w:rsidRPr="004B7EF4">
        <w:rPr>
          <w:lang w:val="en-US"/>
        </w:rPr>
        <w:t xml:space="preserve">. Studies with the blue-green alga </w:t>
      </w:r>
      <w:r w:rsidRPr="004B7EF4">
        <w:rPr>
          <w:i/>
          <w:iCs/>
          <w:lang w:val="en-US"/>
        </w:rPr>
        <w:t>Microcystis aeurginosa</w:t>
      </w:r>
      <w:r w:rsidRPr="004B7EF4">
        <w:rPr>
          <w:lang w:val="en-US"/>
        </w:rPr>
        <w:t xml:space="preserve"> served as key studies for Ip and Sb. Only about half of the results were derived </w:t>
      </w:r>
      <w:r>
        <w:rPr>
          <w:lang w:val="en-US"/>
        </w:rPr>
        <w:t>from</w:t>
      </w:r>
      <w:r w:rsidRPr="004B7EF4">
        <w:rPr>
          <w:lang w:val="en-US"/>
        </w:rPr>
        <w:t xml:space="preserve"> studies which were </w:t>
      </w:r>
      <w:r>
        <w:rPr>
          <w:lang w:val="en-US"/>
        </w:rPr>
        <w:t>performed</w:t>
      </w:r>
      <w:r w:rsidRPr="004B7EF4">
        <w:rPr>
          <w:lang w:val="en-US"/>
        </w:rPr>
        <w:t xml:space="preserve"> </w:t>
      </w:r>
      <w:r>
        <w:rPr>
          <w:lang w:val="en-US"/>
        </w:rPr>
        <w:t>by current standards</w:t>
      </w:r>
      <w:r w:rsidRPr="004B7EF4">
        <w:rPr>
          <w:lang w:val="en-US"/>
        </w:rPr>
        <w:t xml:space="preserve">. Many of the key studies were run for more than 96-h, when the algae growth is no longer in the exponential phase. </w:t>
      </w:r>
      <w:r>
        <w:rPr>
          <w:lang w:val="en-US"/>
        </w:rPr>
        <w:t>T</w:t>
      </w:r>
      <w:r w:rsidRPr="004B7EF4">
        <w:rPr>
          <w:lang w:val="en-US"/>
        </w:rPr>
        <w:t xml:space="preserve">he results clearly indicate </w:t>
      </w:r>
      <w:r>
        <w:rPr>
          <w:lang w:val="en-US"/>
        </w:rPr>
        <w:t xml:space="preserve">the lack of </w:t>
      </w:r>
      <w:r w:rsidRPr="004B7EF4">
        <w:rPr>
          <w:lang w:val="en-US"/>
        </w:rPr>
        <w:t xml:space="preserve">harmful effects of Me, </w:t>
      </w:r>
      <w:proofErr w:type="gramStart"/>
      <w:r w:rsidRPr="004B7EF4">
        <w:rPr>
          <w:lang w:val="en-US"/>
        </w:rPr>
        <w:t>Et</w:t>
      </w:r>
      <w:proofErr w:type="gramEnd"/>
      <w:r w:rsidRPr="004B7EF4">
        <w:rPr>
          <w:lang w:val="en-US"/>
        </w:rPr>
        <w:t>, Pr, Ip and DEG on algae (EC</w:t>
      </w:r>
      <w:r w:rsidRPr="004B7EF4">
        <w:rPr>
          <w:vertAlign w:val="subscript"/>
          <w:lang w:val="en-US"/>
        </w:rPr>
        <w:t>50</w:t>
      </w:r>
      <w:r w:rsidRPr="004B7EF4">
        <w:rPr>
          <w:lang w:val="en-US"/>
        </w:rPr>
        <w:t xml:space="preserve"> ≥ 1000 mg/L). Eh was shown to have harmful effects on algae (72-h EC</w:t>
      </w:r>
      <w:r w:rsidRPr="004B7EF4">
        <w:rPr>
          <w:vertAlign w:val="subscript"/>
          <w:lang w:val="en-US"/>
        </w:rPr>
        <w:t>50</w:t>
      </w:r>
      <w:r w:rsidRPr="004B7EF4">
        <w:rPr>
          <w:lang w:val="en-US"/>
        </w:rPr>
        <w:t xml:space="preserve"> = 11.5 </w:t>
      </w:r>
      <w:r>
        <w:rPr>
          <w:lang w:val="en-US"/>
        </w:rPr>
        <w:t xml:space="preserve">and 13.3 </w:t>
      </w:r>
      <w:r w:rsidRPr="004B7EF4">
        <w:rPr>
          <w:lang w:val="en-US"/>
        </w:rPr>
        <w:t>mg/L)</w:t>
      </w:r>
      <w:r>
        <w:rPr>
          <w:lang w:val="en-US"/>
        </w:rPr>
        <w:t xml:space="preserve"> which is </w:t>
      </w:r>
      <w:r w:rsidRPr="004B7EF4">
        <w:rPr>
          <w:lang w:val="en-US"/>
        </w:rPr>
        <w:t xml:space="preserve">similar to </w:t>
      </w:r>
      <w:r>
        <w:rPr>
          <w:lang w:val="en-US"/>
        </w:rPr>
        <w:t xml:space="preserve">the results observed for </w:t>
      </w:r>
      <w:r w:rsidRPr="004B7EF4">
        <w:rPr>
          <w:lang w:val="en-US"/>
        </w:rPr>
        <w:t xml:space="preserve">fish and </w:t>
      </w:r>
      <w:r w:rsidRPr="004B7EF4">
        <w:rPr>
          <w:i/>
          <w:iCs/>
          <w:lang w:val="en-US"/>
        </w:rPr>
        <w:t>Daphnia</w:t>
      </w:r>
      <w:r w:rsidRPr="004B7EF4">
        <w:rPr>
          <w:lang w:val="en-US"/>
        </w:rPr>
        <w:t xml:space="preserve">. </w:t>
      </w:r>
      <w:r>
        <w:rPr>
          <w:lang w:val="en-US"/>
        </w:rPr>
        <w:t>The EC</w:t>
      </w:r>
      <w:r w:rsidRPr="00267A56">
        <w:rPr>
          <w:vertAlign w:val="subscript"/>
          <w:lang w:val="en-US"/>
        </w:rPr>
        <w:t>3</w:t>
      </w:r>
      <w:r>
        <w:rPr>
          <w:lang w:val="en-US"/>
        </w:rPr>
        <w:t xml:space="preserve"> values for Sb were 95 mg/L (7-d) and 312 mg/L (8-d).</w:t>
      </w:r>
    </w:p>
    <w:p w:rsidR="001D41E2" w:rsidRPr="004B7EF4" w:rsidRDefault="001D41E2" w:rsidP="00742423">
      <w:pPr>
        <w:pStyle w:val="BodyText"/>
        <w:rPr>
          <w:lang w:val="en-US"/>
        </w:rPr>
      </w:pPr>
      <w:r w:rsidRPr="004B7EF4">
        <w:rPr>
          <w:lang w:val="en-US"/>
        </w:rPr>
        <w:t xml:space="preserve">Additionally, studies with the aquatic plant </w:t>
      </w:r>
      <w:r w:rsidRPr="004B7EF4">
        <w:rPr>
          <w:i/>
          <w:iCs/>
          <w:lang w:val="en-US"/>
        </w:rPr>
        <w:t xml:space="preserve">Lemna </w:t>
      </w:r>
      <w:r w:rsidRPr="004B7EF4">
        <w:rPr>
          <w:lang w:val="en-US"/>
        </w:rPr>
        <w:t>sp. are available for ethanol (</w:t>
      </w:r>
      <w:proofErr w:type="gramStart"/>
      <w:r w:rsidRPr="004B7EF4">
        <w:rPr>
          <w:lang w:val="en-US"/>
        </w:rPr>
        <w:t>Et</w:t>
      </w:r>
      <w:proofErr w:type="gramEnd"/>
      <w:r w:rsidRPr="004B7EF4">
        <w:rPr>
          <w:lang w:val="en-US"/>
        </w:rPr>
        <w:t>). In the key study, the 7-d</w:t>
      </w:r>
      <w:r>
        <w:rPr>
          <w:lang w:val="en-US"/>
        </w:rPr>
        <w:t>ay</w:t>
      </w:r>
      <w:r w:rsidRPr="004B7EF4">
        <w:rPr>
          <w:lang w:val="en-US"/>
        </w:rPr>
        <w:t xml:space="preserve"> E</w:t>
      </w:r>
      <w:r w:rsidRPr="004B7EF4">
        <w:rPr>
          <w:vertAlign w:val="subscript"/>
          <w:lang w:val="en-US"/>
        </w:rPr>
        <w:t>r</w:t>
      </w:r>
      <w:r w:rsidRPr="004B7EF4">
        <w:rPr>
          <w:lang w:val="en-US"/>
        </w:rPr>
        <w:t>C</w:t>
      </w:r>
      <w:r w:rsidRPr="004B7EF4">
        <w:rPr>
          <w:vertAlign w:val="subscript"/>
          <w:lang w:val="en-US"/>
        </w:rPr>
        <w:t xml:space="preserve">50 </w:t>
      </w:r>
      <w:r w:rsidRPr="004B7EF4">
        <w:rPr>
          <w:lang w:val="en-US"/>
        </w:rPr>
        <w:t>was determined to be 4432 mg/L</w:t>
      </w:r>
      <w:r>
        <w:rPr>
          <w:lang w:val="en-US"/>
        </w:rPr>
        <w:t xml:space="preserve"> (OECD, 2005)</w:t>
      </w:r>
      <w:r w:rsidRPr="004B7EF4">
        <w:rPr>
          <w:lang w:val="en-US"/>
        </w:rPr>
        <w:t xml:space="preserve">. </w:t>
      </w:r>
    </w:p>
    <w:p w:rsidR="001D41E2" w:rsidRPr="007E3379" w:rsidRDefault="001D41E2" w:rsidP="00AC6905">
      <w:pPr>
        <w:pStyle w:val="NormalWeb"/>
        <w:spacing w:before="0" w:beforeAutospacing="0" w:after="180" w:afterAutospacing="0"/>
        <w:jc w:val="both"/>
        <w:rPr>
          <w:b/>
          <w:bCs/>
          <w:i/>
          <w:iCs/>
          <w:lang w:val="en-US"/>
        </w:rPr>
      </w:pPr>
      <w:r w:rsidRPr="007E3379">
        <w:rPr>
          <w:b/>
          <w:bCs/>
          <w:i/>
          <w:iCs/>
          <w:lang w:val="en-US"/>
        </w:rPr>
        <w:t>HCl</w:t>
      </w:r>
    </w:p>
    <w:p w:rsidR="001D41E2" w:rsidRPr="004B7EF4" w:rsidRDefault="001D41E2" w:rsidP="00A508DE">
      <w:pPr>
        <w:pStyle w:val="NormalWeb"/>
        <w:spacing w:before="0" w:beforeAutospacing="0"/>
        <w:jc w:val="both"/>
        <w:rPr>
          <w:lang w:val="en-US"/>
        </w:rPr>
      </w:pPr>
      <w:r w:rsidRPr="004B7EF4">
        <w:rPr>
          <w:i/>
          <w:iCs/>
          <w:lang w:val="en-US"/>
        </w:rPr>
        <w:t>HCl</w:t>
      </w:r>
      <w:r w:rsidRPr="004B7EF4">
        <w:rPr>
          <w:lang w:val="en-US"/>
        </w:rPr>
        <w:t xml:space="preserve"> was tested on </w:t>
      </w:r>
      <w:r w:rsidRPr="004B7EF4">
        <w:rPr>
          <w:i/>
          <w:iCs/>
          <w:lang w:val="en-US"/>
        </w:rPr>
        <w:t>P. subcapitata</w:t>
      </w:r>
      <w:r w:rsidRPr="004B7EF4">
        <w:rPr>
          <w:lang w:val="en-US"/>
        </w:rPr>
        <w:t xml:space="preserve"> in a 72-h </w:t>
      </w:r>
      <w:r>
        <w:rPr>
          <w:lang w:val="en-US"/>
        </w:rPr>
        <w:t xml:space="preserve">static </w:t>
      </w:r>
      <w:r w:rsidRPr="004B7EF4">
        <w:rPr>
          <w:lang w:val="en-US"/>
        </w:rPr>
        <w:t xml:space="preserve">algae growth inhibition test following OECD TG 201. Test concentrations similar to pH 6.0, 5.0, 4.5, 4.0 and 3.5 were </w:t>
      </w:r>
      <w:r>
        <w:rPr>
          <w:lang w:val="en-US"/>
        </w:rPr>
        <w:t>prepared</w:t>
      </w:r>
      <w:r w:rsidRPr="004B7EF4">
        <w:rPr>
          <w:lang w:val="en-US"/>
        </w:rPr>
        <w:t xml:space="preserve"> using 12 N (37.2%) </w:t>
      </w:r>
      <w:proofErr w:type="gramStart"/>
      <w:r w:rsidRPr="004B7EF4">
        <w:rPr>
          <w:lang w:val="en-US"/>
        </w:rPr>
        <w:t>HCl.</w:t>
      </w:r>
      <w:proofErr w:type="gramEnd"/>
      <w:r w:rsidRPr="004B7EF4">
        <w:rPr>
          <w:lang w:val="en-US"/>
        </w:rPr>
        <w:t xml:space="preserve"> The </w:t>
      </w:r>
      <w:r>
        <w:rPr>
          <w:lang w:val="en-US"/>
        </w:rPr>
        <w:t xml:space="preserve">control and test </w:t>
      </w:r>
      <w:r w:rsidRPr="004B7EF4">
        <w:rPr>
          <w:lang w:val="en-US"/>
        </w:rPr>
        <w:t xml:space="preserve">pH values, monitored at the beginning and the end of the test, did not differ significantly except for the lowest </w:t>
      </w:r>
      <w:r>
        <w:rPr>
          <w:lang w:val="en-US"/>
        </w:rPr>
        <w:t xml:space="preserve">test </w:t>
      </w:r>
      <w:r w:rsidRPr="004B7EF4">
        <w:rPr>
          <w:lang w:val="en-US"/>
        </w:rPr>
        <w:t>concentration. Based on the acid equivalent (nominal values), the 72-h EC</w:t>
      </w:r>
      <w:r w:rsidRPr="004B7EF4">
        <w:rPr>
          <w:vertAlign w:val="subscript"/>
          <w:lang w:val="en-US"/>
        </w:rPr>
        <w:t>50</w:t>
      </w:r>
      <w:r w:rsidRPr="004B7EF4">
        <w:rPr>
          <w:lang w:val="en-US"/>
        </w:rPr>
        <w:t xml:space="preserve"> was determined to be 0.492 mg/L (pH 5.3) (OECD, 2002a). </w:t>
      </w:r>
    </w:p>
    <w:p w:rsidR="001D41E2" w:rsidRPr="001130ED" w:rsidRDefault="001D41E2" w:rsidP="001130ED">
      <w:pPr>
        <w:pStyle w:val="Heading3"/>
        <w:numPr>
          <w:ilvl w:val="0"/>
          <w:numId w:val="0"/>
        </w:numPr>
        <w:tabs>
          <w:tab w:val="clear" w:pos="1440"/>
          <w:tab w:val="clear" w:pos="2160"/>
        </w:tabs>
        <w:rPr>
          <w:rFonts w:ascii="Times New Roman" w:hAnsi="Times New Roman" w:cs="Times New Roman"/>
          <w:b w:val="0"/>
          <w:u w:val="single"/>
          <w:lang w:val="en-US"/>
        </w:rPr>
      </w:pPr>
      <w:bookmarkStart w:id="91" w:name="_Toc264983274"/>
      <w:r w:rsidRPr="001130ED">
        <w:rPr>
          <w:rFonts w:ascii="Times New Roman" w:hAnsi="Times New Roman" w:cs="Times New Roman"/>
          <w:b w:val="0"/>
          <w:u w:val="single"/>
          <w:lang w:val="en-US"/>
        </w:rPr>
        <w:t>Chronic Toxicity Test Results</w:t>
      </w:r>
      <w:bookmarkEnd w:id="91"/>
    </w:p>
    <w:p w:rsidR="001D41E2" w:rsidRPr="004B7EF4" w:rsidRDefault="001D41E2" w:rsidP="00D525B7">
      <w:pPr>
        <w:pStyle w:val="BodyText"/>
        <w:rPr>
          <w:u w:val="single"/>
          <w:lang w:val="en-US"/>
        </w:rPr>
      </w:pPr>
      <w:r>
        <w:t>Studies evaluating the chronic aquatic toxicity are not available for the chloroformate category members.  Due to the short hydrolysis half-lives (</w:t>
      </w:r>
      <w:r w:rsidR="007D3E3E" w:rsidRPr="007D3E3E">
        <w:rPr>
          <w:szCs w:val="24"/>
          <w:u w:val="single"/>
        </w:rPr>
        <w:t>&lt;</w:t>
      </w:r>
      <w:r>
        <w:t xml:space="preserve"> 30 min) of the chloroformate category members, results from the hydrolysis products are used to fulfill this endpoint.  </w:t>
      </w:r>
    </w:p>
    <w:p w:rsidR="001D41E2" w:rsidRPr="001130ED" w:rsidRDefault="001D41E2" w:rsidP="00D525B7">
      <w:pPr>
        <w:pStyle w:val="BodyText"/>
        <w:rPr>
          <w:bCs/>
          <w:i/>
          <w:iCs/>
          <w:lang w:val="en-US"/>
        </w:rPr>
      </w:pPr>
      <w:r w:rsidRPr="001130ED">
        <w:rPr>
          <w:bCs/>
          <w:i/>
          <w:iCs/>
          <w:lang w:val="en-US"/>
        </w:rPr>
        <w:t>Hydrolysis products</w:t>
      </w:r>
    </w:p>
    <w:p w:rsidR="001D41E2" w:rsidRPr="004B7EF4" w:rsidRDefault="001D41E2" w:rsidP="00D525B7">
      <w:pPr>
        <w:pStyle w:val="BodyText"/>
        <w:rPr>
          <w:lang w:val="en-US"/>
        </w:rPr>
      </w:pPr>
      <w:r w:rsidRPr="004B7EF4">
        <w:rPr>
          <w:lang w:val="en-US"/>
        </w:rPr>
        <w:t xml:space="preserve">Two reliable chronic test results derived with aquatic invertebrates are available: one with </w:t>
      </w:r>
      <w:proofErr w:type="gramStart"/>
      <w:r>
        <w:rPr>
          <w:lang w:val="en-US"/>
        </w:rPr>
        <w:t>Et</w:t>
      </w:r>
      <w:proofErr w:type="gramEnd"/>
      <w:r>
        <w:rPr>
          <w:lang w:val="en-US"/>
        </w:rPr>
        <w:t xml:space="preserve"> </w:t>
      </w:r>
      <w:r w:rsidRPr="004B7EF4">
        <w:rPr>
          <w:lang w:val="en-US"/>
        </w:rPr>
        <w:t xml:space="preserve">and another with </w:t>
      </w:r>
      <w:r>
        <w:rPr>
          <w:lang w:val="en-US"/>
        </w:rPr>
        <w:t>Ip</w:t>
      </w:r>
      <w:r w:rsidRPr="004B7EF4">
        <w:rPr>
          <w:lang w:val="en-US"/>
        </w:rPr>
        <w:t xml:space="preserve">. </w:t>
      </w:r>
    </w:p>
    <w:p w:rsidR="001D41E2" w:rsidRPr="004B7EF4" w:rsidRDefault="001D41E2" w:rsidP="00D525B7">
      <w:pPr>
        <w:pStyle w:val="BodyText"/>
        <w:rPr>
          <w:lang w:val="en-US"/>
        </w:rPr>
      </w:pPr>
      <w:proofErr w:type="gramStart"/>
      <w:r w:rsidRPr="004B7EF4">
        <w:rPr>
          <w:lang w:val="en-US"/>
        </w:rPr>
        <w:t>Et</w:t>
      </w:r>
      <w:proofErr w:type="gramEnd"/>
      <w:r w:rsidRPr="004B7EF4">
        <w:rPr>
          <w:lang w:val="en-US"/>
        </w:rPr>
        <w:t xml:space="preserve"> was tested in the </w:t>
      </w:r>
      <w:r>
        <w:rPr>
          <w:lang w:val="en-US"/>
        </w:rPr>
        <w:t xml:space="preserve">static </w:t>
      </w:r>
      <w:r w:rsidRPr="004B7EF4">
        <w:rPr>
          <w:lang w:val="en-US"/>
        </w:rPr>
        <w:t xml:space="preserve">Three-Brood-Test on </w:t>
      </w:r>
      <w:r w:rsidRPr="004B7EF4">
        <w:rPr>
          <w:i/>
          <w:iCs/>
          <w:lang w:val="en-US"/>
        </w:rPr>
        <w:t>Daphnia magna</w:t>
      </w:r>
      <w:r w:rsidRPr="004B7EF4">
        <w:rPr>
          <w:lang w:val="en-US"/>
        </w:rPr>
        <w:t xml:space="preserve"> and </w:t>
      </w:r>
      <w:r w:rsidRPr="004B7EF4">
        <w:rPr>
          <w:i/>
          <w:iCs/>
          <w:lang w:val="en-US"/>
        </w:rPr>
        <w:t>Ceriodaphnia dubia</w:t>
      </w:r>
      <w:r w:rsidRPr="004B7EF4">
        <w:rPr>
          <w:lang w:val="en-US"/>
        </w:rPr>
        <w:t xml:space="preserve">. Endpoints measured were total progeny, mean brood size and number of broods. The most sensitive results were obtained with </w:t>
      </w:r>
      <w:r w:rsidRPr="004B7EF4">
        <w:rPr>
          <w:i/>
          <w:iCs/>
          <w:lang w:val="en-US"/>
        </w:rPr>
        <w:t>C. dubia</w:t>
      </w:r>
      <w:r w:rsidRPr="004B7EF4">
        <w:rPr>
          <w:lang w:val="en-US"/>
        </w:rPr>
        <w:t>. Based on nominal concentrations, the 9-d NOEC for effects on reproduction was 9.6 mg/L (Cowgill &amp; Milazzo, 1991; OECD, 2005).</w:t>
      </w:r>
    </w:p>
    <w:p w:rsidR="001D41E2" w:rsidRPr="004B7EF4" w:rsidRDefault="001D41E2" w:rsidP="00D525B7">
      <w:pPr>
        <w:pStyle w:val="BodyText"/>
        <w:rPr>
          <w:lang w:val="en-US"/>
        </w:rPr>
      </w:pPr>
      <w:r w:rsidRPr="004B7EF4">
        <w:rPr>
          <w:lang w:val="en-US"/>
        </w:rPr>
        <w:t>In a 21-d</w:t>
      </w:r>
      <w:r>
        <w:rPr>
          <w:lang w:val="en-US"/>
        </w:rPr>
        <w:t>ay</w:t>
      </w:r>
      <w:r w:rsidRPr="004B7EF4">
        <w:rPr>
          <w:lang w:val="en-US"/>
        </w:rPr>
        <w:t xml:space="preserve"> </w:t>
      </w:r>
      <w:r w:rsidRPr="004B7EF4">
        <w:rPr>
          <w:i/>
          <w:iCs/>
          <w:lang w:val="en-US"/>
        </w:rPr>
        <w:t>Daphnia magna</w:t>
      </w:r>
      <w:r w:rsidRPr="004B7EF4">
        <w:rPr>
          <w:lang w:val="en-US"/>
        </w:rPr>
        <w:t xml:space="preserve"> reproduction test following a German national guideline proposal</w:t>
      </w:r>
      <w:r>
        <w:rPr>
          <w:lang w:val="en-US"/>
        </w:rPr>
        <w:t xml:space="preserve"> (UBA draft)</w:t>
      </w:r>
      <w:r w:rsidRPr="004B7EF4">
        <w:rPr>
          <w:lang w:val="en-US"/>
        </w:rPr>
        <w:t>, effects of Ip were investigated. Based on nominal concentrations, the 21-d</w:t>
      </w:r>
      <w:r>
        <w:rPr>
          <w:lang w:val="en-US"/>
        </w:rPr>
        <w:t>ay</w:t>
      </w:r>
      <w:r w:rsidRPr="004B7EF4">
        <w:rPr>
          <w:lang w:val="en-US"/>
        </w:rPr>
        <w:t xml:space="preserve"> NOEC was 30 mg/L (OECD, 2000).    </w:t>
      </w:r>
    </w:p>
    <w:p w:rsidR="001D41E2" w:rsidRPr="001130ED" w:rsidRDefault="001D41E2" w:rsidP="001130ED">
      <w:pPr>
        <w:pStyle w:val="Heading3"/>
        <w:numPr>
          <w:ilvl w:val="0"/>
          <w:numId w:val="0"/>
        </w:numPr>
        <w:tabs>
          <w:tab w:val="clear" w:pos="1440"/>
          <w:tab w:val="clear" w:pos="2160"/>
        </w:tabs>
        <w:rPr>
          <w:rFonts w:ascii="Times New Roman" w:hAnsi="Times New Roman" w:cs="Times New Roman"/>
          <w:b w:val="0"/>
          <w:u w:val="single"/>
          <w:lang w:val="en-US"/>
        </w:rPr>
      </w:pPr>
      <w:bookmarkStart w:id="92" w:name="_Toc264983275"/>
      <w:r w:rsidRPr="001130ED">
        <w:rPr>
          <w:rFonts w:ascii="Times New Roman" w:hAnsi="Times New Roman" w:cs="Times New Roman"/>
          <w:b w:val="0"/>
          <w:u w:val="single"/>
          <w:lang w:val="en-US"/>
        </w:rPr>
        <w:t>Toxicity to Microorganisms</w:t>
      </w:r>
      <w:bookmarkEnd w:id="92"/>
      <w:r w:rsidRPr="001130ED">
        <w:rPr>
          <w:rFonts w:ascii="Times New Roman" w:hAnsi="Times New Roman" w:cs="Times New Roman"/>
          <w:b w:val="0"/>
          <w:u w:val="single"/>
          <w:lang w:val="en-US"/>
        </w:rPr>
        <w:t xml:space="preserve"> </w:t>
      </w:r>
    </w:p>
    <w:p w:rsidR="001D41E2" w:rsidRDefault="001D41E2" w:rsidP="005A593A">
      <w:pPr>
        <w:pStyle w:val="BodyText"/>
        <w:rPr>
          <w:u w:val="single"/>
          <w:lang w:val="en-US"/>
        </w:rPr>
      </w:pPr>
      <w:r w:rsidRPr="004B7EF4">
        <w:rPr>
          <w:lang w:val="en-US"/>
        </w:rPr>
        <w:t>Two reliable studies investigating effects of chloroformates on microorganisms are available</w:t>
      </w:r>
      <w:r>
        <w:rPr>
          <w:lang w:val="en-US"/>
        </w:rPr>
        <w:t>.</w:t>
      </w:r>
      <w:r w:rsidRPr="004B7EF4">
        <w:rPr>
          <w:lang w:val="en-US"/>
        </w:rPr>
        <w:t xml:space="preserve"> </w:t>
      </w:r>
      <w:r>
        <w:rPr>
          <w:lang w:val="en-US"/>
        </w:rPr>
        <w:t xml:space="preserve">These include </w:t>
      </w:r>
      <w:r w:rsidRPr="004B7EF4">
        <w:rPr>
          <w:lang w:val="en-US"/>
        </w:rPr>
        <w:t xml:space="preserve">an activated sludge short-term respiration inhibition test with IpCF and a </w:t>
      </w:r>
      <w:r w:rsidRPr="004B7EF4">
        <w:rPr>
          <w:i/>
          <w:iCs/>
          <w:lang w:val="en-US"/>
        </w:rPr>
        <w:t>Pseudomonas putida</w:t>
      </w:r>
      <w:r w:rsidRPr="004B7EF4">
        <w:rPr>
          <w:lang w:val="en-US"/>
        </w:rPr>
        <w:t xml:space="preserve"> cell multiplication inhibition test with ObCF.</w:t>
      </w:r>
      <w:r>
        <w:rPr>
          <w:lang w:val="en-US"/>
        </w:rPr>
        <w:t xml:space="preserve">  </w:t>
      </w:r>
    </w:p>
    <w:p w:rsidR="001D41E2" w:rsidRPr="001130ED" w:rsidRDefault="001D41E2" w:rsidP="005A593A">
      <w:pPr>
        <w:pStyle w:val="BodyText"/>
        <w:rPr>
          <w:bCs/>
          <w:i/>
          <w:iCs/>
          <w:lang w:val="en-US"/>
        </w:rPr>
      </w:pPr>
      <w:r w:rsidRPr="001130ED">
        <w:rPr>
          <w:bCs/>
          <w:i/>
          <w:iCs/>
          <w:lang w:val="en-US"/>
        </w:rPr>
        <w:t>Sponsored substances</w:t>
      </w:r>
    </w:p>
    <w:p w:rsidR="001D41E2" w:rsidRPr="004B7EF4" w:rsidRDefault="001D41E2" w:rsidP="007F78E8">
      <w:pPr>
        <w:pStyle w:val="NormalWeb"/>
        <w:spacing w:before="0" w:beforeAutospacing="0"/>
        <w:jc w:val="both"/>
        <w:rPr>
          <w:lang w:val="en-US"/>
        </w:rPr>
      </w:pPr>
      <w:r w:rsidRPr="004B7EF4">
        <w:rPr>
          <w:i/>
          <w:iCs/>
          <w:lang w:val="en-US"/>
        </w:rPr>
        <w:t>IpCF</w:t>
      </w:r>
      <w:r w:rsidRPr="004B7EF4">
        <w:rPr>
          <w:lang w:val="en-US"/>
        </w:rPr>
        <w:t xml:space="preserve">: Effects on microorganisms were studied in a 30-min respiration inhibition test with activated sludge (industrial source) similar to OECD TG 209. </w:t>
      </w:r>
      <w:r>
        <w:rPr>
          <w:lang w:val="en-US"/>
        </w:rPr>
        <w:t>While t</w:t>
      </w:r>
      <w:r w:rsidRPr="004B7EF4">
        <w:rPr>
          <w:lang w:val="en-US"/>
        </w:rPr>
        <w:t xml:space="preserve">he documentation of this study falls short of </w:t>
      </w:r>
      <w:r>
        <w:rPr>
          <w:lang w:val="en-US"/>
        </w:rPr>
        <w:t>current</w:t>
      </w:r>
      <w:r w:rsidRPr="004B7EF4">
        <w:rPr>
          <w:lang w:val="en-US"/>
        </w:rPr>
        <w:t xml:space="preserve"> requirements, the </w:t>
      </w:r>
      <w:r>
        <w:rPr>
          <w:lang w:val="en-US"/>
        </w:rPr>
        <w:t>results</w:t>
      </w:r>
      <w:r w:rsidRPr="004B7EF4">
        <w:rPr>
          <w:lang w:val="en-US"/>
        </w:rPr>
        <w:t xml:space="preserve"> of the study </w:t>
      </w:r>
      <w:r>
        <w:rPr>
          <w:lang w:val="en-US"/>
        </w:rPr>
        <w:t>are believed to be accurate</w:t>
      </w:r>
      <w:r w:rsidRPr="004B7EF4">
        <w:rPr>
          <w:lang w:val="en-US"/>
        </w:rPr>
        <w:t xml:space="preserve">. No inhibition of the activated sludge respiration was observed. </w:t>
      </w:r>
      <w:r>
        <w:rPr>
          <w:lang w:val="en-US"/>
        </w:rPr>
        <w:t>Based on a nominal concentration, t</w:t>
      </w:r>
      <w:r w:rsidRPr="004B7EF4">
        <w:rPr>
          <w:lang w:val="en-US"/>
        </w:rPr>
        <w:t>he 30-min EC</w:t>
      </w:r>
      <w:r w:rsidRPr="004B7EF4">
        <w:rPr>
          <w:vertAlign w:val="subscript"/>
          <w:lang w:val="en-US"/>
        </w:rPr>
        <w:t>50</w:t>
      </w:r>
      <w:r w:rsidRPr="004B7EF4">
        <w:rPr>
          <w:lang w:val="en-US"/>
        </w:rPr>
        <w:t xml:space="preserve"> was &gt; 2527 mg/L (BASF AG, 1983). </w:t>
      </w:r>
    </w:p>
    <w:p w:rsidR="001D41E2" w:rsidRPr="004B7EF4" w:rsidRDefault="001D41E2" w:rsidP="00234C4C">
      <w:pPr>
        <w:autoSpaceDE w:val="0"/>
        <w:autoSpaceDN w:val="0"/>
        <w:adjustRightInd w:val="0"/>
        <w:jc w:val="both"/>
      </w:pPr>
      <w:r w:rsidRPr="004B7EF4">
        <w:rPr>
          <w:i/>
          <w:iCs/>
        </w:rPr>
        <w:t>ObCF</w:t>
      </w:r>
      <w:r w:rsidRPr="004B7EF4">
        <w:t>: The test was performed under neutralized and non-neutralized conditions (BUA, 1991; BASF AG, 19</w:t>
      </w:r>
      <w:r>
        <w:t>89d</w:t>
      </w:r>
      <w:r w:rsidRPr="004B7EF4">
        <w:t xml:space="preserve">). </w:t>
      </w:r>
      <w:r>
        <w:t xml:space="preserve"> A</w:t>
      </w:r>
      <w:r w:rsidRPr="004B7EF4">
        <w:t xml:space="preserve"> saturated solution of </w:t>
      </w:r>
      <w:r>
        <w:t xml:space="preserve">non-neutralized </w:t>
      </w:r>
      <w:r w:rsidRPr="004B7EF4">
        <w:t>ObCF (533 mg/L; pH 3.6) was used in the test. The 17-h EC</w:t>
      </w:r>
      <w:r>
        <w:rPr>
          <w:vertAlign w:val="subscript"/>
        </w:rPr>
        <w:t>1</w:t>
      </w:r>
      <w:r w:rsidRPr="004B7EF4">
        <w:rPr>
          <w:vertAlign w:val="subscript"/>
        </w:rPr>
        <w:t>0</w:t>
      </w:r>
      <w:r w:rsidRPr="004B7EF4">
        <w:t xml:space="preserve"> was 69 mg/L.</w:t>
      </w:r>
      <w:r>
        <w:t xml:space="preserve"> T</w:t>
      </w:r>
      <w:r w:rsidRPr="004B7EF4">
        <w:t xml:space="preserve">he saturated solution of </w:t>
      </w:r>
      <w:r>
        <w:t xml:space="preserve">neutralized </w:t>
      </w:r>
      <w:r w:rsidRPr="004B7EF4">
        <w:t>ObCF contained 14362 mg/L (pH not reported). The 17-h EC</w:t>
      </w:r>
      <w:r>
        <w:rPr>
          <w:vertAlign w:val="subscript"/>
        </w:rPr>
        <w:t>1</w:t>
      </w:r>
      <w:r w:rsidRPr="004B7EF4">
        <w:rPr>
          <w:vertAlign w:val="subscript"/>
        </w:rPr>
        <w:t>0</w:t>
      </w:r>
      <w:r w:rsidRPr="004B7EF4">
        <w:t xml:space="preserve"> was 8070 mg/L.   </w:t>
      </w:r>
    </w:p>
    <w:p w:rsidR="001D41E2" w:rsidRPr="004B7EF4" w:rsidRDefault="001D41E2" w:rsidP="005D7434">
      <w:pPr>
        <w:autoSpaceDE w:val="0"/>
        <w:autoSpaceDN w:val="0"/>
        <w:adjustRightInd w:val="0"/>
        <w:jc w:val="both"/>
        <w:rPr>
          <w:lang w:eastAsia="de-DE"/>
        </w:rPr>
      </w:pPr>
    </w:p>
    <w:p w:rsidR="001D41E2" w:rsidRDefault="001D41E2" w:rsidP="00361759">
      <w:pPr>
        <w:keepNext/>
        <w:keepLines/>
        <w:widowControl w:val="0"/>
        <w:autoSpaceDE w:val="0"/>
        <w:autoSpaceDN w:val="0"/>
        <w:adjustRightInd w:val="0"/>
        <w:jc w:val="both"/>
        <w:rPr>
          <w:lang w:eastAsia="de-DE"/>
        </w:rPr>
      </w:pPr>
      <w:r>
        <w:rPr>
          <w:lang w:eastAsia="de-DE"/>
        </w:rPr>
        <w:t>A study</w:t>
      </w:r>
      <w:r w:rsidRPr="004B7EF4">
        <w:rPr>
          <w:lang w:eastAsia="de-DE"/>
        </w:rPr>
        <w:t xml:space="preserve"> with the hydrolysate of MeCF performed according to OECD TG 209 is available. A stock solution of the test substance was hydrolysed for about 3 days in deionized water. This hydrolysate was tested. Based on nominal concentrations of the MeCF stock solution, the </w:t>
      </w:r>
      <w:r>
        <w:rPr>
          <w:lang w:eastAsia="de-DE"/>
        </w:rPr>
        <w:t xml:space="preserve">30-min </w:t>
      </w:r>
      <w:r w:rsidRPr="004B7EF4">
        <w:rPr>
          <w:lang w:eastAsia="de-DE"/>
        </w:rPr>
        <w:t>EC</w:t>
      </w:r>
      <w:r w:rsidRPr="004B7EF4">
        <w:rPr>
          <w:vertAlign w:val="subscript"/>
          <w:lang w:eastAsia="de-DE"/>
        </w:rPr>
        <w:t>50</w:t>
      </w:r>
      <w:r w:rsidRPr="004B7EF4">
        <w:rPr>
          <w:lang w:eastAsia="de-DE"/>
        </w:rPr>
        <w:t xml:space="preserve"> was &gt; 1000 mg/L (BASF AG, 1999a).</w:t>
      </w:r>
    </w:p>
    <w:p w:rsidR="001D41E2" w:rsidRPr="004B7EF4" w:rsidRDefault="001D41E2" w:rsidP="00361759">
      <w:pPr>
        <w:keepNext/>
        <w:keepLines/>
        <w:widowControl w:val="0"/>
        <w:autoSpaceDE w:val="0"/>
        <w:autoSpaceDN w:val="0"/>
        <w:adjustRightInd w:val="0"/>
        <w:jc w:val="both"/>
        <w:rPr>
          <w:lang w:eastAsia="de-DE"/>
        </w:rPr>
      </w:pPr>
      <w:r w:rsidRPr="004B7EF4">
        <w:rPr>
          <w:lang w:eastAsia="de-DE"/>
        </w:rPr>
        <w:t xml:space="preserve"> </w:t>
      </w:r>
    </w:p>
    <w:p w:rsidR="001D41E2" w:rsidRPr="004B7EF4" w:rsidRDefault="001D41E2" w:rsidP="00361759">
      <w:pPr>
        <w:keepNext/>
        <w:keepLines/>
        <w:widowControl w:val="0"/>
        <w:autoSpaceDE w:val="0"/>
        <w:autoSpaceDN w:val="0"/>
        <w:adjustRightInd w:val="0"/>
        <w:jc w:val="both"/>
        <w:rPr>
          <w:lang w:eastAsia="de-DE"/>
        </w:rPr>
      </w:pPr>
      <w:r w:rsidRPr="004B7EF4">
        <w:rPr>
          <w:lang w:eastAsia="de-DE"/>
        </w:rPr>
        <w:t>In conclusion</w:t>
      </w:r>
      <w:r>
        <w:rPr>
          <w:lang w:eastAsia="de-DE"/>
        </w:rPr>
        <w:t>,</w:t>
      </w:r>
      <w:r w:rsidRPr="004B7EF4">
        <w:rPr>
          <w:lang w:eastAsia="de-DE"/>
        </w:rPr>
        <w:t xml:space="preserve"> an inhibition of the degradation activity of activated sludge is not anticipated </w:t>
      </w:r>
      <w:r>
        <w:rPr>
          <w:lang w:eastAsia="de-DE"/>
        </w:rPr>
        <w:t xml:space="preserve">for chloroformates </w:t>
      </w:r>
      <w:r w:rsidRPr="004B7EF4">
        <w:rPr>
          <w:lang w:eastAsia="de-DE"/>
        </w:rPr>
        <w:t>when the substances are introduced in appropriately low concentrations.</w:t>
      </w:r>
    </w:p>
    <w:p w:rsidR="001D41E2" w:rsidRPr="00361759" w:rsidRDefault="001D41E2" w:rsidP="00361759">
      <w:pPr>
        <w:keepNext/>
        <w:keepLines/>
        <w:widowControl w:val="0"/>
        <w:autoSpaceDE w:val="0"/>
        <w:autoSpaceDN w:val="0"/>
        <w:adjustRightInd w:val="0"/>
        <w:spacing w:before="360" w:after="90"/>
        <w:jc w:val="both"/>
        <w:rPr>
          <w:b/>
        </w:rPr>
      </w:pPr>
      <w:bookmarkStart w:id="93" w:name="_Toc264983299"/>
      <w:r w:rsidRPr="00361759">
        <w:rPr>
          <w:b/>
        </w:rPr>
        <w:t>Table 2</w:t>
      </w:r>
      <w:r w:rsidR="002F054D" w:rsidRPr="00361759">
        <w:rPr>
          <w:b/>
        </w:rPr>
        <w:t>3</w:t>
      </w:r>
      <w:r w:rsidRPr="00361759">
        <w:rPr>
          <w:b/>
        </w:rPr>
        <w:t xml:space="preserve"> </w:t>
      </w:r>
      <w:r w:rsidR="00361759">
        <w:rPr>
          <w:b/>
        </w:rPr>
        <w:t xml:space="preserve">    </w:t>
      </w:r>
      <w:r w:rsidRPr="00361759">
        <w:rPr>
          <w:b/>
        </w:rPr>
        <w:t>Summary of Aquatic Effects</w:t>
      </w:r>
      <w:bookmarkEnd w:id="93"/>
      <w:r w:rsidRPr="00361759">
        <w:rPr>
          <w:b/>
        </w:rP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7"/>
        <w:gridCol w:w="1705"/>
        <w:gridCol w:w="3898"/>
        <w:gridCol w:w="2315"/>
      </w:tblGrid>
      <w:tr w:rsidR="001D41E2" w:rsidRPr="004B7EF4" w:rsidTr="00361759">
        <w:trPr>
          <w:tblHeader/>
        </w:trPr>
        <w:tc>
          <w:tcPr>
            <w:tcW w:w="1908" w:type="dxa"/>
            <w:tcBorders>
              <w:top w:val="single" w:sz="12" w:space="0" w:color="auto"/>
              <w:left w:val="single" w:sz="12" w:space="0" w:color="auto"/>
              <w:bottom w:val="single" w:sz="12" w:space="0" w:color="auto"/>
            </w:tcBorders>
            <w:vAlign w:val="center"/>
          </w:tcPr>
          <w:p w:rsidR="001D41E2" w:rsidRPr="004B7EF4" w:rsidRDefault="001D41E2" w:rsidP="00361759">
            <w:pPr>
              <w:pStyle w:val="Tabletext"/>
              <w:widowControl w:val="0"/>
              <w:ind w:left="-2"/>
              <w:jc w:val="center"/>
              <w:rPr>
                <w:b/>
                <w:bCs/>
              </w:rPr>
            </w:pPr>
            <w:r w:rsidRPr="004B7EF4">
              <w:rPr>
                <w:b/>
                <w:bCs/>
              </w:rPr>
              <w:t xml:space="preserve">Category member / </w:t>
            </w:r>
            <w:r w:rsidRPr="00071FE0">
              <w:rPr>
                <w:b/>
                <w:bCs/>
                <w:highlight w:val="lightGray"/>
              </w:rPr>
              <w:t>hydrolysis product</w:t>
            </w:r>
          </w:p>
        </w:tc>
        <w:tc>
          <w:tcPr>
            <w:tcW w:w="1680" w:type="dxa"/>
            <w:tcBorders>
              <w:top w:val="single" w:sz="12" w:space="0" w:color="auto"/>
              <w:bottom w:val="single" w:sz="12" w:space="0" w:color="auto"/>
            </w:tcBorders>
            <w:vAlign w:val="center"/>
          </w:tcPr>
          <w:p w:rsidR="001D41E2" w:rsidRPr="004B7EF4" w:rsidRDefault="001D41E2" w:rsidP="00361759">
            <w:pPr>
              <w:pStyle w:val="Tabletext"/>
              <w:widowControl w:val="0"/>
              <w:jc w:val="center"/>
              <w:rPr>
                <w:b/>
                <w:bCs/>
              </w:rPr>
            </w:pPr>
            <w:r w:rsidRPr="004B7EF4">
              <w:rPr>
                <w:b/>
                <w:bCs/>
              </w:rPr>
              <w:t>Test species</w:t>
            </w:r>
          </w:p>
        </w:tc>
        <w:tc>
          <w:tcPr>
            <w:tcW w:w="3840" w:type="dxa"/>
            <w:tcBorders>
              <w:top w:val="single" w:sz="12" w:space="0" w:color="auto"/>
              <w:bottom w:val="single" w:sz="12" w:space="0" w:color="auto"/>
            </w:tcBorders>
            <w:vAlign w:val="center"/>
          </w:tcPr>
          <w:p w:rsidR="001D41E2" w:rsidRPr="004B7EF4" w:rsidRDefault="001D41E2" w:rsidP="00361759">
            <w:pPr>
              <w:pStyle w:val="Tabletext"/>
              <w:widowControl w:val="0"/>
              <w:jc w:val="center"/>
              <w:rPr>
                <w:b/>
                <w:bCs/>
              </w:rPr>
            </w:pPr>
            <w:r w:rsidRPr="004B7EF4">
              <w:rPr>
                <w:b/>
                <w:bCs/>
              </w:rPr>
              <w:t>Endpoint [mg/l]</w:t>
            </w:r>
          </w:p>
        </w:tc>
        <w:tc>
          <w:tcPr>
            <w:tcW w:w="2280" w:type="dxa"/>
            <w:tcBorders>
              <w:top w:val="single" w:sz="12" w:space="0" w:color="auto"/>
              <w:bottom w:val="single" w:sz="12" w:space="0" w:color="auto"/>
              <w:right w:val="single" w:sz="12" w:space="0" w:color="auto"/>
            </w:tcBorders>
            <w:vAlign w:val="center"/>
          </w:tcPr>
          <w:p w:rsidR="001D41E2" w:rsidRPr="004B7EF4" w:rsidRDefault="001D41E2" w:rsidP="00361759">
            <w:pPr>
              <w:pStyle w:val="Tabletext"/>
              <w:widowControl w:val="0"/>
              <w:jc w:val="center"/>
              <w:rPr>
                <w:b/>
                <w:bCs/>
              </w:rPr>
            </w:pPr>
            <w:r w:rsidRPr="004B7EF4">
              <w:rPr>
                <w:b/>
                <w:bCs/>
              </w:rPr>
              <w:t>References</w:t>
            </w:r>
          </w:p>
        </w:tc>
      </w:tr>
      <w:tr w:rsidR="001D41E2" w:rsidRPr="004B7EF4" w:rsidTr="00361759">
        <w:trPr>
          <w:trHeight w:val="397"/>
        </w:trPr>
        <w:tc>
          <w:tcPr>
            <w:tcW w:w="9708" w:type="dxa"/>
            <w:gridSpan w:val="4"/>
            <w:tcBorders>
              <w:top w:val="single" w:sz="12" w:space="0" w:color="auto"/>
              <w:left w:val="single" w:sz="12" w:space="0" w:color="auto"/>
              <w:right w:val="single" w:sz="12" w:space="0" w:color="auto"/>
            </w:tcBorders>
            <w:vAlign w:val="center"/>
          </w:tcPr>
          <w:p w:rsidR="001D41E2" w:rsidRPr="004B7EF4" w:rsidRDefault="001D41E2" w:rsidP="00361759">
            <w:pPr>
              <w:pStyle w:val="Tabletext"/>
              <w:widowControl w:val="0"/>
              <w:ind w:left="255"/>
              <w:jc w:val="center"/>
            </w:pPr>
            <w:r w:rsidRPr="004B7EF4">
              <w:rPr>
                <w:b/>
                <w:bCs/>
              </w:rPr>
              <w:t>Fish (acute)</w:t>
            </w:r>
          </w:p>
        </w:tc>
      </w:tr>
      <w:tr w:rsidR="001D41E2" w:rsidRPr="004B7EF4" w:rsidTr="00361759">
        <w:trPr>
          <w:trHeight w:val="567"/>
        </w:trPr>
        <w:tc>
          <w:tcPr>
            <w:tcW w:w="1908" w:type="dxa"/>
            <w:tcBorders>
              <w:left w:val="single" w:sz="12" w:space="0" w:color="auto"/>
              <w:bottom w:val="nil"/>
            </w:tcBorders>
            <w:vAlign w:val="center"/>
          </w:tcPr>
          <w:p w:rsidR="001D41E2" w:rsidRDefault="001D41E2" w:rsidP="001130ED">
            <w:pPr>
              <w:pStyle w:val="Tabletext"/>
              <w:widowControl w:val="0"/>
              <w:spacing w:beforeLines="60" w:afterLines="60"/>
              <w:ind w:left="424"/>
            </w:pPr>
            <w:r w:rsidRPr="004B7EF4">
              <w:t xml:space="preserve">MeCF </w:t>
            </w:r>
          </w:p>
        </w:tc>
        <w:tc>
          <w:tcPr>
            <w:tcW w:w="1680" w:type="dxa"/>
            <w:tcBorders>
              <w:bottom w:val="nil"/>
            </w:tcBorders>
            <w:vAlign w:val="center"/>
          </w:tcPr>
          <w:p w:rsidR="009D5214" w:rsidRDefault="001D41E2" w:rsidP="001130ED">
            <w:pPr>
              <w:pStyle w:val="NormalWeb"/>
              <w:keepNext/>
              <w:keepLines/>
              <w:widowControl w:val="0"/>
              <w:spacing w:beforeLines="60" w:beforeAutospacing="0" w:afterLines="60" w:afterAutospacing="0"/>
              <w:jc w:val="center"/>
              <w:rPr>
                <w:lang w:val="en-US"/>
              </w:rPr>
            </w:pPr>
            <w:r w:rsidRPr="004B7EF4">
              <w:rPr>
                <w:i/>
                <w:iCs/>
                <w:sz w:val="20"/>
                <w:szCs w:val="20"/>
                <w:lang w:val="en-US"/>
              </w:rPr>
              <w:t>Leuciscus idus</w:t>
            </w:r>
          </w:p>
        </w:tc>
        <w:tc>
          <w:tcPr>
            <w:tcW w:w="3840" w:type="dxa"/>
            <w:tcBorders>
              <w:bottom w:val="nil"/>
            </w:tcBorders>
            <w:vAlign w:val="center"/>
          </w:tcPr>
          <w:p w:rsidR="001D41E2" w:rsidRDefault="001D41E2" w:rsidP="001130ED">
            <w:pPr>
              <w:pStyle w:val="NormalWeb"/>
              <w:keepNext/>
              <w:keepLines/>
              <w:widowControl w:val="0"/>
              <w:spacing w:beforeLines="60" w:beforeAutospacing="0" w:afterLines="60" w:afterAutospacing="0"/>
              <w:jc w:val="center"/>
              <w:rPr>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4.5 mg/L (nominal </w:t>
            </w:r>
            <w:r w:rsidRPr="004B7EF4">
              <w:rPr>
                <w:sz w:val="20"/>
                <w:szCs w:val="20"/>
                <w:vertAlign w:val="superscript"/>
                <w:lang w:val="en-US"/>
              </w:rPr>
              <w:t>2</w:t>
            </w:r>
            <w:r w:rsidRPr="004B7EF4">
              <w:rPr>
                <w:sz w:val="20"/>
                <w:szCs w:val="20"/>
                <w:lang w:val="en-US"/>
              </w:rPr>
              <w:t>); static</w:t>
            </w:r>
          </w:p>
        </w:tc>
        <w:tc>
          <w:tcPr>
            <w:tcW w:w="2280" w:type="dxa"/>
            <w:tcBorders>
              <w:bottom w:val="nil"/>
              <w:right w:val="single" w:sz="12" w:space="0" w:color="auto"/>
            </w:tcBorders>
            <w:vAlign w:val="center"/>
          </w:tcPr>
          <w:p w:rsidR="00533602" w:rsidRDefault="001D41E2" w:rsidP="001130ED">
            <w:pPr>
              <w:pStyle w:val="NormalWeb"/>
              <w:keepNext/>
              <w:keepLines/>
              <w:widowControl w:val="0"/>
              <w:spacing w:beforeLines="60" w:beforeAutospacing="0" w:afterLines="60" w:afterAutospacing="0"/>
              <w:ind w:left="255"/>
              <w:rPr>
                <w:lang w:val="en-US"/>
              </w:rPr>
            </w:pPr>
            <w:r w:rsidRPr="004B7EF4">
              <w:rPr>
                <w:lang w:val="en-US"/>
              </w:rPr>
              <w:t> </w:t>
            </w:r>
            <w:r w:rsidRPr="004B7EF4">
              <w:rPr>
                <w:sz w:val="20"/>
                <w:szCs w:val="20"/>
                <w:lang w:val="en-US"/>
              </w:rPr>
              <w:t>Hoechst AG, 1981</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widowControl w:val="0"/>
              <w:spacing w:beforeLines="60" w:afterLines="60"/>
              <w:ind w:left="424"/>
            </w:pPr>
            <w:r w:rsidRPr="004B7EF4">
              <w:t>Me</w:t>
            </w:r>
          </w:p>
        </w:tc>
        <w:tc>
          <w:tcPr>
            <w:tcW w:w="1680" w:type="dxa"/>
            <w:tcBorders>
              <w:top w:val="nil"/>
            </w:tcBorders>
            <w:shd w:val="clear" w:color="auto" w:fill="C0C0C0"/>
            <w:vAlign w:val="center"/>
          </w:tcPr>
          <w:p w:rsidR="00533602" w:rsidRDefault="001D41E2" w:rsidP="001130ED">
            <w:pPr>
              <w:keepNext/>
              <w:keepLines/>
              <w:widowControl w:val="0"/>
              <w:spacing w:beforeLines="60" w:afterLines="60"/>
              <w:jc w:val="center"/>
              <w:rPr>
                <w:i/>
                <w:iCs/>
                <w:sz w:val="20"/>
                <w:szCs w:val="20"/>
              </w:rPr>
            </w:pPr>
            <w:r w:rsidRPr="004B7EF4">
              <w:rPr>
                <w:i/>
                <w:iCs/>
                <w:sz w:val="20"/>
                <w:szCs w:val="20"/>
              </w:rPr>
              <w:t>Lepomis macrochirus</w:t>
            </w:r>
          </w:p>
        </w:tc>
        <w:tc>
          <w:tcPr>
            <w:tcW w:w="3840" w:type="dxa"/>
            <w:tcBorders>
              <w:top w:val="nil"/>
            </w:tcBorders>
            <w:shd w:val="clear" w:color="auto" w:fill="C0C0C0"/>
            <w:vAlign w:val="center"/>
          </w:tcPr>
          <w:p w:rsidR="009D5214" w:rsidRDefault="001D41E2" w:rsidP="001130ED">
            <w:pPr>
              <w:pStyle w:val="Tabletext"/>
              <w:widowControl w:val="0"/>
              <w:spacing w:beforeLines="60" w:afterLines="60"/>
              <w:jc w:val="center"/>
              <w:rPr>
                <w:sz w:val="24"/>
                <w:szCs w:val="24"/>
              </w:rPr>
            </w:pPr>
            <w:r w:rsidRPr="004B7EF4">
              <w:t>LC</w:t>
            </w:r>
            <w:r w:rsidRPr="004B7EF4">
              <w:rPr>
                <w:vertAlign w:val="subscript"/>
              </w:rPr>
              <w:t>50</w:t>
            </w:r>
            <w:r w:rsidRPr="004B7EF4">
              <w:t xml:space="preserve"> (96 h) ≥ 15400 mg/L </w:t>
            </w:r>
            <w:r w:rsidRPr="004B7EF4">
              <w:br/>
              <w:t xml:space="preserve">(nominal </w:t>
            </w:r>
            <w:r w:rsidRPr="004B7EF4">
              <w:rPr>
                <w:vertAlign w:val="superscript"/>
              </w:rPr>
              <w:t>1</w:t>
            </w:r>
            <w:r w:rsidRPr="004B7EF4">
              <w:t>); flow through</w:t>
            </w:r>
          </w:p>
        </w:tc>
        <w:tc>
          <w:tcPr>
            <w:tcW w:w="2280" w:type="dxa"/>
            <w:tcBorders>
              <w:top w:val="nil"/>
              <w:right w:val="single" w:sz="12" w:space="0" w:color="auto"/>
            </w:tcBorders>
            <w:shd w:val="clear" w:color="auto" w:fill="C0C0C0"/>
            <w:vAlign w:val="center"/>
          </w:tcPr>
          <w:p w:rsidR="009D5214" w:rsidRDefault="001D41E2" w:rsidP="001130ED">
            <w:pPr>
              <w:pStyle w:val="Tabletext"/>
              <w:widowControl w:val="0"/>
              <w:spacing w:beforeLines="60" w:afterLines="60"/>
              <w:ind w:left="255"/>
              <w:rPr>
                <w:rFonts w:ascii="Times New Roman Bold" w:hAnsi="Times New Roman Bold" w:cs="Times New Roman Bold"/>
                <w:b/>
                <w:bCs/>
                <w:sz w:val="24"/>
                <w:szCs w:val="24"/>
                <w:lang w:val="en-GB"/>
              </w:rPr>
            </w:pPr>
            <w:r w:rsidRPr="004B7EF4">
              <w:t>OECD, 2004a</w:t>
            </w:r>
          </w:p>
        </w:tc>
      </w:tr>
      <w:tr w:rsidR="001D41E2" w:rsidRPr="004B7EF4" w:rsidTr="00361759">
        <w:trPr>
          <w:trHeight w:val="567"/>
        </w:trPr>
        <w:tc>
          <w:tcPr>
            <w:tcW w:w="1908" w:type="dxa"/>
            <w:tcBorders>
              <w:left w:val="single" w:sz="12" w:space="0" w:color="auto"/>
            </w:tcBorders>
            <w:shd w:val="clear" w:color="auto" w:fill="C0C0C0"/>
            <w:vAlign w:val="center"/>
          </w:tcPr>
          <w:p w:rsidR="001D41E2" w:rsidRDefault="001D41E2" w:rsidP="001130ED">
            <w:pPr>
              <w:pStyle w:val="Tabletext"/>
              <w:widowControl w:val="0"/>
              <w:spacing w:beforeLines="60" w:afterLines="60"/>
              <w:ind w:left="424"/>
            </w:pPr>
            <w:r w:rsidRPr="004B7EF4">
              <w:t>Et</w:t>
            </w:r>
          </w:p>
        </w:tc>
        <w:tc>
          <w:tcPr>
            <w:tcW w:w="1680" w:type="dxa"/>
            <w:shd w:val="clear" w:color="auto" w:fill="C0C0C0"/>
            <w:vAlign w:val="center"/>
          </w:tcPr>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p w:rsidR="001D41E2" w:rsidRPr="004B7EF4" w:rsidRDefault="001D41E2" w:rsidP="001130ED">
            <w:pPr>
              <w:keepNext/>
              <w:keepLines/>
              <w:widowControl w:val="0"/>
              <w:spacing w:beforeLines="60" w:afterLines="60"/>
              <w:jc w:val="center"/>
              <w:rPr>
                <w:i/>
                <w:iCs/>
                <w:sz w:val="20"/>
                <w:szCs w:val="20"/>
              </w:rPr>
            </w:pPr>
            <w:r w:rsidRPr="004B7EF4">
              <w:rPr>
                <w:i/>
                <w:iCs/>
                <w:sz w:val="20"/>
                <w:szCs w:val="20"/>
              </w:rPr>
              <w:t>Oncorhynchus mykiss</w:t>
            </w:r>
          </w:p>
        </w:tc>
        <w:tc>
          <w:tcPr>
            <w:tcW w:w="3840" w:type="dxa"/>
            <w:shd w:val="clear" w:color="auto" w:fill="C0C0C0"/>
            <w:vAlign w:val="center"/>
          </w:tcPr>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14200 mg/L </w:t>
            </w:r>
            <w:r w:rsidRPr="004B7EF4">
              <w:rPr>
                <w:sz w:val="20"/>
                <w:szCs w:val="20"/>
                <w:lang w:val="en-US"/>
              </w:rPr>
              <w:br/>
              <w:t xml:space="preserve">(nominal </w:t>
            </w:r>
            <w:r w:rsidRPr="004B7EF4">
              <w:rPr>
                <w:sz w:val="20"/>
                <w:szCs w:val="20"/>
                <w:vertAlign w:val="superscript"/>
                <w:lang w:val="en-US"/>
              </w:rPr>
              <w:t>1</w:t>
            </w:r>
            <w:r w:rsidRPr="004B7EF4">
              <w:rPr>
                <w:sz w:val="20"/>
                <w:szCs w:val="20"/>
                <w:lang w:val="en-US"/>
              </w:rPr>
              <w:t xml:space="preserve">); flow-through </w:t>
            </w:r>
          </w:p>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13000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right w:val="single" w:sz="12" w:space="0" w:color="auto"/>
            </w:tcBorders>
            <w:shd w:val="clear" w:color="auto" w:fill="C0C0C0"/>
            <w:vAlign w:val="center"/>
          </w:tcPr>
          <w:p w:rsidR="009D5214" w:rsidRDefault="001D41E2" w:rsidP="001130ED">
            <w:pPr>
              <w:pStyle w:val="NormalWeb"/>
              <w:keepNext/>
              <w:keepLines/>
              <w:widowControl w:val="0"/>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2005</w:t>
            </w:r>
          </w:p>
          <w:p w:rsidR="009D5214" w:rsidRDefault="001D41E2" w:rsidP="001130ED">
            <w:pPr>
              <w:pStyle w:val="NormalWeb"/>
              <w:keepNext/>
              <w:keepLines/>
              <w:widowControl w:val="0"/>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2005</w:t>
            </w:r>
          </w:p>
        </w:tc>
      </w:tr>
      <w:tr w:rsidR="001D41E2" w:rsidRPr="004B7EF4" w:rsidTr="00361759">
        <w:trPr>
          <w:trHeight w:val="567"/>
        </w:trPr>
        <w:tc>
          <w:tcPr>
            <w:tcW w:w="1908" w:type="dxa"/>
            <w:tcBorders>
              <w:left w:val="single" w:sz="12" w:space="0" w:color="auto"/>
              <w:bottom w:val="nil"/>
            </w:tcBorders>
            <w:vAlign w:val="center"/>
          </w:tcPr>
          <w:p w:rsidR="001D41E2" w:rsidRDefault="001D41E2" w:rsidP="001130ED">
            <w:pPr>
              <w:pStyle w:val="Tabletext"/>
              <w:widowControl w:val="0"/>
              <w:spacing w:beforeLines="60" w:afterLines="60"/>
              <w:ind w:left="424"/>
            </w:pPr>
            <w:r w:rsidRPr="004B7EF4">
              <w:t>PrCF</w:t>
            </w:r>
          </w:p>
        </w:tc>
        <w:tc>
          <w:tcPr>
            <w:tcW w:w="1680" w:type="dxa"/>
            <w:tcBorders>
              <w:bottom w:val="nil"/>
            </w:tcBorders>
            <w:vAlign w:val="center"/>
          </w:tcPr>
          <w:p w:rsidR="009D5214" w:rsidRDefault="001D41E2" w:rsidP="001130ED">
            <w:pPr>
              <w:pStyle w:val="Tabletext"/>
              <w:widowControl w:val="0"/>
              <w:spacing w:beforeLines="60" w:afterLines="60"/>
              <w:jc w:val="center"/>
              <w:rPr>
                <w:rFonts w:ascii="Times New Roman Bold" w:hAnsi="Times New Roman Bold" w:cs="Times New Roman Bold"/>
                <w:b/>
                <w:bCs/>
                <w:i/>
                <w:iCs/>
                <w:sz w:val="24"/>
                <w:szCs w:val="24"/>
                <w:lang w:val="en-GB"/>
              </w:rPr>
            </w:pPr>
            <w:r w:rsidRPr="004B7EF4">
              <w:rPr>
                <w:i/>
                <w:iCs/>
              </w:rPr>
              <w:t>Danio rerio</w:t>
            </w:r>
          </w:p>
        </w:tc>
        <w:tc>
          <w:tcPr>
            <w:tcW w:w="3840" w:type="dxa"/>
            <w:tcBorders>
              <w:bottom w:val="nil"/>
            </w:tcBorders>
            <w:vAlign w:val="center"/>
          </w:tcPr>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 LC</w:t>
            </w:r>
            <w:r w:rsidRPr="004B7EF4">
              <w:rPr>
                <w:sz w:val="20"/>
                <w:szCs w:val="20"/>
                <w:vertAlign w:val="subscript"/>
                <w:lang w:val="en-US"/>
              </w:rPr>
              <w:t>50</w:t>
            </w:r>
            <w:r w:rsidRPr="004B7EF4">
              <w:rPr>
                <w:sz w:val="20"/>
                <w:szCs w:val="20"/>
                <w:lang w:val="en-US"/>
              </w:rPr>
              <w:t xml:space="preserve"> (96 h) = 3.16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bottom w:val="nil"/>
              <w:right w:val="single" w:sz="12" w:space="0" w:color="auto"/>
            </w:tcBorders>
            <w:vAlign w:val="center"/>
          </w:tcPr>
          <w:p w:rsidR="001D41E2" w:rsidRDefault="001D41E2" w:rsidP="001130ED">
            <w:pPr>
              <w:pStyle w:val="Tabletext"/>
              <w:widowControl w:val="0"/>
              <w:spacing w:beforeLines="60" w:afterLines="60"/>
              <w:ind w:left="255"/>
            </w:pPr>
            <w:r w:rsidRPr="004B7EF4">
              <w:t>BASF AG, 1998a</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widowControl w:val="0"/>
              <w:spacing w:beforeLines="60" w:afterLines="60"/>
              <w:ind w:left="424"/>
            </w:pPr>
            <w:r w:rsidRPr="004B7EF4">
              <w:t>Pr</w:t>
            </w:r>
          </w:p>
        </w:tc>
        <w:tc>
          <w:tcPr>
            <w:tcW w:w="1680" w:type="dxa"/>
            <w:tcBorders>
              <w:top w:val="nil"/>
            </w:tcBorders>
            <w:shd w:val="clear" w:color="auto" w:fill="C0C0C0"/>
            <w:vAlign w:val="center"/>
          </w:tcPr>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p w:rsidR="001D41E2" w:rsidRDefault="001D41E2" w:rsidP="001130ED">
            <w:pPr>
              <w:pStyle w:val="NormalWeb"/>
              <w:keepNext/>
              <w:keepLines/>
              <w:widowControl w:val="0"/>
              <w:spacing w:beforeLines="60" w:beforeAutospacing="0" w:afterLines="60" w:afterAutospacing="0"/>
              <w:jc w:val="center"/>
              <w:rPr>
                <w:i/>
                <w:iCs/>
                <w:sz w:val="20"/>
                <w:szCs w:val="20"/>
                <w:lang w:val="en-US"/>
              </w:rPr>
            </w:pPr>
            <w:r w:rsidRPr="004B7EF4">
              <w:rPr>
                <w:i/>
                <w:iCs/>
                <w:sz w:val="20"/>
                <w:szCs w:val="20"/>
                <w:lang w:val="en-US"/>
              </w:rPr>
              <w:t>Oncorhynchus mykiss</w:t>
            </w:r>
          </w:p>
        </w:tc>
        <w:tc>
          <w:tcPr>
            <w:tcW w:w="3840" w:type="dxa"/>
            <w:tcBorders>
              <w:top w:val="nil"/>
            </w:tcBorders>
            <w:shd w:val="clear" w:color="auto" w:fill="C0C0C0"/>
            <w:vAlign w:val="center"/>
          </w:tcPr>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4480 - 4630 mg/L </w:t>
            </w:r>
            <w:r w:rsidRPr="004B7EF4">
              <w:rPr>
                <w:sz w:val="20"/>
                <w:szCs w:val="20"/>
                <w:lang w:val="en-US"/>
              </w:rPr>
              <w:br/>
              <w:t>(measured); flow-through</w:t>
            </w:r>
          </w:p>
          <w:p w:rsidR="009D5214" w:rsidRDefault="001D41E2" w:rsidP="001130ED">
            <w:pPr>
              <w:pStyle w:val="NormalWeb"/>
              <w:keepNext/>
              <w:keepLines/>
              <w:widowControl w:val="0"/>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(48 h) = 3200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top w:val="nil"/>
              <w:right w:val="single" w:sz="12" w:space="0" w:color="auto"/>
            </w:tcBorders>
            <w:shd w:val="clear" w:color="auto" w:fill="C0C0C0"/>
            <w:vAlign w:val="center"/>
          </w:tcPr>
          <w:p w:rsidR="009D5214" w:rsidRDefault="001D41E2" w:rsidP="001130ED">
            <w:pPr>
              <w:pStyle w:val="NormalWeb"/>
              <w:keepNext/>
              <w:keepLines/>
              <w:widowControl w:val="0"/>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EC, 2008</w:t>
            </w:r>
          </w:p>
          <w:p w:rsidR="009D5214" w:rsidRDefault="001D41E2" w:rsidP="001130ED">
            <w:pPr>
              <w:pStyle w:val="NormalWeb"/>
              <w:keepNext/>
              <w:keepLines/>
              <w:widowControl w:val="0"/>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EC, 2008</w:t>
            </w:r>
          </w:p>
        </w:tc>
      </w:tr>
      <w:tr w:rsidR="001D41E2" w:rsidRPr="004B7EF4" w:rsidTr="00361759">
        <w:trPr>
          <w:trHeight w:val="567"/>
        </w:trPr>
        <w:tc>
          <w:tcPr>
            <w:tcW w:w="1908" w:type="dxa"/>
            <w:tcBorders>
              <w:left w:val="single" w:sz="12" w:space="0" w:color="auto"/>
              <w:bottom w:val="nil"/>
            </w:tcBorders>
            <w:vAlign w:val="center"/>
          </w:tcPr>
          <w:p w:rsidR="001D41E2" w:rsidRDefault="001D41E2" w:rsidP="001130ED">
            <w:pPr>
              <w:pStyle w:val="Tabletext"/>
              <w:spacing w:beforeLines="60" w:afterLines="60"/>
              <w:ind w:left="424"/>
            </w:pPr>
            <w:r w:rsidRPr="004B7EF4">
              <w:t>IpCF</w:t>
            </w:r>
          </w:p>
        </w:tc>
        <w:tc>
          <w:tcPr>
            <w:tcW w:w="1680" w:type="dxa"/>
            <w:tcBorders>
              <w:bottom w:val="nil"/>
            </w:tcBorders>
            <w:vAlign w:val="center"/>
          </w:tcPr>
          <w:p w:rsidR="009D5214" w:rsidRDefault="001D41E2" w:rsidP="001130ED">
            <w:pPr>
              <w:pStyle w:val="Tabletext"/>
              <w:spacing w:beforeLines="60" w:afterLines="60"/>
              <w:jc w:val="center"/>
              <w:rPr>
                <w:rFonts w:ascii="Times New Roman Bold" w:hAnsi="Times New Roman Bold" w:cs="Times New Roman Bold"/>
                <w:b/>
                <w:bCs/>
                <w:i/>
                <w:iCs/>
                <w:sz w:val="24"/>
                <w:szCs w:val="24"/>
                <w:lang w:val="en-GB"/>
              </w:rPr>
            </w:pPr>
            <w:r w:rsidRPr="004B7EF4">
              <w:rPr>
                <w:i/>
                <w:iCs/>
              </w:rPr>
              <w:t>Danio rerio</w:t>
            </w:r>
          </w:p>
        </w:tc>
        <w:tc>
          <w:tcPr>
            <w:tcW w:w="3840" w:type="dxa"/>
            <w:tcBorders>
              <w:bottom w:val="nil"/>
            </w:tcBorders>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 LC</w:t>
            </w:r>
            <w:r w:rsidRPr="004B7EF4">
              <w:rPr>
                <w:sz w:val="20"/>
                <w:szCs w:val="20"/>
                <w:vertAlign w:val="subscript"/>
                <w:lang w:val="en-US"/>
              </w:rPr>
              <w:t>50</w:t>
            </w:r>
            <w:r w:rsidRPr="004B7EF4">
              <w:rPr>
                <w:sz w:val="20"/>
                <w:szCs w:val="20"/>
                <w:lang w:val="en-US"/>
              </w:rPr>
              <w:t xml:space="preserve"> (96 h) = 8.2 mg/L </w:t>
            </w:r>
            <w:r w:rsidRPr="004B7EF4">
              <w:rPr>
                <w:sz w:val="20"/>
                <w:szCs w:val="20"/>
                <w:lang w:val="en-US"/>
              </w:rPr>
              <w:br/>
              <w:t>(mean measured *); semi-static</w:t>
            </w:r>
          </w:p>
        </w:tc>
        <w:tc>
          <w:tcPr>
            <w:tcW w:w="2280" w:type="dxa"/>
            <w:tcBorders>
              <w:bottom w:val="nil"/>
              <w:right w:val="single" w:sz="12" w:space="0" w:color="auto"/>
            </w:tcBorders>
            <w:vAlign w:val="center"/>
          </w:tcPr>
          <w:p w:rsidR="001D41E2" w:rsidRDefault="001D41E2" w:rsidP="001130ED">
            <w:pPr>
              <w:pStyle w:val="Tabletext"/>
              <w:spacing w:beforeLines="60" w:afterLines="60"/>
              <w:ind w:left="255"/>
            </w:pPr>
            <w:r w:rsidRPr="004B7EF4">
              <w:t>BASF AG, 1998b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Ip</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9640 mg/L </w:t>
            </w:r>
            <w:r w:rsidRPr="004B7EF4">
              <w:rPr>
                <w:sz w:val="20"/>
                <w:szCs w:val="20"/>
                <w:lang w:val="en-US"/>
              </w:rPr>
              <w:br/>
              <w:t>(measured); flow-through</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2000</w:t>
            </w:r>
          </w:p>
        </w:tc>
      </w:tr>
      <w:tr w:rsidR="001D41E2" w:rsidRPr="004B7EF4" w:rsidTr="00361759">
        <w:trPr>
          <w:trHeight w:val="567"/>
        </w:trPr>
        <w:tc>
          <w:tcPr>
            <w:tcW w:w="1908" w:type="dxa"/>
            <w:tcBorders>
              <w:left w:val="single" w:sz="12" w:space="0" w:color="auto"/>
              <w:bottom w:val="nil"/>
            </w:tcBorders>
            <w:vAlign w:val="center"/>
          </w:tcPr>
          <w:p w:rsidR="001D41E2" w:rsidRPr="004B7EF4" w:rsidRDefault="001D41E2" w:rsidP="00361759">
            <w:pPr>
              <w:pStyle w:val="Tabletext"/>
              <w:ind w:left="424"/>
            </w:pPr>
            <w:r w:rsidRPr="004B7EF4">
              <w:t>SbCF</w:t>
            </w:r>
          </w:p>
        </w:tc>
        <w:tc>
          <w:tcPr>
            <w:tcW w:w="1680" w:type="dxa"/>
            <w:tcBorders>
              <w:bottom w:val="nil"/>
            </w:tcBorders>
            <w:vAlign w:val="center"/>
          </w:tcPr>
          <w:p w:rsidR="001D41E2" w:rsidRDefault="001D41E2" w:rsidP="001130ED">
            <w:pPr>
              <w:pStyle w:val="Tabletext"/>
              <w:spacing w:beforeLines="60" w:afterLines="60"/>
              <w:jc w:val="center"/>
              <w:rPr>
                <w:i/>
                <w:iCs/>
              </w:rPr>
            </w:pPr>
            <w:r w:rsidRPr="004B7EF4">
              <w:rPr>
                <w:i/>
                <w:iCs/>
              </w:rPr>
              <w:t>Danio rerio</w:t>
            </w:r>
          </w:p>
        </w:tc>
        <w:tc>
          <w:tcPr>
            <w:tcW w:w="3840" w:type="dxa"/>
            <w:tcBorders>
              <w:bottom w:val="nil"/>
            </w:tcBorders>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 LC</w:t>
            </w:r>
            <w:r w:rsidRPr="004B7EF4">
              <w:rPr>
                <w:sz w:val="20"/>
                <w:szCs w:val="20"/>
                <w:vertAlign w:val="subscript"/>
                <w:lang w:val="en-US"/>
              </w:rPr>
              <w:t>50</w:t>
            </w:r>
            <w:r w:rsidRPr="004B7EF4">
              <w:rPr>
                <w:sz w:val="20"/>
                <w:szCs w:val="20"/>
                <w:lang w:val="en-US"/>
              </w:rPr>
              <w:t xml:space="preserve"> (96 h) = ca. 46.4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bottom w:val="nil"/>
              <w:right w:val="single" w:sz="12" w:space="0" w:color="auto"/>
            </w:tcBorders>
            <w:vAlign w:val="center"/>
          </w:tcPr>
          <w:p w:rsidR="001D41E2" w:rsidRDefault="001D41E2" w:rsidP="001130ED">
            <w:pPr>
              <w:pStyle w:val="Tabletext"/>
              <w:spacing w:beforeLines="60" w:afterLines="60"/>
              <w:ind w:left="255"/>
            </w:pPr>
            <w:r w:rsidRPr="004B7EF4">
              <w:t>BASF AG, 1999b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Pr="004B7EF4" w:rsidRDefault="001D41E2" w:rsidP="00361759">
            <w:pPr>
              <w:pStyle w:val="Tabletext"/>
              <w:ind w:left="424"/>
              <w:rPr>
                <w:i/>
                <w:iCs/>
              </w:rPr>
            </w:pPr>
            <w:r w:rsidRPr="004B7EF4">
              <w:t>Sb</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3670 mg/L </w:t>
            </w:r>
            <w:r w:rsidRPr="004B7EF4">
              <w:rPr>
                <w:sz w:val="20"/>
                <w:szCs w:val="20"/>
                <w:lang w:val="en-US"/>
              </w:rPr>
              <w:br/>
              <w:t>(measured); flow-through</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2002b</w:t>
            </w:r>
          </w:p>
        </w:tc>
      </w:tr>
      <w:tr w:rsidR="001D41E2" w:rsidRPr="004B7EF4" w:rsidTr="00361759">
        <w:trPr>
          <w:trHeight w:val="567"/>
        </w:trPr>
        <w:tc>
          <w:tcPr>
            <w:tcW w:w="1908" w:type="dxa"/>
            <w:tcBorders>
              <w:left w:val="single" w:sz="12" w:space="0" w:color="auto"/>
              <w:bottom w:val="nil"/>
            </w:tcBorders>
            <w:vAlign w:val="center"/>
          </w:tcPr>
          <w:p w:rsidR="001D41E2" w:rsidRDefault="001D41E2" w:rsidP="001130ED">
            <w:pPr>
              <w:pStyle w:val="Tabletext"/>
              <w:spacing w:beforeLines="60" w:afterLines="60"/>
              <w:ind w:left="424"/>
            </w:pPr>
            <w:r w:rsidRPr="004B7EF4">
              <w:t>ObCF</w:t>
            </w:r>
          </w:p>
        </w:tc>
        <w:tc>
          <w:tcPr>
            <w:tcW w:w="1680" w:type="dxa"/>
            <w:tcBorders>
              <w:bottom w:val="nil"/>
            </w:tcBorders>
            <w:vAlign w:val="center"/>
          </w:tcPr>
          <w:p w:rsidR="009D5214" w:rsidRDefault="001D41E2" w:rsidP="001130ED">
            <w:pPr>
              <w:pStyle w:val="Tabletext"/>
              <w:spacing w:beforeLines="60" w:afterLines="60"/>
              <w:jc w:val="center"/>
              <w:rPr>
                <w:rFonts w:ascii="Times New Roman Bold" w:hAnsi="Times New Roman Bold" w:cs="Times New Roman Bold"/>
                <w:b/>
                <w:bCs/>
                <w:i/>
                <w:iCs/>
                <w:sz w:val="24"/>
                <w:szCs w:val="24"/>
                <w:lang w:val="en-GB"/>
              </w:rPr>
            </w:pPr>
            <w:r w:rsidRPr="004B7EF4">
              <w:rPr>
                <w:i/>
                <w:iCs/>
              </w:rPr>
              <w:t>Leuciscus idus</w:t>
            </w:r>
          </w:p>
        </w:tc>
        <w:tc>
          <w:tcPr>
            <w:tcW w:w="3840" w:type="dxa"/>
            <w:tcBorders>
              <w:bottom w:val="nil"/>
            </w:tcBorders>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 LC</w:t>
            </w:r>
            <w:r w:rsidRPr="004B7EF4">
              <w:rPr>
                <w:sz w:val="20"/>
                <w:szCs w:val="20"/>
                <w:vertAlign w:val="subscript"/>
                <w:lang w:val="en-US"/>
              </w:rPr>
              <w:t>50</w:t>
            </w:r>
            <w:r w:rsidRPr="004B7EF4">
              <w:rPr>
                <w:sz w:val="20"/>
                <w:szCs w:val="20"/>
                <w:lang w:val="en-US"/>
              </w:rPr>
              <w:t xml:space="preserve"> (96 h) = 1.78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bottom w:val="nil"/>
              <w:right w:val="single" w:sz="12" w:space="0" w:color="auto"/>
            </w:tcBorders>
            <w:vAlign w:val="center"/>
          </w:tcPr>
          <w:p w:rsidR="001D41E2" w:rsidRDefault="001D41E2" w:rsidP="001130ED">
            <w:pPr>
              <w:pStyle w:val="Tabletext"/>
              <w:spacing w:beforeLines="60" w:afterLines="60"/>
              <w:ind w:left="255"/>
            </w:pPr>
            <w:r w:rsidRPr="004B7EF4">
              <w:t>BASF AG, 1987b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DEG</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75200 mg/L </w:t>
            </w:r>
            <w:r w:rsidRPr="004B7EF4">
              <w:rPr>
                <w:sz w:val="20"/>
                <w:szCs w:val="20"/>
                <w:lang w:val="en-US"/>
              </w:rPr>
              <w:br/>
              <w:t>(mean measured)</w:t>
            </w:r>
            <w:r>
              <w:rPr>
                <w:sz w:val="20"/>
                <w:szCs w:val="20"/>
                <w:lang w:val="en-US"/>
              </w:rPr>
              <w:t>; flow-through</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 xml:space="preserve"> Geiger </w:t>
            </w:r>
            <w:r w:rsidRPr="00956920">
              <w:rPr>
                <w:i/>
                <w:iCs/>
                <w:sz w:val="20"/>
                <w:szCs w:val="20"/>
                <w:lang w:val="en-US"/>
              </w:rPr>
              <w:t>et al</w:t>
            </w:r>
            <w:r w:rsidRPr="004B7EF4">
              <w:rPr>
                <w:sz w:val="20"/>
                <w:szCs w:val="20"/>
                <w:lang w:val="en-US"/>
              </w:rPr>
              <w:t>., 1990</w:t>
            </w:r>
          </w:p>
        </w:tc>
      </w:tr>
      <w:tr w:rsidR="001D41E2" w:rsidRPr="00681851" w:rsidTr="00361759">
        <w:trPr>
          <w:cantSplit/>
          <w:trHeight w:val="567"/>
        </w:trPr>
        <w:tc>
          <w:tcPr>
            <w:tcW w:w="1908" w:type="dxa"/>
            <w:tcBorders>
              <w:left w:val="single" w:sz="12" w:space="0" w:color="auto"/>
              <w:bottom w:val="nil"/>
            </w:tcBorders>
            <w:vAlign w:val="center"/>
          </w:tcPr>
          <w:p w:rsidR="001D41E2" w:rsidRDefault="001D41E2" w:rsidP="001130ED">
            <w:pPr>
              <w:pStyle w:val="Tabletext"/>
              <w:spacing w:beforeLines="60" w:afterLines="60"/>
              <w:ind w:left="424"/>
            </w:pPr>
            <w:r w:rsidRPr="004B7EF4">
              <w:t>EhCF</w:t>
            </w:r>
          </w:p>
        </w:tc>
        <w:tc>
          <w:tcPr>
            <w:tcW w:w="1680" w:type="dxa"/>
            <w:tcBorders>
              <w:bottom w:val="nil"/>
            </w:tcBorders>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Leuciscus idus</w:t>
            </w:r>
          </w:p>
          <w:p w:rsidR="001D41E2"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Danio rerio</w:t>
            </w:r>
          </w:p>
        </w:tc>
        <w:tc>
          <w:tcPr>
            <w:tcW w:w="3840" w:type="dxa"/>
            <w:tcBorders>
              <w:bottom w:val="nil"/>
            </w:tcBorders>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3.16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4.18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bottom w:val="nil"/>
              <w:right w:val="single" w:sz="12" w:space="0" w:color="auto"/>
            </w:tcBorders>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rPr>
            </w:pPr>
            <w:r w:rsidRPr="005D3652">
              <w:rPr>
                <w:sz w:val="20"/>
                <w:szCs w:val="20"/>
              </w:rPr>
              <w:t>BASF AG, 1988a</w:t>
            </w:r>
          </w:p>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rPr>
            </w:pPr>
            <w:r w:rsidRPr="005D3652">
              <w:rPr>
                <w:sz w:val="20"/>
                <w:szCs w:val="20"/>
              </w:rPr>
              <w:t>Hoechst AG, 1988</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Eh</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Pimephales promelas</w:t>
            </w:r>
          </w:p>
          <w:p w:rsidR="001D41E2"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Leuciscus idus</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28.2 mg/L </w:t>
            </w:r>
            <w:r w:rsidRPr="004B7EF4">
              <w:rPr>
                <w:sz w:val="20"/>
                <w:szCs w:val="20"/>
                <w:lang w:val="en-US"/>
              </w:rPr>
              <w:br/>
              <w:t>(measured); flow-through</w:t>
            </w:r>
          </w:p>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17.1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flow-through</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 xml:space="preserve">Geiger </w:t>
            </w:r>
            <w:r w:rsidRPr="00956920">
              <w:rPr>
                <w:i/>
                <w:iCs/>
                <w:sz w:val="20"/>
                <w:szCs w:val="20"/>
                <w:lang w:val="en-US"/>
              </w:rPr>
              <w:t>et al</w:t>
            </w:r>
            <w:r w:rsidRPr="004B7EF4">
              <w:rPr>
                <w:sz w:val="20"/>
                <w:szCs w:val="20"/>
                <w:lang w:val="en-US"/>
              </w:rPr>
              <w:t>., 1985</w:t>
            </w:r>
          </w:p>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ECB, 2000</w:t>
            </w:r>
          </w:p>
        </w:tc>
      </w:tr>
      <w:tr w:rsidR="001D41E2" w:rsidRPr="004B7EF4" w:rsidTr="00361759">
        <w:trPr>
          <w:trHeight w:val="567"/>
        </w:trPr>
        <w:tc>
          <w:tcPr>
            <w:tcW w:w="1908" w:type="dxa"/>
            <w:tcBorders>
              <w:left w:val="single" w:sz="12" w:space="0" w:color="auto"/>
            </w:tcBorders>
            <w:shd w:val="clear" w:color="auto" w:fill="808080"/>
            <w:vAlign w:val="center"/>
          </w:tcPr>
          <w:p w:rsidR="001D41E2" w:rsidRDefault="001D41E2" w:rsidP="001130ED">
            <w:pPr>
              <w:pStyle w:val="Tabletext"/>
              <w:spacing w:beforeLines="60" w:afterLines="60"/>
              <w:ind w:left="424"/>
            </w:pPr>
            <w:r w:rsidRPr="004B7EF4">
              <w:t>HCl</w:t>
            </w:r>
          </w:p>
        </w:tc>
        <w:tc>
          <w:tcPr>
            <w:tcW w:w="1680" w:type="dxa"/>
            <w:shd w:val="clear" w:color="auto" w:fill="808080"/>
            <w:vAlign w:val="center"/>
          </w:tcPr>
          <w:p w:rsidR="009D5214" w:rsidRDefault="001D41E2" w:rsidP="001130ED">
            <w:pPr>
              <w:pStyle w:val="Tabletext"/>
              <w:spacing w:beforeLines="60" w:afterLines="60"/>
              <w:rPr>
                <w:rFonts w:ascii="Times New Roman Bold" w:hAnsi="Times New Roman Bold" w:cs="Times New Roman Bold"/>
                <w:b/>
                <w:bCs/>
                <w:i/>
                <w:iCs/>
                <w:sz w:val="24"/>
                <w:szCs w:val="24"/>
                <w:lang w:val="en-GB"/>
              </w:rPr>
            </w:pPr>
            <w:r w:rsidRPr="004B7EF4">
              <w:rPr>
                <w:i/>
                <w:iCs/>
              </w:rPr>
              <w:t>Cyprinus carpio</w:t>
            </w:r>
          </w:p>
        </w:tc>
        <w:tc>
          <w:tcPr>
            <w:tcW w:w="3840" w:type="dxa"/>
            <w:shd w:val="clear" w:color="auto" w:fill="80808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LC</w:t>
            </w:r>
            <w:r w:rsidRPr="004B7EF4">
              <w:rPr>
                <w:sz w:val="20"/>
                <w:szCs w:val="20"/>
                <w:vertAlign w:val="subscript"/>
                <w:lang w:val="en-US"/>
              </w:rPr>
              <w:t>50</w:t>
            </w:r>
            <w:r w:rsidRPr="004B7EF4">
              <w:rPr>
                <w:sz w:val="20"/>
                <w:szCs w:val="20"/>
                <w:lang w:val="en-US"/>
              </w:rPr>
              <w:t xml:space="preserve"> (96 h) = 4.92 mg/L (acid equivalent to pH 4.3, measured); semi-static</w:t>
            </w:r>
          </w:p>
        </w:tc>
        <w:tc>
          <w:tcPr>
            <w:tcW w:w="2280" w:type="dxa"/>
            <w:tcBorders>
              <w:bottom w:val="single" w:sz="12" w:space="0" w:color="auto"/>
              <w:right w:val="single" w:sz="12" w:space="0" w:color="auto"/>
            </w:tcBorders>
            <w:shd w:val="clear" w:color="auto" w:fill="808080"/>
            <w:vAlign w:val="center"/>
          </w:tcPr>
          <w:p w:rsidR="001D41E2" w:rsidRDefault="001D41E2" w:rsidP="001130ED">
            <w:pPr>
              <w:pStyle w:val="Tabletext"/>
              <w:spacing w:beforeLines="60" w:afterLines="60"/>
              <w:ind w:left="255"/>
            </w:pPr>
            <w:r w:rsidRPr="004B7EF4">
              <w:t>OECD, 2002a</w:t>
            </w:r>
          </w:p>
        </w:tc>
      </w:tr>
      <w:tr w:rsidR="001D41E2" w:rsidRPr="004B7EF4" w:rsidTr="00361759">
        <w:trPr>
          <w:trHeight w:val="397"/>
        </w:trPr>
        <w:tc>
          <w:tcPr>
            <w:tcW w:w="9708" w:type="dxa"/>
            <w:gridSpan w:val="4"/>
            <w:tcBorders>
              <w:top w:val="single" w:sz="12" w:space="0" w:color="auto"/>
              <w:left w:val="single" w:sz="12" w:space="0" w:color="auto"/>
              <w:right w:val="single" w:sz="12" w:space="0" w:color="auto"/>
            </w:tcBorders>
            <w:vAlign w:val="center"/>
          </w:tcPr>
          <w:p w:rsidR="001D41E2" w:rsidRDefault="001D41E2" w:rsidP="001130ED">
            <w:pPr>
              <w:pStyle w:val="Tabletext"/>
              <w:spacing w:beforeLines="60" w:afterLines="60"/>
              <w:ind w:left="255"/>
              <w:jc w:val="center"/>
            </w:pPr>
            <w:r w:rsidRPr="004B7EF4">
              <w:rPr>
                <w:b/>
                <w:bCs/>
              </w:rPr>
              <w:t>Aquatic invertebrates (acute)</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Me</w:t>
            </w:r>
          </w:p>
        </w:tc>
        <w:tc>
          <w:tcPr>
            <w:tcW w:w="1680" w:type="dxa"/>
            <w:tcBorders>
              <w:top w:val="nil"/>
            </w:tcBorders>
            <w:shd w:val="clear" w:color="auto" w:fill="C0C0C0"/>
            <w:vAlign w:val="center"/>
          </w:tcPr>
          <w:p w:rsidR="009D5214" w:rsidRDefault="001D41E2" w:rsidP="001130ED">
            <w:pPr>
              <w:spacing w:beforeLines="60" w:afterLines="60"/>
              <w:jc w:val="center"/>
              <w:rPr>
                <w:rFonts w:ascii="Times New Roman Bold" w:hAnsi="Times New Roman Bold" w:cs="Times New Roman Bold"/>
                <w:b/>
                <w:bCs/>
                <w:i/>
                <w:iCs/>
                <w:sz w:val="20"/>
                <w:szCs w:val="20"/>
                <w:lang w:val="en-GB"/>
              </w:rPr>
            </w:pPr>
            <w:r w:rsidRPr="004B7EF4">
              <w:rPr>
                <w:i/>
                <w:iCs/>
                <w:sz w:val="20"/>
                <w:szCs w:val="20"/>
              </w:rPr>
              <w:t>Daphnia magna</w:t>
            </w:r>
          </w:p>
        </w:tc>
        <w:tc>
          <w:tcPr>
            <w:tcW w:w="3840" w:type="dxa"/>
            <w:tcBorders>
              <w:top w:val="nil"/>
            </w:tcBorders>
            <w:shd w:val="clear" w:color="auto" w:fill="C0C0C0"/>
            <w:vAlign w:val="center"/>
          </w:tcPr>
          <w:p w:rsidR="009D5214" w:rsidRDefault="001D41E2" w:rsidP="001130ED">
            <w:pPr>
              <w:pStyle w:val="Tabletext"/>
              <w:spacing w:beforeLines="60" w:afterLines="60"/>
              <w:jc w:val="center"/>
              <w:rPr>
                <w:rFonts w:ascii="Times New Roman Bold" w:hAnsi="Times New Roman Bold" w:cs="Times New Roman Bold"/>
                <w:b/>
                <w:bCs/>
                <w:sz w:val="24"/>
                <w:szCs w:val="24"/>
                <w:lang w:val="en-GB"/>
              </w:rPr>
            </w:pPr>
            <w:r w:rsidRPr="004B7EF4">
              <w:t>EC</w:t>
            </w:r>
            <w:r w:rsidRPr="004B7EF4">
              <w:rPr>
                <w:vertAlign w:val="subscript"/>
              </w:rPr>
              <w:t>50</w:t>
            </w:r>
            <w:r w:rsidRPr="004B7EF4">
              <w:t xml:space="preserve"> (48 h) &gt; 10000 mg/L </w:t>
            </w:r>
            <w:r w:rsidRPr="004B7EF4">
              <w:br/>
              <w:t xml:space="preserve">(nominal </w:t>
            </w:r>
            <w:r w:rsidRPr="004B7EF4">
              <w:rPr>
                <w:vertAlign w:val="superscript"/>
              </w:rPr>
              <w:t>2</w:t>
            </w:r>
            <w:r w:rsidRPr="004B7EF4">
              <w:t>); static</w:t>
            </w:r>
          </w:p>
        </w:tc>
        <w:tc>
          <w:tcPr>
            <w:tcW w:w="2280" w:type="dxa"/>
            <w:tcBorders>
              <w:top w:val="nil"/>
              <w:right w:val="single" w:sz="12" w:space="0" w:color="auto"/>
            </w:tcBorders>
            <w:shd w:val="clear" w:color="auto" w:fill="C0C0C0"/>
            <w:vAlign w:val="center"/>
          </w:tcPr>
          <w:p w:rsidR="009D5214" w:rsidRDefault="001D41E2" w:rsidP="001130ED">
            <w:pPr>
              <w:pStyle w:val="Tabletext"/>
              <w:spacing w:beforeLines="60" w:afterLines="60"/>
              <w:ind w:left="255"/>
              <w:rPr>
                <w:rFonts w:ascii="Times New Roman Bold" w:hAnsi="Times New Roman Bold" w:cs="Times New Roman Bold"/>
                <w:b/>
                <w:bCs/>
                <w:sz w:val="24"/>
                <w:szCs w:val="24"/>
                <w:lang w:val="en-GB"/>
              </w:rPr>
            </w:pPr>
            <w:r w:rsidRPr="004B7EF4">
              <w:t>OECD, 2004a</w:t>
            </w:r>
          </w:p>
        </w:tc>
      </w:tr>
      <w:tr w:rsidR="001D41E2" w:rsidRPr="004B7EF4" w:rsidTr="00361759">
        <w:trPr>
          <w:trHeight w:val="567"/>
        </w:trPr>
        <w:tc>
          <w:tcPr>
            <w:tcW w:w="1908" w:type="dxa"/>
            <w:tcBorders>
              <w:left w:val="single" w:sz="12" w:space="0" w:color="auto"/>
            </w:tcBorders>
            <w:shd w:val="clear" w:color="auto" w:fill="C0C0C0"/>
            <w:vAlign w:val="center"/>
          </w:tcPr>
          <w:p w:rsidR="001D41E2" w:rsidRDefault="001D41E2" w:rsidP="001130ED">
            <w:pPr>
              <w:pStyle w:val="Tabletext"/>
              <w:spacing w:beforeLines="60" w:afterLines="60"/>
              <w:ind w:left="424"/>
            </w:pPr>
            <w:r w:rsidRPr="004B7EF4">
              <w:t>Et</w:t>
            </w:r>
          </w:p>
        </w:tc>
        <w:tc>
          <w:tcPr>
            <w:tcW w:w="1680" w:type="dxa"/>
            <w:shd w:val="clear" w:color="auto" w:fill="C0C0C0"/>
            <w:vAlign w:val="center"/>
          </w:tcPr>
          <w:p w:rsidR="009D5214" w:rsidRDefault="001D41E2" w:rsidP="001130ED">
            <w:pPr>
              <w:spacing w:beforeLines="60" w:afterLines="60"/>
              <w:jc w:val="center"/>
              <w:rPr>
                <w:rFonts w:ascii="Times New Roman Bold" w:hAnsi="Times New Roman Bold" w:cs="Times New Roman Bold"/>
                <w:b/>
                <w:bCs/>
                <w:lang w:val="en-GB"/>
              </w:rPr>
            </w:pPr>
            <w:r w:rsidRPr="004B7EF4">
              <w:t> </w:t>
            </w:r>
            <w:r w:rsidRPr="004B7EF4">
              <w:rPr>
                <w:i/>
                <w:iCs/>
                <w:sz w:val="20"/>
                <w:szCs w:val="20"/>
              </w:rPr>
              <w:t>Ceriodaphnia</w:t>
            </w:r>
            <w:r w:rsidRPr="004B7EF4">
              <w:rPr>
                <w:rFonts w:ascii="Arial" w:hAnsi="Arial" w:cs="Arial"/>
                <w:i/>
                <w:iCs/>
                <w:sz w:val="20"/>
                <w:szCs w:val="20"/>
              </w:rPr>
              <w:t xml:space="preserve"> </w:t>
            </w:r>
            <w:r w:rsidRPr="004B7EF4">
              <w:rPr>
                <w:i/>
                <w:iCs/>
                <w:sz w:val="20"/>
                <w:szCs w:val="20"/>
              </w:rPr>
              <w:t>dubia</w:t>
            </w:r>
          </w:p>
        </w:tc>
        <w:tc>
          <w:tcPr>
            <w:tcW w:w="3840" w:type="dxa"/>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1C339C">
              <w:rPr>
                <w:sz w:val="20"/>
                <w:szCs w:val="20"/>
                <w:lang w:val="en-US"/>
              </w:rPr>
              <w:t>EC</w:t>
            </w:r>
            <w:r w:rsidRPr="001C339C">
              <w:rPr>
                <w:sz w:val="20"/>
                <w:szCs w:val="20"/>
                <w:vertAlign w:val="subscript"/>
                <w:lang w:val="en-US"/>
              </w:rPr>
              <w:t>50</w:t>
            </w:r>
            <w:r w:rsidRPr="001C339C">
              <w:rPr>
                <w:sz w:val="20"/>
                <w:szCs w:val="20"/>
                <w:lang w:val="en-US"/>
              </w:rPr>
              <w:t xml:space="preserve"> (48 h) = 5012 mg/L </w:t>
            </w:r>
            <w:r w:rsidRPr="001C339C">
              <w:rPr>
                <w:sz w:val="20"/>
                <w:szCs w:val="20"/>
                <w:lang w:val="en-US"/>
              </w:rPr>
              <w:br/>
              <w:t xml:space="preserve">(nominal </w:t>
            </w:r>
            <w:r w:rsidRPr="001C339C">
              <w:rPr>
                <w:sz w:val="20"/>
                <w:szCs w:val="20"/>
                <w:vertAlign w:val="superscript"/>
                <w:lang w:val="en-US"/>
              </w:rPr>
              <w:t>2</w:t>
            </w:r>
            <w:r w:rsidRPr="001C339C">
              <w:rPr>
                <w:sz w:val="20"/>
                <w:szCs w:val="20"/>
                <w:lang w:val="en-US"/>
              </w:rPr>
              <w:t>); static</w:t>
            </w:r>
          </w:p>
        </w:tc>
        <w:tc>
          <w:tcPr>
            <w:tcW w:w="2280" w:type="dxa"/>
            <w:tcBorders>
              <w:right w:val="single" w:sz="12" w:space="0" w:color="auto"/>
            </w:tcBorders>
            <w:shd w:val="clear" w:color="auto" w:fill="C0C0C0"/>
            <w:vAlign w:val="center"/>
          </w:tcPr>
          <w:p w:rsidR="001D41E2"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2005</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Pr</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Daphnia magna</w:t>
            </w:r>
          </w:p>
          <w:p w:rsidR="001D41E2"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Gammarus pulex</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EC</w:t>
            </w:r>
            <w:r w:rsidRPr="004B7EF4">
              <w:rPr>
                <w:sz w:val="20"/>
                <w:szCs w:val="20"/>
                <w:vertAlign w:val="subscript"/>
                <w:lang w:val="en-US"/>
              </w:rPr>
              <w:t>50</w:t>
            </w:r>
            <w:r w:rsidRPr="004B7EF4">
              <w:rPr>
                <w:sz w:val="20"/>
                <w:szCs w:val="20"/>
                <w:lang w:val="en-US"/>
              </w:rPr>
              <w:t xml:space="preserve"> (48 h) = 3644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pt-BR"/>
              </w:rPr>
            </w:pPr>
            <w:r w:rsidRPr="001C339C">
              <w:rPr>
                <w:sz w:val="20"/>
                <w:szCs w:val="20"/>
                <w:lang w:val="pt-BR"/>
              </w:rPr>
              <w:t>EC</w:t>
            </w:r>
            <w:r w:rsidRPr="001C339C">
              <w:rPr>
                <w:sz w:val="20"/>
                <w:szCs w:val="20"/>
                <w:vertAlign w:val="subscript"/>
                <w:lang w:val="pt-BR"/>
              </w:rPr>
              <w:t>50</w:t>
            </w:r>
            <w:r w:rsidRPr="001C339C">
              <w:rPr>
                <w:sz w:val="20"/>
                <w:szCs w:val="20"/>
                <w:lang w:val="pt-BR"/>
              </w:rPr>
              <w:t xml:space="preserve"> (48 h) = 1000 </w:t>
            </w:r>
            <w:proofErr w:type="gramStart"/>
            <w:r w:rsidRPr="001C339C">
              <w:rPr>
                <w:sz w:val="20"/>
                <w:szCs w:val="20"/>
                <w:lang w:val="pt-BR"/>
              </w:rPr>
              <w:t>mg</w:t>
            </w:r>
            <w:proofErr w:type="gramEnd"/>
            <w:r w:rsidRPr="001C339C">
              <w:rPr>
                <w:sz w:val="20"/>
                <w:szCs w:val="20"/>
                <w:lang w:val="pt-BR"/>
              </w:rPr>
              <w:t xml:space="preserve">/L </w:t>
            </w:r>
            <w:r w:rsidRPr="001C339C">
              <w:rPr>
                <w:sz w:val="20"/>
                <w:szCs w:val="20"/>
                <w:lang w:val="pt-BR"/>
              </w:rPr>
              <w:br/>
              <w:t xml:space="preserve">(nominal </w:t>
            </w:r>
            <w:r w:rsidRPr="001C339C">
              <w:rPr>
                <w:sz w:val="20"/>
                <w:szCs w:val="20"/>
                <w:vertAlign w:val="superscript"/>
                <w:lang w:val="pt-BR"/>
              </w:rPr>
              <w:t>2</w:t>
            </w:r>
            <w:r w:rsidRPr="001C339C">
              <w:rPr>
                <w:sz w:val="20"/>
                <w:szCs w:val="20"/>
                <w:lang w:val="pt-BR"/>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EC, 2008</w:t>
            </w:r>
          </w:p>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EC, 2008</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Ip</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Daphnia magna</w:t>
            </w:r>
          </w:p>
          <w:p w:rsidR="001D41E2"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Crangon crangon</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pt-PT"/>
              </w:rPr>
            </w:pPr>
            <w:r w:rsidRPr="005D3652">
              <w:rPr>
                <w:sz w:val="20"/>
                <w:szCs w:val="20"/>
                <w:lang w:val="pt-PT"/>
              </w:rPr>
              <w:t>EC</w:t>
            </w:r>
            <w:r w:rsidRPr="005D3652">
              <w:rPr>
                <w:sz w:val="20"/>
                <w:szCs w:val="20"/>
                <w:vertAlign w:val="subscript"/>
                <w:lang w:val="pt-PT"/>
              </w:rPr>
              <w:t>50</w:t>
            </w:r>
            <w:r w:rsidRPr="005D3652">
              <w:rPr>
                <w:sz w:val="20"/>
                <w:szCs w:val="20"/>
                <w:lang w:val="pt-PT"/>
              </w:rPr>
              <w:t xml:space="preserve"> (24 </w:t>
            </w:r>
            <w:proofErr w:type="gramStart"/>
            <w:r w:rsidRPr="005D3652">
              <w:rPr>
                <w:sz w:val="20"/>
                <w:szCs w:val="20"/>
                <w:lang w:val="pt-PT"/>
              </w:rPr>
              <w:t>h) &gt;</w:t>
            </w:r>
            <w:proofErr w:type="gramEnd"/>
            <w:r w:rsidRPr="005D3652">
              <w:rPr>
                <w:sz w:val="20"/>
                <w:szCs w:val="20"/>
                <w:lang w:val="pt-PT"/>
              </w:rPr>
              <w:t xml:space="preserve"> 10000 mg/L </w:t>
            </w:r>
            <w:r w:rsidRPr="005D3652">
              <w:rPr>
                <w:sz w:val="20"/>
                <w:szCs w:val="20"/>
                <w:lang w:val="pt-PT"/>
              </w:rPr>
              <w:br/>
              <w:t xml:space="preserve">(nominal </w:t>
            </w:r>
            <w:r w:rsidRPr="005D3652">
              <w:rPr>
                <w:sz w:val="20"/>
                <w:szCs w:val="20"/>
                <w:vertAlign w:val="superscript"/>
                <w:lang w:val="pt-PT"/>
              </w:rPr>
              <w:t>2</w:t>
            </w:r>
            <w:r w:rsidRPr="005D3652">
              <w:rPr>
                <w:sz w:val="20"/>
                <w:szCs w:val="20"/>
                <w:lang w:val="pt-PT"/>
              </w:rPr>
              <w:t>)</w:t>
            </w:r>
          </w:p>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it-IT"/>
              </w:rPr>
            </w:pPr>
            <w:r w:rsidRPr="005D3652">
              <w:rPr>
                <w:sz w:val="20"/>
                <w:szCs w:val="20"/>
                <w:lang w:val="it-IT"/>
              </w:rPr>
              <w:t>LC</w:t>
            </w:r>
            <w:r w:rsidRPr="005D3652">
              <w:rPr>
                <w:sz w:val="20"/>
                <w:szCs w:val="20"/>
                <w:vertAlign w:val="subscript"/>
                <w:lang w:val="it-IT"/>
              </w:rPr>
              <w:t>50</w:t>
            </w:r>
            <w:r w:rsidRPr="005D3652">
              <w:rPr>
                <w:sz w:val="20"/>
                <w:szCs w:val="20"/>
                <w:lang w:val="it-IT"/>
              </w:rPr>
              <w:t xml:space="preserve"> (48 h) = 1400 mg/L </w:t>
            </w:r>
            <w:r w:rsidRPr="005D3652">
              <w:rPr>
                <w:sz w:val="20"/>
                <w:szCs w:val="20"/>
                <w:lang w:val="it-IT"/>
              </w:rPr>
              <w:br/>
            </w:r>
            <w:proofErr w:type="gramStart"/>
            <w:r w:rsidRPr="005D3652">
              <w:rPr>
                <w:sz w:val="20"/>
                <w:szCs w:val="20"/>
                <w:lang w:val="it-IT"/>
              </w:rPr>
              <w:t>(nominal</w:t>
            </w:r>
            <w:proofErr w:type="gramEnd"/>
            <w:r w:rsidRPr="005D3652">
              <w:rPr>
                <w:sz w:val="20"/>
                <w:szCs w:val="20"/>
                <w:lang w:val="it-IT"/>
              </w:rPr>
              <w:t xml:space="preserve"> </w:t>
            </w:r>
            <w:r w:rsidRPr="005D3652">
              <w:rPr>
                <w:sz w:val="20"/>
                <w:szCs w:val="20"/>
                <w:vertAlign w:val="superscript"/>
                <w:lang w:val="it-IT"/>
              </w:rPr>
              <w:t>2</w:t>
            </w:r>
            <w:r w:rsidRPr="005D3652">
              <w:rPr>
                <w:sz w:val="20"/>
                <w:szCs w:val="20"/>
                <w:lang w:val="it-IT"/>
              </w:rPr>
              <w:t>); semi-static (marine)</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 xml:space="preserve">OECD, 2000 </w:t>
            </w:r>
          </w:p>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2000</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Sb</w:t>
            </w:r>
          </w:p>
        </w:tc>
        <w:tc>
          <w:tcPr>
            <w:tcW w:w="1680" w:type="dxa"/>
            <w:tcBorders>
              <w:top w:val="nil"/>
            </w:tcBorders>
            <w:shd w:val="clear" w:color="auto" w:fill="C0C0C0"/>
            <w:vAlign w:val="center"/>
          </w:tcPr>
          <w:p w:rsidR="009D5214" w:rsidRDefault="001D41E2" w:rsidP="001130ED">
            <w:pPr>
              <w:spacing w:beforeLines="60" w:afterLines="60"/>
              <w:jc w:val="center"/>
              <w:rPr>
                <w:rFonts w:ascii="Times New Roman Bold" w:hAnsi="Times New Roman Bold" w:cs="Times New Roman Bold"/>
                <w:b/>
                <w:bCs/>
                <w:i/>
                <w:iCs/>
                <w:sz w:val="20"/>
                <w:szCs w:val="20"/>
                <w:lang w:val="en-GB"/>
              </w:rPr>
            </w:pPr>
            <w:r w:rsidRPr="004B7EF4">
              <w:rPr>
                <w:i/>
                <w:iCs/>
                <w:sz w:val="20"/>
                <w:szCs w:val="20"/>
              </w:rPr>
              <w:t>Daphnia magna</w:t>
            </w:r>
          </w:p>
        </w:tc>
        <w:tc>
          <w:tcPr>
            <w:tcW w:w="3840" w:type="dxa"/>
            <w:tcBorders>
              <w:top w:val="nil"/>
            </w:tcBorders>
            <w:shd w:val="clear" w:color="auto" w:fill="C0C0C0"/>
            <w:vAlign w:val="center"/>
          </w:tcPr>
          <w:p w:rsidR="009D5214" w:rsidRDefault="001D41E2" w:rsidP="001130ED">
            <w:pPr>
              <w:pStyle w:val="Tabletext"/>
              <w:spacing w:beforeLines="60" w:afterLines="60"/>
              <w:jc w:val="center"/>
              <w:rPr>
                <w:rFonts w:ascii="Times New Roman Bold" w:hAnsi="Times New Roman Bold" w:cs="Times New Roman Bold"/>
                <w:b/>
                <w:bCs/>
                <w:sz w:val="24"/>
                <w:szCs w:val="24"/>
                <w:lang w:val="en-GB"/>
              </w:rPr>
            </w:pPr>
            <w:r w:rsidRPr="004B7EF4">
              <w:t>EC</w:t>
            </w:r>
            <w:r w:rsidRPr="004B7EF4">
              <w:rPr>
                <w:vertAlign w:val="subscript"/>
              </w:rPr>
              <w:t>50</w:t>
            </w:r>
            <w:r w:rsidRPr="004B7EF4">
              <w:t xml:space="preserve"> (48 h) = 4227 mg/L </w:t>
            </w:r>
            <w:r w:rsidRPr="004B7EF4">
              <w:br/>
              <w:t xml:space="preserve">(nominal </w:t>
            </w:r>
            <w:r w:rsidRPr="004B7EF4">
              <w:rPr>
                <w:vertAlign w:val="superscript"/>
              </w:rPr>
              <w:t>2</w:t>
            </w:r>
            <w:r w:rsidRPr="004B7EF4">
              <w:t>); static</w:t>
            </w:r>
          </w:p>
        </w:tc>
        <w:tc>
          <w:tcPr>
            <w:tcW w:w="2280" w:type="dxa"/>
            <w:tcBorders>
              <w:top w:val="nil"/>
              <w:right w:val="single" w:sz="12" w:space="0" w:color="auto"/>
            </w:tcBorders>
            <w:shd w:val="clear" w:color="auto" w:fill="C0C0C0"/>
            <w:vAlign w:val="center"/>
          </w:tcPr>
          <w:p w:rsidR="009D5214" w:rsidRDefault="001D41E2" w:rsidP="001130ED">
            <w:pPr>
              <w:pStyle w:val="Tabletext"/>
              <w:spacing w:beforeLines="60" w:afterLines="60"/>
              <w:ind w:left="255"/>
              <w:rPr>
                <w:rFonts w:ascii="Times New Roman Bold" w:hAnsi="Times New Roman Bold" w:cs="Times New Roman Bold"/>
                <w:b/>
                <w:bCs/>
                <w:sz w:val="24"/>
                <w:szCs w:val="24"/>
                <w:lang w:val="en-GB"/>
              </w:rPr>
            </w:pPr>
            <w:r w:rsidRPr="004B7EF4">
              <w:t>OECD, 2002b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DEG</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bookmarkStart w:id="94" w:name="OLE_LINK3"/>
            <w:bookmarkStart w:id="95" w:name="OLE_LINK4"/>
            <w:r w:rsidRPr="004B7EF4">
              <w:rPr>
                <w:i/>
                <w:iCs/>
                <w:sz w:val="20"/>
                <w:szCs w:val="20"/>
                <w:lang w:val="en-US"/>
              </w:rPr>
              <w:t>Daphnia magna</w:t>
            </w:r>
            <w:bookmarkEnd w:id="94"/>
            <w:bookmarkEnd w:id="95"/>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Pr>
                <w:sz w:val="20"/>
                <w:szCs w:val="20"/>
                <w:lang w:val="en-US"/>
              </w:rPr>
              <w:t>L</w:t>
            </w:r>
            <w:r w:rsidRPr="004B7EF4">
              <w:rPr>
                <w:sz w:val="20"/>
                <w:szCs w:val="20"/>
                <w:lang w:val="en-US"/>
              </w:rPr>
              <w:t>C</w:t>
            </w:r>
            <w:r w:rsidRPr="004B7EF4">
              <w:rPr>
                <w:sz w:val="20"/>
                <w:szCs w:val="20"/>
                <w:vertAlign w:val="subscript"/>
                <w:lang w:val="en-US"/>
              </w:rPr>
              <w:t>50</w:t>
            </w:r>
            <w:r w:rsidRPr="004B7EF4">
              <w:rPr>
                <w:sz w:val="20"/>
                <w:szCs w:val="20"/>
                <w:lang w:val="en-US"/>
              </w:rPr>
              <w:t xml:space="preserve"> (48 h) = 48900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2004b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Eh</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Daphnia magna</w:t>
            </w:r>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EC</w:t>
            </w:r>
            <w:r w:rsidRPr="004B7EF4">
              <w:rPr>
                <w:sz w:val="20"/>
                <w:szCs w:val="20"/>
                <w:vertAlign w:val="subscript"/>
                <w:lang w:val="en-US"/>
              </w:rPr>
              <w:t>50</w:t>
            </w:r>
            <w:r w:rsidRPr="004B7EF4">
              <w:rPr>
                <w:sz w:val="20"/>
                <w:szCs w:val="20"/>
                <w:lang w:val="en-US"/>
              </w:rPr>
              <w:t xml:space="preserve"> (48 h) = 35.2 mg/L </w:t>
            </w:r>
            <w:r w:rsidRPr="004B7EF4">
              <w:rPr>
                <w:sz w:val="20"/>
                <w:szCs w:val="20"/>
                <w:lang w:val="en-US"/>
              </w:rPr>
              <w:br/>
              <w:t xml:space="preserve">(nominal </w:t>
            </w:r>
            <w:r w:rsidRPr="004B7EF4">
              <w:rPr>
                <w:sz w:val="20"/>
                <w:szCs w:val="20"/>
                <w:vertAlign w:val="superscript"/>
                <w:lang w:val="en-US"/>
              </w:rPr>
              <w:t>2</w:t>
            </w:r>
            <w:r w:rsidRPr="004B7EF4">
              <w:rPr>
                <w:sz w:val="20"/>
                <w:szCs w:val="20"/>
                <w:lang w:val="en-US"/>
              </w:rPr>
              <w:t>); static</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Dow, 1980</w:t>
            </w:r>
          </w:p>
        </w:tc>
      </w:tr>
      <w:tr w:rsidR="001D41E2" w:rsidRPr="004B7EF4" w:rsidTr="00361759">
        <w:trPr>
          <w:trHeight w:val="567"/>
        </w:trPr>
        <w:tc>
          <w:tcPr>
            <w:tcW w:w="1908" w:type="dxa"/>
            <w:tcBorders>
              <w:left w:val="single" w:sz="12" w:space="0" w:color="auto"/>
            </w:tcBorders>
            <w:shd w:val="clear" w:color="auto" w:fill="808080"/>
            <w:vAlign w:val="center"/>
          </w:tcPr>
          <w:p w:rsidR="001D41E2" w:rsidRDefault="001D41E2" w:rsidP="001130ED">
            <w:pPr>
              <w:pStyle w:val="Tabletext"/>
              <w:spacing w:beforeLines="60" w:afterLines="60"/>
              <w:ind w:left="424"/>
            </w:pPr>
            <w:r w:rsidRPr="004B7EF4">
              <w:t>HC</w:t>
            </w:r>
            <w:r>
              <w:t>l</w:t>
            </w:r>
          </w:p>
        </w:tc>
        <w:tc>
          <w:tcPr>
            <w:tcW w:w="1680" w:type="dxa"/>
            <w:shd w:val="clear" w:color="auto" w:fill="808080"/>
            <w:vAlign w:val="center"/>
          </w:tcPr>
          <w:p w:rsidR="009D5214" w:rsidRDefault="001D41E2" w:rsidP="001130ED">
            <w:pPr>
              <w:pStyle w:val="Tabletext"/>
              <w:spacing w:beforeLines="60" w:afterLines="60"/>
              <w:rPr>
                <w:rFonts w:ascii="Times New Roman Bold" w:hAnsi="Times New Roman Bold" w:cs="Times New Roman Bold"/>
                <w:b/>
                <w:bCs/>
                <w:i/>
                <w:iCs/>
                <w:sz w:val="24"/>
                <w:szCs w:val="24"/>
                <w:lang w:val="en-GB"/>
              </w:rPr>
            </w:pPr>
            <w:r w:rsidRPr="004B7EF4">
              <w:rPr>
                <w:i/>
                <w:iCs/>
              </w:rPr>
              <w:t>Daphnia magna</w:t>
            </w:r>
          </w:p>
        </w:tc>
        <w:tc>
          <w:tcPr>
            <w:tcW w:w="3840" w:type="dxa"/>
            <w:shd w:val="clear" w:color="auto" w:fill="80808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EC</w:t>
            </w:r>
            <w:r w:rsidRPr="004B7EF4">
              <w:rPr>
                <w:sz w:val="20"/>
                <w:szCs w:val="20"/>
                <w:vertAlign w:val="subscript"/>
                <w:lang w:val="en-US"/>
              </w:rPr>
              <w:t>50</w:t>
            </w:r>
            <w:r w:rsidRPr="004B7EF4">
              <w:rPr>
                <w:sz w:val="20"/>
                <w:szCs w:val="20"/>
                <w:lang w:val="en-US"/>
              </w:rPr>
              <w:t xml:space="preserve"> (48 h) = 0.492 mg/L (acid equivalent to pH 5.3, measured); semi-static</w:t>
            </w:r>
          </w:p>
        </w:tc>
        <w:tc>
          <w:tcPr>
            <w:tcW w:w="2280" w:type="dxa"/>
            <w:tcBorders>
              <w:bottom w:val="single" w:sz="12" w:space="0" w:color="auto"/>
              <w:right w:val="single" w:sz="12" w:space="0" w:color="auto"/>
            </w:tcBorders>
            <w:shd w:val="clear" w:color="auto" w:fill="808080"/>
            <w:vAlign w:val="center"/>
          </w:tcPr>
          <w:p w:rsidR="001D41E2" w:rsidRDefault="001D41E2" w:rsidP="001130ED">
            <w:pPr>
              <w:pStyle w:val="Tabletext"/>
              <w:spacing w:beforeLines="60" w:afterLines="60"/>
              <w:ind w:left="255"/>
            </w:pPr>
            <w:r w:rsidRPr="004B7EF4">
              <w:t>OECD, 2002a</w:t>
            </w:r>
          </w:p>
        </w:tc>
      </w:tr>
      <w:tr w:rsidR="001D41E2" w:rsidRPr="004B7EF4" w:rsidTr="00361759">
        <w:trPr>
          <w:trHeight w:val="397"/>
        </w:trPr>
        <w:tc>
          <w:tcPr>
            <w:tcW w:w="9708" w:type="dxa"/>
            <w:gridSpan w:val="4"/>
            <w:tcBorders>
              <w:top w:val="single" w:sz="12" w:space="0" w:color="auto"/>
              <w:left w:val="single" w:sz="12" w:space="0" w:color="auto"/>
              <w:bottom w:val="single" w:sz="2" w:space="0" w:color="auto"/>
              <w:right w:val="single" w:sz="12" w:space="0" w:color="auto"/>
            </w:tcBorders>
            <w:vAlign w:val="center"/>
          </w:tcPr>
          <w:p w:rsidR="001D41E2" w:rsidRDefault="001D41E2" w:rsidP="001130ED">
            <w:pPr>
              <w:pStyle w:val="Tabletext"/>
              <w:spacing w:beforeLines="60" w:afterLines="60"/>
              <w:ind w:left="255"/>
              <w:jc w:val="center"/>
              <w:rPr>
                <w:b/>
                <w:bCs/>
              </w:rPr>
            </w:pPr>
            <w:r w:rsidRPr="004B7EF4">
              <w:rPr>
                <w:b/>
                <w:bCs/>
              </w:rPr>
              <w:t>Aquatic invertebrates (chronic)</w:t>
            </w:r>
          </w:p>
        </w:tc>
      </w:tr>
      <w:tr w:rsidR="001D41E2" w:rsidRPr="004B7EF4" w:rsidTr="00361759">
        <w:trPr>
          <w:trHeight w:val="567"/>
        </w:trPr>
        <w:tc>
          <w:tcPr>
            <w:tcW w:w="1908" w:type="dxa"/>
            <w:tcBorders>
              <w:left w:val="single" w:sz="12" w:space="0" w:color="auto"/>
            </w:tcBorders>
            <w:shd w:val="clear" w:color="auto" w:fill="C0C0C0"/>
            <w:vAlign w:val="center"/>
          </w:tcPr>
          <w:p w:rsidR="001D41E2" w:rsidRDefault="001D41E2" w:rsidP="001130ED">
            <w:pPr>
              <w:pStyle w:val="Tabletext"/>
              <w:spacing w:beforeLines="60" w:afterLines="60"/>
              <w:ind w:left="424"/>
            </w:pPr>
            <w:r w:rsidRPr="004B7EF4">
              <w:t>Et</w:t>
            </w:r>
          </w:p>
        </w:tc>
        <w:tc>
          <w:tcPr>
            <w:tcW w:w="1680" w:type="dxa"/>
            <w:shd w:val="clear" w:color="auto" w:fill="C0C0C0"/>
            <w:vAlign w:val="center"/>
          </w:tcPr>
          <w:p w:rsidR="009D5214" w:rsidRDefault="001D41E2" w:rsidP="001130ED">
            <w:pPr>
              <w:spacing w:beforeLines="60" w:afterLines="60"/>
              <w:jc w:val="center"/>
              <w:rPr>
                <w:rFonts w:ascii="Times New Roman Bold" w:hAnsi="Times New Roman Bold" w:cs="Times New Roman Bold"/>
                <w:b/>
                <w:bCs/>
                <w:lang w:val="en-GB"/>
              </w:rPr>
            </w:pPr>
            <w:r w:rsidRPr="004B7EF4">
              <w:t> </w:t>
            </w:r>
            <w:r w:rsidRPr="004B7EF4">
              <w:rPr>
                <w:i/>
                <w:iCs/>
                <w:sz w:val="20"/>
                <w:szCs w:val="20"/>
              </w:rPr>
              <w:t>Ceriodaphnia</w:t>
            </w:r>
            <w:r w:rsidRPr="004B7EF4">
              <w:rPr>
                <w:rFonts w:ascii="Arial" w:hAnsi="Arial" w:cs="Arial"/>
                <w:i/>
                <w:iCs/>
                <w:sz w:val="20"/>
                <w:szCs w:val="20"/>
              </w:rPr>
              <w:t xml:space="preserve"> </w:t>
            </w:r>
            <w:r w:rsidRPr="004B7EF4">
              <w:rPr>
                <w:i/>
                <w:iCs/>
                <w:sz w:val="20"/>
                <w:szCs w:val="20"/>
              </w:rPr>
              <w:t>dubia</w:t>
            </w:r>
          </w:p>
        </w:tc>
        <w:tc>
          <w:tcPr>
            <w:tcW w:w="3840" w:type="dxa"/>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sz w:val="20"/>
                <w:szCs w:val="20"/>
                <w:lang w:val="en-US"/>
              </w:rPr>
            </w:pPr>
            <w:r w:rsidRPr="004B7EF4">
              <w:rPr>
                <w:sz w:val="20"/>
                <w:szCs w:val="20"/>
                <w:lang w:val="en-US"/>
              </w:rPr>
              <w:t xml:space="preserve">NOEC (9 d) = 9.6 mg/L (nominal </w:t>
            </w:r>
            <w:r w:rsidRPr="004B7EF4">
              <w:rPr>
                <w:sz w:val="20"/>
                <w:szCs w:val="20"/>
                <w:vertAlign w:val="superscript"/>
                <w:lang w:val="en-US"/>
              </w:rPr>
              <w:t>2</w:t>
            </w:r>
            <w:r w:rsidRPr="004B7EF4">
              <w:rPr>
                <w:sz w:val="20"/>
                <w:szCs w:val="20"/>
                <w:lang w:val="en-US"/>
              </w:rPr>
              <w:t>)</w:t>
            </w:r>
            <w:r>
              <w:rPr>
                <w:sz w:val="20"/>
                <w:szCs w:val="20"/>
                <w:lang w:val="en-US"/>
              </w:rPr>
              <w:t>; static</w:t>
            </w:r>
          </w:p>
        </w:tc>
        <w:tc>
          <w:tcPr>
            <w:tcW w:w="2280" w:type="dxa"/>
            <w:tcBorders>
              <w:right w:val="single" w:sz="12" w:space="0" w:color="auto"/>
            </w:tcBorders>
            <w:shd w:val="clear" w:color="auto" w:fill="C0C0C0"/>
            <w:vAlign w:val="center"/>
          </w:tcPr>
          <w:p w:rsidR="001D41E2" w:rsidRDefault="001D41E2" w:rsidP="001130ED">
            <w:pPr>
              <w:pStyle w:val="NormalWeb"/>
              <w:spacing w:beforeLines="60" w:beforeAutospacing="0" w:afterLines="60" w:afterAutospacing="0"/>
              <w:ind w:left="255"/>
              <w:rPr>
                <w:sz w:val="20"/>
                <w:szCs w:val="20"/>
                <w:lang w:val="en-US"/>
              </w:rPr>
            </w:pPr>
            <w:r w:rsidRPr="004B7EF4">
              <w:rPr>
                <w:lang w:val="en-US"/>
              </w:rPr>
              <w:t> </w:t>
            </w:r>
            <w:r w:rsidRPr="004B7EF4">
              <w:rPr>
                <w:sz w:val="20"/>
                <w:szCs w:val="20"/>
                <w:lang w:val="en-US"/>
              </w:rPr>
              <w:t>Cowgill &amp; Milazzo, 1991; OECD, 2005</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Ip</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Daphnia magna</w:t>
            </w:r>
          </w:p>
        </w:tc>
        <w:tc>
          <w:tcPr>
            <w:tcW w:w="3840" w:type="dxa"/>
            <w:tcBorders>
              <w:top w:val="nil"/>
            </w:tcBorders>
            <w:shd w:val="clear" w:color="auto" w:fill="C0C0C0"/>
            <w:vAlign w:val="center"/>
          </w:tcPr>
          <w:p w:rsidR="001D41E2"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 xml:space="preserve">NOEC (21 d) = 30 mg/L (nominal </w:t>
            </w:r>
            <w:r w:rsidRPr="004B7EF4">
              <w:rPr>
                <w:sz w:val="20"/>
                <w:szCs w:val="20"/>
                <w:vertAlign w:val="superscript"/>
                <w:lang w:val="en-US"/>
              </w:rPr>
              <w:t>2</w:t>
            </w:r>
            <w:r w:rsidRPr="004B7EF4">
              <w:rPr>
                <w:sz w:val="20"/>
                <w:szCs w:val="20"/>
                <w:lang w:val="en-US"/>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rFonts w:ascii="Times New Roman Bold" w:hAnsi="Times New Roman Bold" w:cs="Times New Roman Bold"/>
                <w:b/>
                <w:bCs/>
                <w:sz w:val="20"/>
                <w:szCs w:val="20"/>
                <w:lang w:val="en-US"/>
              </w:rPr>
            </w:pPr>
            <w:r w:rsidRPr="004B7EF4">
              <w:rPr>
                <w:sz w:val="20"/>
                <w:szCs w:val="20"/>
                <w:lang w:val="en-US"/>
              </w:rPr>
              <w:t>OECD, 2000</w:t>
            </w:r>
          </w:p>
        </w:tc>
      </w:tr>
      <w:tr w:rsidR="001D41E2" w:rsidRPr="004B7EF4" w:rsidTr="00361759">
        <w:trPr>
          <w:trHeight w:val="397"/>
        </w:trPr>
        <w:tc>
          <w:tcPr>
            <w:tcW w:w="9708" w:type="dxa"/>
            <w:gridSpan w:val="4"/>
            <w:tcBorders>
              <w:top w:val="single" w:sz="12" w:space="0" w:color="auto"/>
              <w:left w:val="single" w:sz="12" w:space="0" w:color="auto"/>
              <w:right w:val="single" w:sz="12" w:space="0" w:color="auto"/>
            </w:tcBorders>
            <w:vAlign w:val="center"/>
          </w:tcPr>
          <w:p w:rsidR="001D41E2" w:rsidRDefault="001D41E2" w:rsidP="001130ED">
            <w:pPr>
              <w:pStyle w:val="Tabletext"/>
              <w:spacing w:beforeLines="60" w:afterLines="60"/>
              <w:ind w:left="255"/>
              <w:jc w:val="center"/>
            </w:pPr>
            <w:r w:rsidRPr="004B7EF4">
              <w:rPr>
                <w:b/>
                <w:bCs/>
              </w:rPr>
              <w:t>Aquatic plants</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Me</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rFonts w:ascii="Times New Roman Bold" w:hAnsi="Times New Roman Bold" w:cs="Times New Roman Bold"/>
                <w:b/>
                <w:bCs/>
                <w:i/>
                <w:iCs/>
                <w:sz w:val="20"/>
                <w:szCs w:val="20"/>
                <w:lang w:val="en-US"/>
              </w:rPr>
            </w:pPr>
            <w:r w:rsidRPr="004B7EF4">
              <w:rPr>
                <w:i/>
                <w:iCs/>
                <w:sz w:val="20"/>
                <w:szCs w:val="20"/>
                <w:lang w:val="en-US"/>
              </w:rPr>
              <w:t>Chlorella pyrenoidosa</w:t>
            </w:r>
          </w:p>
        </w:tc>
        <w:tc>
          <w:tcPr>
            <w:tcW w:w="3840" w:type="dxa"/>
            <w:tcBorders>
              <w:top w:val="nil"/>
            </w:tcBorders>
            <w:shd w:val="clear" w:color="auto" w:fill="C0C0C0"/>
            <w:vAlign w:val="center"/>
          </w:tcPr>
          <w:p w:rsidR="001D41E2" w:rsidRDefault="001D41E2" w:rsidP="001130ED">
            <w:pPr>
              <w:pStyle w:val="Tabletext"/>
              <w:spacing w:beforeLines="60" w:afterLines="60"/>
              <w:jc w:val="center"/>
            </w:pPr>
            <w:r w:rsidRPr="004B7EF4">
              <w:t>EC</w:t>
            </w:r>
            <w:r w:rsidRPr="004B7EF4">
              <w:rPr>
                <w:vertAlign w:val="subscript"/>
              </w:rPr>
              <w:t>50</w:t>
            </w:r>
            <w:r w:rsidRPr="004B7EF4">
              <w:t xml:space="preserve"> (10–14d) =  28440 mg/L </w:t>
            </w:r>
            <w:r w:rsidRPr="004B7EF4">
              <w:br/>
              <w:t xml:space="preserve">(nominal </w:t>
            </w:r>
            <w:r w:rsidRPr="004B7EF4">
              <w:rPr>
                <w:vertAlign w:val="superscript"/>
              </w:rPr>
              <w:t>2</w:t>
            </w:r>
            <w:r w:rsidRPr="004B7EF4">
              <w:t>)</w:t>
            </w:r>
          </w:p>
        </w:tc>
        <w:tc>
          <w:tcPr>
            <w:tcW w:w="2280" w:type="dxa"/>
            <w:tcBorders>
              <w:top w:val="nil"/>
              <w:right w:val="single" w:sz="12" w:space="0" w:color="auto"/>
            </w:tcBorders>
            <w:shd w:val="clear" w:color="auto" w:fill="C0C0C0"/>
            <w:vAlign w:val="center"/>
          </w:tcPr>
          <w:p w:rsidR="009D5214" w:rsidRDefault="001D41E2" w:rsidP="001130ED">
            <w:pPr>
              <w:pStyle w:val="Tabletext"/>
              <w:spacing w:beforeLines="60" w:afterLines="60"/>
              <w:ind w:left="255"/>
              <w:rPr>
                <w:rFonts w:ascii="Times New Roman Bold" w:hAnsi="Times New Roman Bold" w:cs="Times New Roman Bold"/>
                <w:b/>
                <w:bCs/>
                <w:sz w:val="24"/>
                <w:szCs w:val="24"/>
                <w:lang w:val="en-GB"/>
              </w:rPr>
            </w:pPr>
            <w:r w:rsidRPr="004B7EF4">
              <w:t>OECD, 2004a</w:t>
            </w:r>
          </w:p>
        </w:tc>
      </w:tr>
      <w:tr w:rsidR="001D41E2" w:rsidRPr="004B7EF4" w:rsidTr="00361759">
        <w:trPr>
          <w:trHeight w:val="567"/>
        </w:trPr>
        <w:tc>
          <w:tcPr>
            <w:tcW w:w="1908" w:type="dxa"/>
            <w:tcBorders>
              <w:left w:val="single" w:sz="12" w:space="0" w:color="auto"/>
            </w:tcBorders>
            <w:shd w:val="clear" w:color="auto" w:fill="C0C0C0"/>
            <w:vAlign w:val="center"/>
          </w:tcPr>
          <w:p w:rsidR="001D41E2" w:rsidRDefault="001D41E2" w:rsidP="001130ED">
            <w:pPr>
              <w:pStyle w:val="Tabletext"/>
              <w:spacing w:beforeLines="60" w:afterLines="60"/>
              <w:ind w:left="424"/>
            </w:pPr>
            <w:r w:rsidRPr="004B7EF4">
              <w:t>Et</w:t>
            </w:r>
          </w:p>
        </w:tc>
        <w:tc>
          <w:tcPr>
            <w:tcW w:w="1680" w:type="dxa"/>
            <w:shd w:val="clear" w:color="auto" w:fill="C0C0C0"/>
            <w:vAlign w:val="center"/>
          </w:tcPr>
          <w:p w:rsidR="009D5214" w:rsidRDefault="007D3E3E" w:rsidP="001130ED">
            <w:pPr>
              <w:spacing w:beforeLines="60" w:afterLines="60"/>
              <w:jc w:val="center"/>
              <w:rPr>
                <w:i/>
                <w:iCs/>
                <w:sz w:val="20"/>
                <w:szCs w:val="20"/>
              </w:rPr>
            </w:pPr>
            <w:r w:rsidRPr="007D3E3E">
              <w:rPr>
                <w:i/>
                <w:iCs/>
                <w:sz w:val="20"/>
                <w:szCs w:val="20"/>
              </w:rPr>
              <w:t>Chlorella vulgaris</w:t>
            </w:r>
          </w:p>
          <w:p w:rsidR="009D5214" w:rsidRDefault="007D3E3E" w:rsidP="001130ED">
            <w:pPr>
              <w:spacing w:beforeLines="60" w:afterLines="60"/>
              <w:jc w:val="center"/>
              <w:rPr>
                <w:i/>
                <w:iCs/>
                <w:sz w:val="20"/>
                <w:szCs w:val="20"/>
              </w:rPr>
            </w:pPr>
            <w:r w:rsidRPr="007D3E3E">
              <w:rPr>
                <w:i/>
                <w:iCs/>
                <w:sz w:val="20"/>
                <w:szCs w:val="20"/>
              </w:rPr>
              <w:t xml:space="preserve">Lemna gibba </w:t>
            </w:r>
            <w:r w:rsidRPr="007D3E3E">
              <w:rPr>
                <w:sz w:val="20"/>
                <w:szCs w:val="20"/>
              </w:rPr>
              <w:t>(aquatic plant)</w:t>
            </w:r>
          </w:p>
        </w:tc>
        <w:tc>
          <w:tcPr>
            <w:tcW w:w="3840" w:type="dxa"/>
            <w:shd w:val="clear" w:color="auto" w:fill="C0C0C0"/>
            <w:vAlign w:val="center"/>
          </w:tcPr>
          <w:p w:rsidR="009D5214" w:rsidRDefault="007D3E3E" w:rsidP="009D5214">
            <w:pPr>
              <w:pStyle w:val="NormalWeb"/>
              <w:spacing w:before="144" w:beforeAutospacing="0" w:after="144" w:afterAutospacing="0"/>
              <w:contextualSpacing/>
              <w:jc w:val="center"/>
              <w:rPr>
                <w:rFonts w:ascii="Times New Roman Bold" w:hAnsi="Times New Roman Bold" w:cs="Times New Roman Bold"/>
                <w:b/>
                <w:bCs/>
                <w:sz w:val="20"/>
                <w:szCs w:val="20"/>
                <w:lang w:val="pt-BR"/>
              </w:rPr>
            </w:pPr>
            <w:r w:rsidRPr="007D3E3E">
              <w:rPr>
                <w:sz w:val="20"/>
                <w:szCs w:val="20"/>
                <w:lang w:val="pt-BR"/>
              </w:rPr>
              <w:t>EC</w:t>
            </w:r>
            <w:r w:rsidRPr="007D3E3E">
              <w:rPr>
                <w:sz w:val="20"/>
                <w:szCs w:val="20"/>
                <w:vertAlign w:val="subscript"/>
                <w:lang w:val="pt-BR"/>
              </w:rPr>
              <w:t>50</w:t>
            </w:r>
            <w:r w:rsidRPr="007D3E3E">
              <w:rPr>
                <w:sz w:val="20"/>
                <w:szCs w:val="20"/>
                <w:lang w:val="pt-BR"/>
              </w:rPr>
              <w:t xml:space="preserve"> (96 h) = 1000 </w:t>
            </w:r>
            <w:proofErr w:type="gramStart"/>
            <w:r w:rsidRPr="007D3E3E">
              <w:rPr>
                <w:sz w:val="20"/>
                <w:szCs w:val="20"/>
                <w:lang w:val="pt-BR"/>
              </w:rPr>
              <w:t>mg</w:t>
            </w:r>
            <w:proofErr w:type="gramEnd"/>
            <w:r w:rsidRPr="007D3E3E">
              <w:rPr>
                <w:sz w:val="20"/>
                <w:szCs w:val="20"/>
                <w:lang w:val="pt-BR"/>
              </w:rPr>
              <w:t xml:space="preserve">/L, </w:t>
            </w:r>
            <w:r w:rsidR="001D41E2" w:rsidRPr="000E50F6">
              <w:rPr>
                <w:sz w:val="20"/>
                <w:szCs w:val="20"/>
                <w:lang w:val="pt-BR"/>
              </w:rPr>
              <w:br/>
            </w:r>
            <w:r w:rsidRPr="007D3E3E">
              <w:rPr>
                <w:sz w:val="20"/>
                <w:szCs w:val="20"/>
                <w:lang w:val="pt-BR"/>
              </w:rPr>
              <w:t xml:space="preserve">NOEC (96 h) </w:t>
            </w:r>
            <w:r w:rsidR="005A7522">
              <w:rPr>
                <w:sz w:val="20"/>
                <w:szCs w:val="20"/>
                <w:lang w:val="pt-BR"/>
              </w:rPr>
              <w:t xml:space="preserve"> is not estalblished</w:t>
            </w:r>
          </w:p>
          <w:p w:rsidR="009D5214" w:rsidRDefault="005A7522" w:rsidP="009D5214">
            <w:pPr>
              <w:pStyle w:val="NormalWeb"/>
              <w:spacing w:before="144" w:beforeAutospacing="0" w:after="144" w:afterAutospacing="0"/>
              <w:contextualSpacing/>
              <w:jc w:val="center"/>
              <w:rPr>
                <w:sz w:val="20"/>
                <w:szCs w:val="20"/>
                <w:lang w:val="pt-BR"/>
              </w:rPr>
            </w:pPr>
            <w:r>
              <w:rPr>
                <w:sz w:val="20"/>
                <w:szCs w:val="20"/>
                <w:lang w:val="pt-BR"/>
              </w:rPr>
              <w:t>LOEC =</w:t>
            </w:r>
            <w:r w:rsidR="007D3E3E" w:rsidRPr="007D3E3E">
              <w:rPr>
                <w:sz w:val="20"/>
                <w:szCs w:val="20"/>
                <w:lang w:val="pt-BR"/>
              </w:rPr>
              <w:t xml:space="preserve"> 500 </w:t>
            </w:r>
            <w:proofErr w:type="gramStart"/>
            <w:r w:rsidR="007D3E3E" w:rsidRPr="007D3E3E">
              <w:rPr>
                <w:sz w:val="20"/>
                <w:szCs w:val="20"/>
                <w:lang w:val="pt-BR"/>
              </w:rPr>
              <w:t>mg</w:t>
            </w:r>
            <w:proofErr w:type="gramEnd"/>
            <w:r w:rsidR="007D3E3E" w:rsidRPr="007D3E3E">
              <w:rPr>
                <w:sz w:val="20"/>
                <w:szCs w:val="20"/>
                <w:lang w:val="pt-BR"/>
              </w:rPr>
              <w:t xml:space="preserve">/L (nominal </w:t>
            </w:r>
            <w:r w:rsidR="007D3E3E" w:rsidRPr="007D3E3E">
              <w:rPr>
                <w:sz w:val="20"/>
                <w:szCs w:val="20"/>
                <w:vertAlign w:val="superscript"/>
                <w:lang w:val="pt-BR"/>
              </w:rPr>
              <w:t>2</w:t>
            </w:r>
            <w:r w:rsidR="007D3E3E" w:rsidRPr="007D3E3E">
              <w:rPr>
                <w:sz w:val="20"/>
                <w:szCs w:val="20"/>
                <w:lang w:val="pt-BR"/>
              </w:rPr>
              <w:t>)</w:t>
            </w:r>
          </w:p>
          <w:p w:rsidR="002D1355" w:rsidRPr="002D1355" w:rsidRDefault="007D3E3E" w:rsidP="001130ED">
            <w:pPr>
              <w:spacing w:beforeLines="60" w:afterLines="60"/>
              <w:jc w:val="center"/>
              <w:rPr>
                <w:sz w:val="20"/>
                <w:szCs w:val="20"/>
                <w:lang w:val="nl-NL"/>
              </w:rPr>
            </w:pPr>
            <w:r w:rsidRPr="007D3E3E">
              <w:rPr>
                <w:sz w:val="20"/>
                <w:szCs w:val="20"/>
                <w:lang w:val="nl-NL"/>
              </w:rPr>
              <w:t>E</w:t>
            </w:r>
            <w:r w:rsidRPr="007D3E3E">
              <w:rPr>
                <w:sz w:val="20"/>
                <w:szCs w:val="20"/>
                <w:vertAlign w:val="subscript"/>
                <w:lang w:val="nl-NL"/>
              </w:rPr>
              <w:t>r</w:t>
            </w:r>
            <w:r w:rsidRPr="007D3E3E">
              <w:rPr>
                <w:sz w:val="20"/>
                <w:szCs w:val="20"/>
                <w:lang w:val="nl-NL"/>
              </w:rPr>
              <w:t xml:space="preserve">C50 (7 d) </w:t>
            </w:r>
            <w:proofErr w:type="gramStart"/>
            <w:r w:rsidRPr="007D3E3E">
              <w:rPr>
                <w:sz w:val="20"/>
                <w:szCs w:val="20"/>
                <w:lang w:val="nl-NL"/>
              </w:rPr>
              <w:t xml:space="preserve">= </w:t>
            </w:r>
            <w:r w:rsidR="001D41E2" w:rsidRPr="000E50F6">
              <w:rPr>
                <w:sz w:val="20"/>
                <w:szCs w:val="20"/>
                <w:lang w:val="nl-NL"/>
              </w:rPr>
              <w:t> </w:t>
            </w:r>
            <w:proofErr w:type="gramEnd"/>
            <w:r w:rsidRPr="007D3E3E">
              <w:rPr>
                <w:sz w:val="20"/>
                <w:szCs w:val="20"/>
                <w:lang w:val="nl-NL"/>
              </w:rPr>
              <w:t xml:space="preserve">4432 mg/L, </w:t>
            </w:r>
            <w:r w:rsidR="001D41E2" w:rsidRPr="000E50F6">
              <w:rPr>
                <w:sz w:val="20"/>
                <w:szCs w:val="20"/>
                <w:lang w:val="nl-NL"/>
              </w:rPr>
              <w:br/>
            </w:r>
            <w:r w:rsidRPr="007D3E3E">
              <w:rPr>
                <w:sz w:val="20"/>
                <w:szCs w:val="20"/>
                <w:lang w:val="nl-NL"/>
              </w:rPr>
              <w:t xml:space="preserve">NOEC (7 d) = 280 mg/L (nominal </w:t>
            </w:r>
            <w:r w:rsidRPr="007D3E3E">
              <w:rPr>
                <w:sz w:val="20"/>
                <w:szCs w:val="20"/>
                <w:vertAlign w:val="superscript"/>
                <w:lang w:val="nl-NL"/>
              </w:rPr>
              <w:t>2</w:t>
            </w:r>
            <w:r w:rsidRPr="007D3E3E">
              <w:rPr>
                <w:sz w:val="20"/>
                <w:szCs w:val="20"/>
                <w:lang w:val="nl-NL"/>
              </w:rPr>
              <w:t>)</w:t>
            </w:r>
          </w:p>
        </w:tc>
        <w:tc>
          <w:tcPr>
            <w:tcW w:w="2280" w:type="dxa"/>
            <w:tcBorders>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2005</w:t>
            </w:r>
          </w:p>
          <w:p w:rsidR="009D5214" w:rsidRDefault="009D5214" w:rsidP="001130ED">
            <w:pPr>
              <w:pStyle w:val="NormalWeb"/>
              <w:spacing w:beforeLines="60" w:beforeAutospacing="0" w:afterLines="60" w:afterAutospacing="0"/>
              <w:ind w:left="255"/>
              <w:rPr>
                <w:sz w:val="20"/>
                <w:szCs w:val="20"/>
                <w:lang w:val="en-US"/>
              </w:rPr>
            </w:pPr>
          </w:p>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2005</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1D41E2" w:rsidRDefault="001D41E2" w:rsidP="001130ED">
            <w:pPr>
              <w:pStyle w:val="Tabletext"/>
              <w:spacing w:beforeLines="60" w:afterLines="60"/>
              <w:ind w:left="424"/>
            </w:pPr>
            <w:r w:rsidRPr="004B7EF4">
              <w:t>Pr</w:t>
            </w:r>
          </w:p>
        </w:tc>
        <w:tc>
          <w:tcPr>
            <w:tcW w:w="1680" w:type="dxa"/>
            <w:tcBorders>
              <w:top w:val="nil"/>
            </w:tcBorders>
            <w:shd w:val="clear" w:color="auto" w:fill="C0C0C0"/>
            <w:vAlign w:val="center"/>
          </w:tcPr>
          <w:p w:rsidR="009D5214" w:rsidRPr="009D5214" w:rsidRDefault="007D3E3E" w:rsidP="001130ED">
            <w:pPr>
              <w:pStyle w:val="NormalWeb"/>
              <w:spacing w:beforeLines="60" w:beforeAutospacing="0" w:afterLines="60" w:afterAutospacing="0"/>
              <w:jc w:val="center"/>
              <w:rPr>
                <w:i/>
                <w:iCs/>
                <w:sz w:val="20"/>
                <w:szCs w:val="20"/>
                <w:lang w:val="fr-FR"/>
              </w:rPr>
            </w:pPr>
            <w:r w:rsidRPr="009D5214">
              <w:rPr>
                <w:i/>
                <w:iCs/>
                <w:sz w:val="20"/>
                <w:szCs w:val="20"/>
                <w:lang w:val="fr-FR"/>
              </w:rPr>
              <w:t xml:space="preserve">Chlorella pyrenoidosa </w:t>
            </w:r>
          </w:p>
          <w:p w:rsidR="009D5214" w:rsidRPr="009D5214" w:rsidRDefault="007D3E3E" w:rsidP="001130ED">
            <w:pPr>
              <w:pStyle w:val="NormalWeb"/>
              <w:spacing w:beforeLines="60" w:beforeAutospacing="0" w:afterLines="60" w:afterAutospacing="0"/>
              <w:jc w:val="center"/>
              <w:rPr>
                <w:i/>
                <w:iCs/>
                <w:sz w:val="20"/>
                <w:szCs w:val="20"/>
                <w:lang w:val="fr-FR"/>
              </w:rPr>
            </w:pPr>
            <w:r w:rsidRPr="009D5214">
              <w:rPr>
                <w:i/>
                <w:iCs/>
                <w:sz w:val="20"/>
                <w:szCs w:val="20"/>
                <w:lang w:val="fr-FR"/>
              </w:rPr>
              <w:t>Pseudo-kirchneriella subcapitata</w:t>
            </w:r>
          </w:p>
        </w:tc>
        <w:tc>
          <w:tcPr>
            <w:tcW w:w="3840" w:type="dxa"/>
            <w:tcBorders>
              <w:top w:val="nil"/>
            </w:tcBorders>
            <w:shd w:val="clear" w:color="auto" w:fill="C0C0C0"/>
            <w:vAlign w:val="center"/>
          </w:tcPr>
          <w:p w:rsidR="009D5214" w:rsidRDefault="007D3E3E" w:rsidP="001130ED">
            <w:pPr>
              <w:spacing w:beforeLines="60" w:afterLines="60"/>
              <w:jc w:val="center"/>
              <w:rPr>
                <w:sz w:val="20"/>
                <w:szCs w:val="20"/>
                <w:lang w:val="pt-BR"/>
              </w:rPr>
            </w:pPr>
            <w:r w:rsidRPr="007D3E3E">
              <w:rPr>
                <w:sz w:val="20"/>
                <w:szCs w:val="20"/>
                <w:lang w:val="pt-BR"/>
              </w:rPr>
              <w:t>EC</w:t>
            </w:r>
            <w:r w:rsidRPr="007D3E3E">
              <w:rPr>
                <w:sz w:val="20"/>
                <w:szCs w:val="20"/>
                <w:vertAlign w:val="subscript"/>
                <w:lang w:val="pt-BR"/>
              </w:rPr>
              <w:t>50</w:t>
            </w:r>
            <w:r w:rsidRPr="007D3E3E">
              <w:rPr>
                <w:sz w:val="20"/>
                <w:szCs w:val="20"/>
                <w:lang w:val="pt-BR"/>
              </w:rPr>
              <w:t xml:space="preserve"> (48 h) &gt; 1150 </w:t>
            </w:r>
            <w:proofErr w:type="gramStart"/>
            <w:r w:rsidRPr="007D3E3E">
              <w:rPr>
                <w:sz w:val="20"/>
                <w:szCs w:val="20"/>
                <w:lang w:val="pt-BR"/>
              </w:rPr>
              <w:t>mg</w:t>
            </w:r>
            <w:proofErr w:type="gramEnd"/>
            <w:r w:rsidRPr="007D3E3E">
              <w:rPr>
                <w:sz w:val="20"/>
                <w:szCs w:val="20"/>
                <w:lang w:val="pt-BR"/>
              </w:rPr>
              <w:t xml:space="preserve">/L, </w:t>
            </w:r>
            <w:r w:rsidR="001D41E2" w:rsidRPr="000E50F6">
              <w:rPr>
                <w:sz w:val="20"/>
                <w:szCs w:val="20"/>
                <w:lang w:val="pt-BR"/>
              </w:rPr>
              <w:br/>
            </w:r>
            <w:r w:rsidRPr="007D3E3E">
              <w:rPr>
                <w:sz w:val="20"/>
                <w:szCs w:val="20"/>
                <w:lang w:val="pt-BR"/>
              </w:rPr>
              <w:t xml:space="preserve">NOEC (48 h) = 1150 mg/L (nominal </w:t>
            </w:r>
            <w:r w:rsidRPr="007D3E3E">
              <w:rPr>
                <w:sz w:val="20"/>
                <w:szCs w:val="20"/>
                <w:vertAlign w:val="superscript"/>
                <w:lang w:val="pt-BR"/>
              </w:rPr>
              <w:t>2</w:t>
            </w:r>
            <w:r w:rsidRPr="007D3E3E">
              <w:rPr>
                <w:sz w:val="20"/>
                <w:szCs w:val="20"/>
                <w:lang w:val="pt-BR"/>
              </w:rPr>
              <w:t>)</w:t>
            </w:r>
          </w:p>
          <w:p w:rsidR="009D5214" w:rsidRDefault="001D41E2" w:rsidP="001130ED">
            <w:pPr>
              <w:pStyle w:val="NormalWeb"/>
              <w:spacing w:beforeLines="60" w:beforeAutospacing="0" w:afterLines="60" w:afterAutospacing="0"/>
              <w:jc w:val="center"/>
              <w:rPr>
                <w:sz w:val="20"/>
                <w:szCs w:val="20"/>
                <w:lang w:val="pt-BR"/>
              </w:rPr>
            </w:pPr>
            <w:r w:rsidRPr="000E50F6">
              <w:rPr>
                <w:lang w:val="pt-BR"/>
              </w:rPr>
              <w:t> </w:t>
            </w:r>
            <w:r w:rsidR="007D3E3E" w:rsidRPr="007D3E3E">
              <w:rPr>
                <w:sz w:val="20"/>
                <w:szCs w:val="20"/>
                <w:lang w:val="pt-BR"/>
              </w:rPr>
              <w:t>EC</w:t>
            </w:r>
            <w:r w:rsidR="007D3E3E" w:rsidRPr="007D3E3E">
              <w:rPr>
                <w:sz w:val="20"/>
                <w:szCs w:val="20"/>
                <w:vertAlign w:val="subscript"/>
                <w:lang w:val="pt-BR"/>
              </w:rPr>
              <w:t>50</w:t>
            </w:r>
            <w:r w:rsidR="007D3E3E" w:rsidRPr="007D3E3E">
              <w:rPr>
                <w:sz w:val="20"/>
                <w:szCs w:val="20"/>
                <w:lang w:val="pt-BR"/>
              </w:rPr>
              <w:t xml:space="preserve"> (96 h) &gt; 2000 </w:t>
            </w:r>
            <w:proofErr w:type="gramStart"/>
            <w:r w:rsidR="007D3E3E" w:rsidRPr="007D3E3E">
              <w:rPr>
                <w:sz w:val="20"/>
                <w:szCs w:val="20"/>
                <w:lang w:val="pt-BR"/>
              </w:rPr>
              <w:t>mg</w:t>
            </w:r>
            <w:proofErr w:type="gramEnd"/>
            <w:r w:rsidR="007D3E3E" w:rsidRPr="007D3E3E">
              <w:rPr>
                <w:sz w:val="20"/>
                <w:szCs w:val="20"/>
                <w:lang w:val="pt-BR"/>
              </w:rPr>
              <w:t xml:space="preserve">/L, </w:t>
            </w:r>
            <w:r w:rsidRPr="000E50F6">
              <w:rPr>
                <w:sz w:val="20"/>
                <w:szCs w:val="20"/>
                <w:lang w:val="pt-BR"/>
              </w:rPr>
              <w:br/>
            </w:r>
            <w:r w:rsidR="007D3E3E" w:rsidRPr="007D3E3E">
              <w:rPr>
                <w:sz w:val="20"/>
                <w:szCs w:val="20"/>
                <w:lang w:val="pt-BR"/>
              </w:rPr>
              <w:t xml:space="preserve">NOEC (96 h) = 2000 mg/L (nominal </w:t>
            </w:r>
            <w:r w:rsidR="007D3E3E" w:rsidRPr="007D3E3E">
              <w:rPr>
                <w:sz w:val="20"/>
                <w:szCs w:val="20"/>
                <w:vertAlign w:val="superscript"/>
                <w:lang w:val="pt-BR"/>
              </w:rPr>
              <w:t>2</w:t>
            </w:r>
            <w:r w:rsidR="007D3E3E" w:rsidRPr="007D3E3E">
              <w:rPr>
                <w:sz w:val="20"/>
                <w:szCs w:val="20"/>
                <w:lang w:val="pt-BR"/>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EC, 2008</w:t>
            </w:r>
          </w:p>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EC, 2008</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9D5214" w:rsidRDefault="001D41E2" w:rsidP="001130ED">
            <w:pPr>
              <w:pStyle w:val="Tabletext"/>
              <w:spacing w:beforeLines="60" w:afterLines="60"/>
              <w:ind w:left="424"/>
              <w:rPr>
                <w:sz w:val="24"/>
                <w:szCs w:val="24"/>
              </w:rPr>
            </w:pPr>
            <w:r w:rsidRPr="004B7EF4">
              <w:t>Ip</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lang w:val="en-US"/>
              </w:rPr>
            </w:pPr>
            <w:r w:rsidRPr="004B7EF4">
              <w:rPr>
                <w:lang w:val="en-US"/>
              </w:rPr>
              <w:t> </w:t>
            </w:r>
            <w:r w:rsidRPr="004B7EF4">
              <w:rPr>
                <w:i/>
                <w:iCs/>
                <w:sz w:val="20"/>
                <w:szCs w:val="20"/>
                <w:lang w:val="en-US"/>
              </w:rPr>
              <w:t>Microcystis aeruginosa</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lang w:val="en-US"/>
              </w:rPr>
            </w:pPr>
            <w:r w:rsidRPr="004B7EF4">
              <w:rPr>
                <w:lang w:val="en-US"/>
              </w:rPr>
              <w:t> </w:t>
            </w:r>
            <w:r w:rsidRPr="004B7EF4">
              <w:rPr>
                <w:sz w:val="20"/>
                <w:szCs w:val="20"/>
                <w:lang w:val="en-US"/>
              </w:rPr>
              <w:t>EC</w:t>
            </w:r>
            <w:r w:rsidRPr="004B7EF4">
              <w:rPr>
                <w:sz w:val="20"/>
                <w:szCs w:val="20"/>
                <w:vertAlign w:val="subscript"/>
                <w:lang w:val="en-US"/>
              </w:rPr>
              <w:t>3</w:t>
            </w:r>
            <w:r w:rsidRPr="004B7EF4">
              <w:rPr>
                <w:sz w:val="20"/>
                <w:szCs w:val="20"/>
                <w:lang w:val="en-US"/>
              </w:rPr>
              <w:t xml:space="preserve"> (8 d) = 1000 mg/L (nominal </w:t>
            </w:r>
            <w:r w:rsidRPr="004B7EF4">
              <w:rPr>
                <w:sz w:val="20"/>
                <w:szCs w:val="20"/>
                <w:vertAlign w:val="superscript"/>
                <w:lang w:val="en-US"/>
              </w:rPr>
              <w:t>2</w:t>
            </w:r>
            <w:r w:rsidRPr="004B7EF4">
              <w:rPr>
                <w:sz w:val="20"/>
                <w:szCs w:val="20"/>
                <w:lang w:val="en-US"/>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 xml:space="preserve">OECD, 2000 </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9D5214" w:rsidRDefault="001D41E2" w:rsidP="001130ED">
            <w:pPr>
              <w:pStyle w:val="Tabletext"/>
              <w:spacing w:beforeLines="60" w:afterLines="60"/>
              <w:ind w:left="424"/>
              <w:rPr>
                <w:sz w:val="24"/>
                <w:szCs w:val="24"/>
              </w:rPr>
            </w:pPr>
            <w:r w:rsidRPr="004B7EF4">
              <w:t>Sb</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Scenedesmus quadricauda</w:t>
            </w:r>
          </w:p>
          <w:p w:rsidR="009D5214" w:rsidRDefault="001D41E2" w:rsidP="001130ED">
            <w:pPr>
              <w:pStyle w:val="NormalWeb"/>
              <w:spacing w:beforeLines="60" w:beforeAutospacing="0" w:afterLines="60" w:afterAutospacing="0"/>
              <w:jc w:val="center"/>
              <w:rPr>
                <w:i/>
                <w:iCs/>
                <w:lang w:val="en-US"/>
              </w:rPr>
            </w:pPr>
            <w:r w:rsidRPr="004B7EF4">
              <w:rPr>
                <w:lang w:val="en-US"/>
              </w:rPr>
              <w:t> </w:t>
            </w:r>
            <w:r w:rsidRPr="004B7EF4">
              <w:rPr>
                <w:i/>
                <w:iCs/>
                <w:sz w:val="20"/>
                <w:szCs w:val="20"/>
                <w:lang w:val="en-US"/>
              </w:rPr>
              <w:t xml:space="preserve">Microcystis aeruginosa </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sz w:val="20"/>
                <w:szCs w:val="20"/>
                <w:lang w:val="en-US"/>
              </w:rPr>
            </w:pPr>
            <w:r w:rsidRPr="004B7EF4">
              <w:rPr>
                <w:lang w:val="en-US"/>
              </w:rPr>
              <w:t> </w:t>
            </w:r>
            <w:r w:rsidRPr="004B7EF4">
              <w:rPr>
                <w:sz w:val="20"/>
                <w:szCs w:val="20"/>
                <w:lang w:val="en-US"/>
              </w:rPr>
              <w:t>EC</w:t>
            </w:r>
            <w:r w:rsidRPr="004B7EF4">
              <w:rPr>
                <w:sz w:val="20"/>
                <w:szCs w:val="20"/>
                <w:vertAlign w:val="subscript"/>
                <w:lang w:val="en-US"/>
              </w:rPr>
              <w:t>3</w:t>
            </w:r>
            <w:r w:rsidRPr="004B7EF4">
              <w:rPr>
                <w:sz w:val="20"/>
                <w:szCs w:val="20"/>
                <w:lang w:val="en-US"/>
              </w:rPr>
              <w:t xml:space="preserve"> (7 d) = 95 mg/L (nominal </w:t>
            </w:r>
            <w:r w:rsidRPr="004B7EF4">
              <w:rPr>
                <w:sz w:val="20"/>
                <w:szCs w:val="20"/>
                <w:vertAlign w:val="superscript"/>
                <w:lang w:val="en-US"/>
              </w:rPr>
              <w:t>2</w:t>
            </w:r>
            <w:r w:rsidRPr="004B7EF4">
              <w:rPr>
                <w:sz w:val="20"/>
                <w:szCs w:val="20"/>
                <w:lang w:val="en-US"/>
              </w:rPr>
              <w:t>)</w:t>
            </w:r>
            <w:r w:rsidRPr="004B7EF4">
              <w:rPr>
                <w:sz w:val="20"/>
                <w:szCs w:val="20"/>
                <w:lang w:val="en-US"/>
              </w:rPr>
              <w:br/>
            </w:r>
          </w:p>
          <w:p w:rsidR="009D5214" w:rsidRDefault="001D41E2" w:rsidP="001130ED">
            <w:pPr>
              <w:pStyle w:val="NormalWeb"/>
              <w:spacing w:beforeLines="60" w:beforeAutospacing="0" w:afterLines="60" w:afterAutospacing="0"/>
              <w:jc w:val="center"/>
              <w:rPr>
                <w:lang w:val="en-US"/>
              </w:rPr>
            </w:pPr>
            <w:r w:rsidRPr="004B7EF4">
              <w:rPr>
                <w:sz w:val="20"/>
                <w:szCs w:val="20"/>
                <w:lang w:val="en-US"/>
              </w:rPr>
              <w:t>EC</w:t>
            </w:r>
            <w:r w:rsidRPr="004B7EF4">
              <w:rPr>
                <w:sz w:val="20"/>
                <w:szCs w:val="20"/>
                <w:vertAlign w:val="subscript"/>
                <w:lang w:val="en-US"/>
              </w:rPr>
              <w:t>3</w:t>
            </w:r>
            <w:r w:rsidRPr="004B7EF4">
              <w:rPr>
                <w:sz w:val="20"/>
                <w:szCs w:val="20"/>
                <w:lang w:val="en-US"/>
              </w:rPr>
              <w:t xml:space="preserve"> (8 d) = 312 mg/L (nominal </w:t>
            </w:r>
            <w:r w:rsidRPr="004B7EF4">
              <w:rPr>
                <w:sz w:val="20"/>
                <w:szCs w:val="20"/>
                <w:vertAlign w:val="superscript"/>
                <w:lang w:val="en-US"/>
              </w:rPr>
              <w:t>2</w:t>
            </w:r>
            <w:r w:rsidRPr="004B7EF4">
              <w:rPr>
                <w:sz w:val="20"/>
                <w:szCs w:val="20"/>
                <w:lang w:val="en-US"/>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2002b</w:t>
            </w:r>
            <w:r w:rsidRPr="004B7EF4">
              <w:rPr>
                <w:sz w:val="20"/>
                <w:szCs w:val="20"/>
                <w:lang w:val="en-US"/>
              </w:rPr>
              <w:br/>
            </w:r>
          </w:p>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2002b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9D5214" w:rsidRDefault="001D41E2" w:rsidP="001130ED">
            <w:pPr>
              <w:pStyle w:val="Tabletext"/>
              <w:spacing w:beforeLines="60" w:afterLines="60"/>
              <w:ind w:left="424"/>
              <w:rPr>
                <w:sz w:val="24"/>
                <w:szCs w:val="24"/>
              </w:rPr>
            </w:pPr>
            <w:r w:rsidRPr="004B7EF4">
              <w:t>DEG</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i/>
                <w:iCs/>
                <w:lang w:val="en-US"/>
              </w:rPr>
            </w:pPr>
            <w:r w:rsidRPr="004B7EF4">
              <w:rPr>
                <w:lang w:val="en-US"/>
              </w:rPr>
              <w:t> </w:t>
            </w:r>
            <w:r w:rsidRPr="004B7EF4">
              <w:rPr>
                <w:i/>
                <w:iCs/>
                <w:sz w:val="20"/>
                <w:szCs w:val="20"/>
                <w:lang w:val="en-US"/>
              </w:rPr>
              <w:t>Scenedesmus quadricauda</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lang w:val="en-US"/>
              </w:rPr>
            </w:pPr>
            <w:r w:rsidRPr="004B7EF4">
              <w:rPr>
                <w:lang w:val="en-US"/>
              </w:rPr>
              <w:t> </w:t>
            </w:r>
            <w:r w:rsidRPr="004B7EF4">
              <w:rPr>
                <w:sz w:val="20"/>
                <w:szCs w:val="20"/>
                <w:lang w:val="en-US"/>
              </w:rPr>
              <w:t>EC</w:t>
            </w:r>
            <w:r w:rsidRPr="004B7EF4">
              <w:rPr>
                <w:sz w:val="20"/>
                <w:szCs w:val="20"/>
                <w:vertAlign w:val="subscript"/>
                <w:lang w:val="en-US"/>
              </w:rPr>
              <w:t>3</w:t>
            </w:r>
            <w:r w:rsidRPr="004B7EF4">
              <w:rPr>
                <w:sz w:val="20"/>
                <w:szCs w:val="20"/>
                <w:lang w:val="en-US"/>
              </w:rPr>
              <w:t xml:space="preserve"> (7 d) = 2700 mg/L (nominal </w:t>
            </w:r>
            <w:r w:rsidRPr="004B7EF4">
              <w:rPr>
                <w:sz w:val="20"/>
                <w:szCs w:val="20"/>
                <w:vertAlign w:val="superscript"/>
                <w:lang w:val="en-US"/>
              </w:rPr>
              <w:t>2</w:t>
            </w:r>
            <w:r w:rsidRPr="004B7EF4">
              <w:rPr>
                <w:sz w:val="20"/>
                <w:szCs w:val="20"/>
                <w:lang w:val="en-US"/>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OECD, 2004b</w:t>
            </w:r>
          </w:p>
        </w:tc>
      </w:tr>
      <w:tr w:rsidR="001D41E2" w:rsidRPr="004B7EF4" w:rsidTr="00361759">
        <w:trPr>
          <w:trHeight w:val="567"/>
        </w:trPr>
        <w:tc>
          <w:tcPr>
            <w:tcW w:w="1908" w:type="dxa"/>
            <w:tcBorders>
              <w:top w:val="nil"/>
              <w:left w:val="single" w:sz="12" w:space="0" w:color="auto"/>
            </w:tcBorders>
            <w:shd w:val="clear" w:color="auto" w:fill="C0C0C0"/>
            <w:vAlign w:val="center"/>
          </w:tcPr>
          <w:p w:rsidR="009D5214" w:rsidRDefault="001D41E2" w:rsidP="001130ED">
            <w:pPr>
              <w:pStyle w:val="Tabletext"/>
              <w:spacing w:beforeLines="60" w:afterLines="60"/>
              <w:ind w:left="424"/>
              <w:rPr>
                <w:sz w:val="24"/>
                <w:szCs w:val="24"/>
              </w:rPr>
            </w:pPr>
            <w:r w:rsidRPr="004B7EF4">
              <w:t>Eh</w:t>
            </w:r>
          </w:p>
        </w:tc>
        <w:tc>
          <w:tcPr>
            <w:tcW w:w="168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i/>
                <w:iCs/>
                <w:sz w:val="20"/>
                <w:szCs w:val="20"/>
                <w:lang w:val="en-US"/>
              </w:rPr>
            </w:pPr>
            <w:r w:rsidRPr="004B7EF4">
              <w:rPr>
                <w:lang w:val="en-US"/>
              </w:rPr>
              <w:t> </w:t>
            </w:r>
            <w:r w:rsidRPr="004B7EF4">
              <w:rPr>
                <w:i/>
                <w:iCs/>
                <w:sz w:val="20"/>
                <w:szCs w:val="20"/>
                <w:lang w:val="en-US"/>
              </w:rPr>
              <w:t>Pseudo-kirchneriella subcapitata</w:t>
            </w:r>
          </w:p>
          <w:p w:rsidR="009D5214" w:rsidRDefault="0028572C" w:rsidP="001130ED">
            <w:pPr>
              <w:pStyle w:val="NormalWeb"/>
              <w:spacing w:beforeLines="60" w:beforeAutospacing="0" w:afterLines="60" w:afterAutospacing="0"/>
              <w:jc w:val="center"/>
              <w:rPr>
                <w:i/>
                <w:iCs/>
                <w:color w:val="FFFF00"/>
                <w:sz w:val="20"/>
                <w:szCs w:val="20"/>
                <w:lang w:val="en-US"/>
              </w:rPr>
            </w:pPr>
            <w:r>
              <w:rPr>
                <w:i/>
                <w:iCs/>
                <w:sz w:val="20"/>
                <w:szCs w:val="20"/>
                <w:lang w:val="en-US"/>
              </w:rPr>
              <w:t>Scenedesmus subspicatus</w:t>
            </w:r>
          </w:p>
        </w:tc>
        <w:tc>
          <w:tcPr>
            <w:tcW w:w="3840" w:type="dxa"/>
            <w:tcBorders>
              <w:top w:val="nil"/>
            </w:tcBorders>
            <w:shd w:val="clear" w:color="auto" w:fill="C0C0C0"/>
            <w:vAlign w:val="center"/>
          </w:tcPr>
          <w:p w:rsidR="009D5214" w:rsidRDefault="001D41E2" w:rsidP="001130ED">
            <w:pPr>
              <w:pStyle w:val="NormalWeb"/>
              <w:spacing w:beforeLines="60" w:beforeAutospacing="0" w:afterLines="60" w:afterAutospacing="0"/>
              <w:jc w:val="center"/>
              <w:rPr>
                <w:sz w:val="20"/>
                <w:szCs w:val="20"/>
                <w:lang w:val="pt-PT"/>
              </w:rPr>
            </w:pPr>
            <w:r w:rsidRPr="005D3652">
              <w:rPr>
                <w:lang w:val="pt-PT"/>
              </w:rPr>
              <w:t> </w:t>
            </w:r>
            <w:r w:rsidRPr="005D3652">
              <w:rPr>
                <w:sz w:val="20"/>
                <w:szCs w:val="20"/>
                <w:lang w:val="pt-PT"/>
              </w:rPr>
              <w:t>EC</w:t>
            </w:r>
            <w:r w:rsidRPr="005D3652">
              <w:rPr>
                <w:sz w:val="20"/>
                <w:szCs w:val="20"/>
                <w:vertAlign w:val="subscript"/>
                <w:lang w:val="pt-PT"/>
              </w:rPr>
              <w:t>50</w:t>
            </w:r>
            <w:r w:rsidRPr="005D3652">
              <w:rPr>
                <w:sz w:val="20"/>
                <w:szCs w:val="20"/>
                <w:lang w:val="pt-PT"/>
              </w:rPr>
              <w:t xml:space="preserve"> (72 h) = 11.5 mg/L (nominal</w:t>
            </w:r>
            <w:r w:rsidRPr="005D3652">
              <w:rPr>
                <w:sz w:val="20"/>
                <w:szCs w:val="20"/>
                <w:vertAlign w:val="superscript"/>
                <w:lang w:val="pt-PT"/>
              </w:rPr>
              <w:t xml:space="preserve"> </w:t>
            </w:r>
            <w:r>
              <w:rPr>
                <w:sz w:val="20"/>
                <w:szCs w:val="20"/>
                <w:vertAlign w:val="superscript"/>
                <w:lang w:val="pt-PT"/>
              </w:rPr>
              <w:t>2</w:t>
            </w:r>
            <w:r w:rsidRPr="005D3652">
              <w:rPr>
                <w:sz w:val="20"/>
                <w:szCs w:val="20"/>
                <w:lang w:val="pt-PT"/>
              </w:rPr>
              <w:t>)</w:t>
            </w:r>
            <w:r w:rsidRPr="005D3652">
              <w:rPr>
                <w:sz w:val="20"/>
                <w:szCs w:val="20"/>
                <w:lang w:val="pt-PT"/>
              </w:rPr>
              <w:br/>
            </w:r>
            <w:r w:rsidRPr="005D3652">
              <w:rPr>
                <w:lang w:val="pt-PT"/>
              </w:rPr>
              <w:t> </w:t>
            </w:r>
            <w:r w:rsidRPr="005D3652">
              <w:rPr>
                <w:sz w:val="20"/>
                <w:szCs w:val="20"/>
                <w:lang w:val="pt-PT"/>
              </w:rPr>
              <w:t>EC</w:t>
            </w:r>
            <w:r w:rsidRPr="005D3652">
              <w:rPr>
                <w:sz w:val="20"/>
                <w:szCs w:val="20"/>
                <w:vertAlign w:val="subscript"/>
                <w:lang w:val="pt-PT"/>
              </w:rPr>
              <w:t>10</w:t>
            </w:r>
            <w:r w:rsidRPr="005D3652">
              <w:rPr>
                <w:sz w:val="20"/>
                <w:szCs w:val="20"/>
                <w:lang w:val="pt-PT"/>
              </w:rPr>
              <w:t xml:space="preserve"> (72 h) = 3.2 mg/L (nominal</w:t>
            </w:r>
            <w:r w:rsidRPr="005D3652">
              <w:rPr>
                <w:sz w:val="20"/>
                <w:szCs w:val="20"/>
                <w:vertAlign w:val="superscript"/>
                <w:lang w:val="pt-PT"/>
              </w:rPr>
              <w:t xml:space="preserve"> </w:t>
            </w:r>
            <w:r>
              <w:rPr>
                <w:sz w:val="20"/>
                <w:szCs w:val="20"/>
                <w:vertAlign w:val="superscript"/>
                <w:lang w:val="pt-PT"/>
              </w:rPr>
              <w:t>2</w:t>
            </w:r>
            <w:r w:rsidRPr="005D3652">
              <w:rPr>
                <w:sz w:val="20"/>
                <w:szCs w:val="20"/>
                <w:lang w:val="pt-PT"/>
              </w:rPr>
              <w:t>)</w:t>
            </w:r>
          </w:p>
          <w:p w:rsidR="009D5214" w:rsidRDefault="0028572C" w:rsidP="001130ED">
            <w:pPr>
              <w:pStyle w:val="NormalWeb"/>
              <w:spacing w:beforeLines="60" w:beforeAutospacing="0" w:afterLines="60" w:afterAutospacing="0"/>
              <w:jc w:val="center"/>
              <w:rPr>
                <w:color w:val="FFFF00"/>
                <w:sz w:val="20"/>
                <w:szCs w:val="20"/>
                <w:lang w:val="pt-PT"/>
              </w:rPr>
            </w:pPr>
            <w:r>
              <w:rPr>
                <w:sz w:val="20"/>
                <w:szCs w:val="20"/>
                <w:lang w:val="pt-PT"/>
              </w:rPr>
              <w:t>EC</w:t>
            </w:r>
            <w:r w:rsidR="007D3E3E" w:rsidRPr="007D3E3E">
              <w:rPr>
                <w:sz w:val="20"/>
                <w:szCs w:val="20"/>
                <w:vertAlign w:val="subscript"/>
                <w:lang w:val="pt-PT"/>
              </w:rPr>
              <w:t>50</w:t>
            </w:r>
            <w:r>
              <w:rPr>
                <w:sz w:val="20"/>
                <w:szCs w:val="20"/>
                <w:lang w:val="pt-PT"/>
              </w:rPr>
              <w:t xml:space="preserve"> (72 h) = 13.3 mg/</w:t>
            </w:r>
            <w:proofErr w:type="gramStart"/>
            <w:r>
              <w:rPr>
                <w:sz w:val="20"/>
                <w:szCs w:val="20"/>
                <w:lang w:val="pt-PT"/>
              </w:rPr>
              <w:t>L  (nominal</w:t>
            </w:r>
            <w:r w:rsidR="007D3E3E" w:rsidRPr="007D3E3E">
              <w:rPr>
                <w:sz w:val="20"/>
                <w:szCs w:val="20"/>
                <w:vertAlign w:val="superscript"/>
                <w:lang w:val="pt-PT"/>
              </w:rPr>
              <w:t>2</w:t>
            </w:r>
            <w:proofErr w:type="gramEnd"/>
            <w:r>
              <w:rPr>
                <w:sz w:val="20"/>
                <w:szCs w:val="20"/>
                <w:lang w:val="pt-PT"/>
              </w:rPr>
              <w:t>)</w:t>
            </w:r>
          </w:p>
        </w:tc>
        <w:tc>
          <w:tcPr>
            <w:tcW w:w="2280" w:type="dxa"/>
            <w:tcBorders>
              <w:top w:val="nil"/>
              <w:right w:val="single" w:sz="12" w:space="0" w:color="auto"/>
            </w:tcBorders>
            <w:shd w:val="clear" w:color="auto" w:fill="C0C0C0"/>
            <w:vAlign w:val="center"/>
          </w:tcPr>
          <w:p w:rsidR="009D5214" w:rsidRDefault="001D41E2" w:rsidP="001130ED">
            <w:pPr>
              <w:pStyle w:val="NormalWeb"/>
              <w:spacing w:beforeLines="60" w:beforeAutospacing="0" w:afterLines="60" w:afterAutospacing="0"/>
              <w:ind w:left="255"/>
              <w:rPr>
                <w:sz w:val="20"/>
                <w:szCs w:val="20"/>
                <w:lang w:val="en-US"/>
              </w:rPr>
            </w:pPr>
            <w:r w:rsidRPr="004B7EF4">
              <w:rPr>
                <w:sz w:val="20"/>
                <w:szCs w:val="20"/>
                <w:lang w:val="en-US"/>
              </w:rPr>
              <w:t>ECB, 2000</w:t>
            </w:r>
          </w:p>
        </w:tc>
      </w:tr>
      <w:tr w:rsidR="001D41E2" w:rsidRPr="004B7EF4" w:rsidTr="00361759">
        <w:trPr>
          <w:trHeight w:val="1050"/>
        </w:trPr>
        <w:tc>
          <w:tcPr>
            <w:tcW w:w="1908" w:type="dxa"/>
            <w:tcBorders>
              <w:left w:val="single" w:sz="12" w:space="0" w:color="auto"/>
            </w:tcBorders>
            <w:shd w:val="clear" w:color="auto" w:fill="808080"/>
            <w:vAlign w:val="center"/>
          </w:tcPr>
          <w:p w:rsidR="009D5214" w:rsidRDefault="001D41E2" w:rsidP="001130ED">
            <w:pPr>
              <w:pStyle w:val="Tabletext"/>
              <w:spacing w:beforeLines="60" w:afterLines="60"/>
              <w:ind w:left="424"/>
              <w:rPr>
                <w:sz w:val="24"/>
                <w:szCs w:val="24"/>
              </w:rPr>
            </w:pPr>
            <w:r w:rsidRPr="004B7EF4">
              <w:t>HCl</w:t>
            </w:r>
          </w:p>
        </w:tc>
        <w:tc>
          <w:tcPr>
            <w:tcW w:w="1680" w:type="dxa"/>
            <w:shd w:val="clear" w:color="auto" w:fill="808080"/>
            <w:vAlign w:val="center"/>
          </w:tcPr>
          <w:p w:rsidR="009D5214" w:rsidRDefault="001D41E2" w:rsidP="001130ED">
            <w:pPr>
              <w:pStyle w:val="Tabletext"/>
              <w:spacing w:beforeLines="60" w:afterLines="60"/>
              <w:jc w:val="center"/>
              <w:rPr>
                <w:i/>
                <w:iCs/>
                <w:sz w:val="24"/>
                <w:szCs w:val="24"/>
              </w:rPr>
            </w:pPr>
            <w:r w:rsidRPr="000E50F6">
              <w:rPr>
                <w:i/>
                <w:iCs/>
              </w:rPr>
              <w:t>  </w:t>
            </w:r>
            <w:r w:rsidR="007D3E3E" w:rsidRPr="007D3E3E">
              <w:rPr>
                <w:i/>
                <w:iCs/>
              </w:rPr>
              <w:t>Selenastrum capricornutum</w:t>
            </w:r>
          </w:p>
        </w:tc>
        <w:tc>
          <w:tcPr>
            <w:tcW w:w="3840" w:type="dxa"/>
            <w:shd w:val="clear" w:color="auto" w:fill="808080"/>
            <w:vAlign w:val="center"/>
          </w:tcPr>
          <w:p w:rsidR="009D5214"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EC</w:t>
            </w:r>
            <w:r w:rsidRPr="004B7EF4">
              <w:rPr>
                <w:sz w:val="20"/>
                <w:szCs w:val="20"/>
                <w:vertAlign w:val="subscript"/>
                <w:lang w:val="en-US"/>
              </w:rPr>
              <w:t>50</w:t>
            </w:r>
            <w:r w:rsidRPr="004B7EF4">
              <w:rPr>
                <w:sz w:val="20"/>
                <w:szCs w:val="20"/>
                <w:lang w:val="en-US"/>
              </w:rPr>
              <w:t xml:space="preserve"> (72 h) = 0.492 mg/L (acid equivalent to pH 5.3, measured)</w:t>
            </w:r>
            <w:r>
              <w:rPr>
                <w:sz w:val="20"/>
                <w:szCs w:val="20"/>
                <w:lang w:val="en-US"/>
              </w:rPr>
              <w:t xml:space="preserve"> based on growth rate</w:t>
            </w:r>
          </w:p>
          <w:p w:rsidR="009D5214"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EC</w:t>
            </w:r>
            <w:r w:rsidRPr="004B7EF4">
              <w:rPr>
                <w:sz w:val="20"/>
                <w:szCs w:val="20"/>
                <w:vertAlign w:val="subscript"/>
                <w:lang w:val="en-US"/>
              </w:rPr>
              <w:t>50</w:t>
            </w:r>
            <w:r w:rsidRPr="004B7EF4">
              <w:rPr>
                <w:sz w:val="20"/>
                <w:szCs w:val="20"/>
                <w:lang w:val="en-US"/>
              </w:rPr>
              <w:t xml:space="preserve"> (72 h) = 0.</w:t>
            </w:r>
            <w:r>
              <w:rPr>
                <w:sz w:val="20"/>
                <w:szCs w:val="20"/>
                <w:lang w:val="en-US"/>
              </w:rPr>
              <w:t>780</w:t>
            </w:r>
            <w:r w:rsidRPr="004B7EF4">
              <w:rPr>
                <w:sz w:val="20"/>
                <w:szCs w:val="20"/>
                <w:lang w:val="en-US"/>
              </w:rPr>
              <w:t xml:space="preserve"> mg/L (acid equivalent to pH 5.</w:t>
            </w:r>
            <w:r>
              <w:rPr>
                <w:sz w:val="20"/>
                <w:szCs w:val="20"/>
                <w:lang w:val="en-US"/>
              </w:rPr>
              <w:t>1</w:t>
            </w:r>
            <w:r w:rsidRPr="004B7EF4">
              <w:rPr>
                <w:sz w:val="20"/>
                <w:szCs w:val="20"/>
                <w:lang w:val="en-US"/>
              </w:rPr>
              <w:t>, measured)</w:t>
            </w:r>
            <w:r>
              <w:rPr>
                <w:sz w:val="20"/>
                <w:szCs w:val="20"/>
                <w:lang w:val="en-US"/>
              </w:rPr>
              <w:t xml:space="preserve"> based on biomass</w:t>
            </w:r>
            <w:r w:rsidRPr="004B7EF4">
              <w:rPr>
                <w:sz w:val="20"/>
                <w:szCs w:val="20"/>
                <w:lang w:val="en-US"/>
              </w:rPr>
              <w:br/>
            </w:r>
            <w:r w:rsidRPr="004B7EF4">
              <w:rPr>
                <w:sz w:val="20"/>
                <w:szCs w:val="20"/>
                <w:lang w:val="en-US"/>
              </w:rPr>
              <w:br/>
            </w:r>
            <w:r w:rsidRPr="004B7EF4">
              <w:rPr>
                <w:lang w:val="en-US"/>
              </w:rPr>
              <w:t> </w:t>
            </w:r>
            <w:r w:rsidRPr="004B7EF4">
              <w:rPr>
                <w:sz w:val="20"/>
                <w:szCs w:val="20"/>
                <w:lang w:val="en-US"/>
              </w:rPr>
              <w:t>NOEC (72 h) = 0.097 mg/L (acid equivalent to pH 6.0; measured)</w:t>
            </w:r>
          </w:p>
        </w:tc>
        <w:tc>
          <w:tcPr>
            <w:tcW w:w="2280" w:type="dxa"/>
            <w:tcBorders>
              <w:bottom w:val="single" w:sz="12" w:space="0" w:color="auto"/>
              <w:right w:val="single" w:sz="12" w:space="0" w:color="auto"/>
            </w:tcBorders>
            <w:shd w:val="clear" w:color="auto" w:fill="808080"/>
            <w:vAlign w:val="center"/>
          </w:tcPr>
          <w:p w:rsidR="009D5214" w:rsidRDefault="001D41E2" w:rsidP="001130ED">
            <w:pPr>
              <w:pStyle w:val="Tabletext"/>
              <w:spacing w:beforeLines="60" w:afterLines="60"/>
              <w:ind w:left="255"/>
              <w:rPr>
                <w:sz w:val="24"/>
                <w:szCs w:val="24"/>
              </w:rPr>
            </w:pPr>
            <w:r w:rsidRPr="004B7EF4">
              <w:t>OECD, 2002a</w:t>
            </w:r>
          </w:p>
        </w:tc>
      </w:tr>
      <w:tr w:rsidR="001D41E2" w:rsidRPr="004B7EF4" w:rsidTr="00361759">
        <w:trPr>
          <w:trHeight w:val="567"/>
        </w:trPr>
        <w:tc>
          <w:tcPr>
            <w:tcW w:w="9708" w:type="dxa"/>
            <w:gridSpan w:val="4"/>
            <w:tcBorders>
              <w:top w:val="single" w:sz="12" w:space="0" w:color="auto"/>
              <w:left w:val="single" w:sz="12" w:space="0" w:color="auto"/>
              <w:right w:val="single" w:sz="12" w:space="0" w:color="auto"/>
            </w:tcBorders>
            <w:vAlign w:val="center"/>
          </w:tcPr>
          <w:p w:rsidR="009D5214" w:rsidRDefault="001D41E2" w:rsidP="001130ED">
            <w:pPr>
              <w:pStyle w:val="Tabletext"/>
              <w:spacing w:beforeLines="60" w:afterLines="60"/>
              <w:ind w:left="255"/>
              <w:rPr>
                <w:sz w:val="24"/>
                <w:szCs w:val="24"/>
              </w:rPr>
            </w:pPr>
            <w:r>
              <w:rPr>
                <w:b/>
                <w:bCs/>
              </w:rPr>
              <w:t>Microorganisms</w:t>
            </w:r>
          </w:p>
        </w:tc>
      </w:tr>
      <w:tr w:rsidR="001D41E2" w:rsidRPr="004B7EF4" w:rsidTr="00361759">
        <w:trPr>
          <w:trHeight w:val="567"/>
        </w:trPr>
        <w:tc>
          <w:tcPr>
            <w:tcW w:w="1908" w:type="dxa"/>
            <w:tcBorders>
              <w:left w:val="single" w:sz="12" w:space="0" w:color="auto"/>
            </w:tcBorders>
            <w:shd w:val="clear" w:color="auto" w:fill="A0A0A0"/>
            <w:vAlign w:val="center"/>
          </w:tcPr>
          <w:p w:rsidR="009D5214" w:rsidRDefault="001D41E2" w:rsidP="001130ED">
            <w:pPr>
              <w:pStyle w:val="Tabletext"/>
              <w:spacing w:beforeLines="60" w:afterLines="60"/>
              <w:ind w:left="424"/>
              <w:rPr>
                <w:sz w:val="24"/>
                <w:szCs w:val="24"/>
              </w:rPr>
            </w:pPr>
            <w:r>
              <w:t>MeCF hydrolysate</w:t>
            </w:r>
          </w:p>
        </w:tc>
        <w:tc>
          <w:tcPr>
            <w:tcW w:w="1680" w:type="dxa"/>
            <w:shd w:val="clear" w:color="auto" w:fill="A0A0A0"/>
            <w:vAlign w:val="center"/>
          </w:tcPr>
          <w:p w:rsidR="009D5214" w:rsidRDefault="001D41E2" w:rsidP="001130ED">
            <w:pPr>
              <w:pStyle w:val="NormalWeb"/>
              <w:spacing w:beforeLines="60" w:beforeAutospacing="0" w:afterLines="60" w:afterAutospacing="0"/>
              <w:jc w:val="center"/>
              <w:rPr>
                <w:sz w:val="20"/>
                <w:szCs w:val="20"/>
                <w:lang w:val="en-US"/>
              </w:rPr>
            </w:pPr>
            <w:r>
              <w:rPr>
                <w:sz w:val="20"/>
                <w:szCs w:val="20"/>
                <w:lang w:val="en-US"/>
              </w:rPr>
              <w:t>Activated sludge</w:t>
            </w:r>
          </w:p>
        </w:tc>
        <w:tc>
          <w:tcPr>
            <w:tcW w:w="3840" w:type="dxa"/>
            <w:shd w:val="clear" w:color="auto" w:fill="A0A0A0"/>
            <w:vAlign w:val="center"/>
          </w:tcPr>
          <w:p w:rsidR="009D5214" w:rsidRDefault="001D41E2" w:rsidP="001130ED">
            <w:pPr>
              <w:pStyle w:val="Tabletext"/>
              <w:spacing w:beforeLines="60" w:afterLines="60"/>
              <w:jc w:val="center"/>
              <w:rPr>
                <w:sz w:val="24"/>
                <w:szCs w:val="24"/>
                <w:lang w:val="da-DK"/>
              </w:rPr>
            </w:pPr>
            <w:r w:rsidRPr="001C339C">
              <w:rPr>
                <w:lang w:val="da-DK"/>
              </w:rPr>
              <w:t>EC</w:t>
            </w:r>
            <w:r w:rsidRPr="001C339C">
              <w:rPr>
                <w:vertAlign w:val="subscript"/>
                <w:lang w:val="da-DK"/>
              </w:rPr>
              <w:t>50</w:t>
            </w:r>
            <w:r w:rsidRPr="001C339C">
              <w:rPr>
                <w:lang w:val="da-DK"/>
              </w:rPr>
              <w:t xml:space="preserve"> (30 min) &gt; 1000 mg/L (nominal </w:t>
            </w:r>
            <w:r w:rsidRPr="001C339C">
              <w:rPr>
                <w:vertAlign w:val="superscript"/>
                <w:lang w:val="da-DK"/>
              </w:rPr>
              <w:t>2</w:t>
            </w:r>
            <w:r w:rsidRPr="001C339C">
              <w:rPr>
                <w:lang w:val="da-DK"/>
              </w:rPr>
              <w:t>)</w:t>
            </w:r>
          </w:p>
        </w:tc>
        <w:tc>
          <w:tcPr>
            <w:tcW w:w="2280" w:type="dxa"/>
            <w:tcBorders>
              <w:right w:val="single" w:sz="12" w:space="0" w:color="auto"/>
            </w:tcBorders>
            <w:shd w:val="clear" w:color="auto" w:fill="A0A0A0"/>
            <w:vAlign w:val="center"/>
          </w:tcPr>
          <w:p w:rsidR="009D5214" w:rsidRDefault="001D41E2" w:rsidP="001130ED">
            <w:pPr>
              <w:pStyle w:val="Tabletext"/>
              <w:spacing w:beforeLines="60" w:afterLines="60"/>
              <w:ind w:left="255"/>
              <w:rPr>
                <w:sz w:val="24"/>
                <w:szCs w:val="24"/>
              </w:rPr>
            </w:pPr>
            <w:r w:rsidRPr="004B7EF4">
              <w:t>BASF AG, 19</w:t>
            </w:r>
            <w:r>
              <w:t>99a</w:t>
            </w:r>
          </w:p>
        </w:tc>
      </w:tr>
      <w:tr w:rsidR="001D41E2" w:rsidRPr="004B7EF4" w:rsidTr="00361759">
        <w:trPr>
          <w:trHeight w:val="567"/>
        </w:trPr>
        <w:tc>
          <w:tcPr>
            <w:tcW w:w="1908" w:type="dxa"/>
            <w:tcBorders>
              <w:left w:val="single" w:sz="12" w:space="0" w:color="auto"/>
            </w:tcBorders>
            <w:shd w:val="clear" w:color="auto" w:fill="FFFFFF"/>
            <w:vAlign w:val="center"/>
          </w:tcPr>
          <w:p w:rsidR="009D5214" w:rsidRDefault="001D41E2" w:rsidP="001130ED">
            <w:pPr>
              <w:pStyle w:val="Tabletext"/>
              <w:spacing w:beforeLines="60" w:afterLines="60"/>
              <w:ind w:left="424"/>
              <w:rPr>
                <w:sz w:val="24"/>
                <w:szCs w:val="24"/>
              </w:rPr>
            </w:pPr>
            <w:r w:rsidRPr="004B7EF4">
              <w:t>IpCF</w:t>
            </w:r>
          </w:p>
        </w:tc>
        <w:tc>
          <w:tcPr>
            <w:tcW w:w="1680" w:type="dxa"/>
            <w:shd w:val="clear" w:color="auto" w:fill="FFFFFF"/>
            <w:vAlign w:val="center"/>
          </w:tcPr>
          <w:p w:rsidR="009D5214" w:rsidRDefault="001D41E2" w:rsidP="001130ED">
            <w:pPr>
              <w:pStyle w:val="NormalWeb"/>
              <w:spacing w:beforeLines="60" w:beforeAutospacing="0" w:afterLines="60" w:afterAutospacing="0"/>
              <w:jc w:val="center"/>
              <w:rPr>
                <w:sz w:val="20"/>
                <w:szCs w:val="20"/>
                <w:lang w:val="en-US"/>
              </w:rPr>
            </w:pPr>
            <w:r w:rsidRPr="004B7EF4">
              <w:rPr>
                <w:sz w:val="20"/>
                <w:szCs w:val="20"/>
                <w:lang w:val="en-US"/>
              </w:rPr>
              <w:t>Activated sludge</w:t>
            </w:r>
          </w:p>
        </w:tc>
        <w:tc>
          <w:tcPr>
            <w:tcW w:w="3840" w:type="dxa"/>
            <w:shd w:val="clear" w:color="auto" w:fill="FFFFFF"/>
            <w:vAlign w:val="center"/>
          </w:tcPr>
          <w:p w:rsidR="009D5214" w:rsidRDefault="001D41E2" w:rsidP="001130ED">
            <w:pPr>
              <w:pStyle w:val="Tabletext"/>
              <w:spacing w:beforeLines="60" w:afterLines="60"/>
              <w:jc w:val="center"/>
              <w:rPr>
                <w:sz w:val="24"/>
                <w:szCs w:val="24"/>
                <w:lang w:val="da-DK"/>
              </w:rPr>
            </w:pPr>
            <w:r w:rsidRPr="001C339C">
              <w:rPr>
                <w:lang w:val="da-DK"/>
              </w:rPr>
              <w:t>EC</w:t>
            </w:r>
            <w:r w:rsidRPr="001C339C">
              <w:rPr>
                <w:vertAlign w:val="subscript"/>
                <w:lang w:val="da-DK"/>
              </w:rPr>
              <w:t>50</w:t>
            </w:r>
            <w:r w:rsidRPr="001C339C">
              <w:rPr>
                <w:lang w:val="da-DK"/>
              </w:rPr>
              <w:t xml:space="preserve"> (30 min) &gt; 2527 mg/L (nominal </w:t>
            </w:r>
            <w:r w:rsidRPr="001C339C">
              <w:rPr>
                <w:vertAlign w:val="superscript"/>
                <w:lang w:val="da-DK"/>
              </w:rPr>
              <w:t>2</w:t>
            </w:r>
            <w:r w:rsidRPr="001C339C">
              <w:rPr>
                <w:lang w:val="da-DK"/>
              </w:rPr>
              <w:t>)</w:t>
            </w:r>
          </w:p>
        </w:tc>
        <w:tc>
          <w:tcPr>
            <w:tcW w:w="2280" w:type="dxa"/>
            <w:tcBorders>
              <w:right w:val="single" w:sz="12" w:space="0" w:color="auto"/>
            </w:tcBorders>
            <w:shd w:val="clear" w:color="auto" w:fill="FFFFFF"/>
            <w:vAlign w:val="center"/>
          </w:tcPr>
          <w:p w:rsidR="009D5214" w:rsidRDefault="001D41E2" w:rsidP="001130ED">
            <w:pPr>
              <w:pStyle w:val="Tabletext"/>
              <w:spacing w:beforeLines="60" w:afterLines="60"/>
              <w:ind w:left="255"/>
              <w:rPr>
                <w:sz w:val="24"/>
                <w:szCs w:val="24"/>
              </w:rPr>
            </w:pPr>
            <w:r w:rsidRPr="004B7EF4">
              <w:t>BASF AG, 1983</w:t>
            </w:r>
          </w:p>
        </w:tc>
      </w:tr>
      <w:tr w:rsidR="001D41E2" w:rsidRPr="004B7EF4" w:rsidTr="00361759">
        <w:trPr>
          <w:trHeight w:val="567"/>
        </w:trPr>
        <w:tc>
          <w:tcPr>
            <w:tcW w:w="1908" w:type="dxa"/>
            <w:tcBorders>
              <w:left w:val="single" w:sz="12" w:space="0" w:color="auto"/>
              <w:bottom w:val="single" w:sz="12" w:space="0" w:color="auto"/>
            </w:tcBorders>
            <w:shd w:val="clear" w:color="auto" w:fill="FFFFFF"/>
            <w:vAlign w:val="center"/>
          </w:tcPr>
          <w:p w:rsidR="009D5214" w:rsidRDefault="001D41E2" w:rsidP="001130ED">
            <w:pPr>
              <w:pStyle w:val="Tabletext"/>
              <w:spacing w:beforeLines="60" w:afterLines="60"/>
              <w:ind w:left="424"/>
              <w:rPr>
                <w:sz w:val="24"/>
                <w:szCs w:val="24"/>
              </w:rPr>
            </w:pPr>
            <w:r w:rsidRPr="004B7EF4">
              <w:t>ObCF</w:t>
            </w:r>
          </w:p>
        </w:tc>
        <w:tc>
          <w:tcPr>
            <w:tcW w:w="1680" w:type="dxa"/>
            <w:tcBorders>
              <w:bottom w:val="single" w:sz="12" w:space="0" w:color="auto"/>
            </w:tcBorders>
            <w:shd w:val="clear" w:color="auto" w:fill="FFFFFF"/>
            <w:vAlign w:val="center"/>
          </w:tcPr>
          <w:p w:rsidR="009D5214" w:rsidRDefault="001D41E2" w:rsidP="001130ED">
            <w:pPr>
              <w:pStyle w:val="NormalWeb"/>
              <w:spacing w:beforeLines="60" w:beforeAutospacing="0" w:afterLines="60" w:afterAutospacing="0"/>
              <w:jc w:val="center"/>
              <w:rPr>
                <w:i/>
                <w:iCs/>
                <w:sz w:val="20"/>
                <w:szCs w:val="20"/>
                <w:lang w:val="en-US"/>
              </w:rPr>
            </w:pPr>
            <w:r w:rsidRPr="004B7EF4">
              <w:rPr>
                <w:i/>
                <w:iCs/>
                <w:sz w:val="20"/>
                <w:szCs w:val="20"/>
                <w:lang w:val="en-US"/>
              </w:rPr>
              <w:t>Pseudomonas putida</w:t>
            </w:r>
          </w:p>
        </w:tc>
        <w:tc>
          <w:tcPr>
            <w:tcW w:w="3840" w:type="dxa"/>
            <w:tcBorders>
              <w:bottom w:val="single" w:sz="12" w:space="0" w:color="auto"/>
            </w:tcBorders>
            <w:shd w:val="clear" w:color="auto" w:fill="FFFFFF"/>
            <w:vAlign w:val="center"/>
          </w:tcPr>
          <w:p w:rsidR="009D5214" w:rsidRDefault="001D41E2" w:rsidP="001130ED">
            <w:pPr>
              <w:pStyle w:val="Tabletext"/>
              <w:spacing w:beforeLines="60" w:afterLines="60"/>
              <w:jc w:val="center"/>
              <w:rPr>
                <w:sz w:val="24"/>
                <w:szCs w:val="24"/>
              </w:rPr>
            </w:pPr>
            <w:r w:rsidRPr="004B7EF4">
              <w:t>EC</w:t>
            </w:r>
            <w:r w:rsidRPr="004B7EF4">
              <w:rPr>
                <w:vertAlign w:val="subscript"/>
              </w:rPr>
              <w:t>10</w:t>
            </w:r>
            <w:r w:rsidRPr="004B7EF4">
              <w:t xml:space="preserve"> (17 h) = 8070 mg/L </w:t>
            </w:r>
            <w:r w:rsidRPr="004B7EF4">
              <w:br/>
              <w:t xml:space="preserve">(neutralized; nominal </w:t>
            </w:r>
            <w:r w:rsidRPr="004B7EF4">
              <w:rPr>
                <w:vertAlign w:val="superscript"/>
              </w:rPr>
              <w:t>2</w:t>
            </w:r>
            <w:r w:rsidRPr="004B7EF4">
              <w:t>)</w:t>
            </w:r>
          </w:p>
          <w:p w:rsidR="009D5214" w:rsidRDefault="001D41E2" w:rsidP="001130ED">
            <w:pPr>
              <w:pStyle w:val="Tabletext"/>
              <w:spacing w:beforeLines="60" w:afterLines="60"/>
              <w:jc w:val="center"/>
              <w:rPr>
                <w:sz w:val="24"/>
                <w:szCs w:val="24"/>
              </w:rPr>
            </w:pPr>
            <w:r w:rsidRPr="004B7EF4">
              <w:t>EC</w:t>
            </w:r>
            <w:r w:rsidRPr="004B7EF4">
              <w:rPr>
                <w:vertAlign w:val="subscript"/>
              </w:rPr>
              <w:t>10</w:t>
            </w:r>
            <w:r w:rsidRPr="004B7EF4">
              <w:t xml:space="preserve"> (17 h) = 69 mg/L </w:t>
            </w:r>
            <w:r w:rsidRPr="004B7EF4">
              <w:br/>
              <w:t xml:space="preserve">(non-neutralized; nominal </w:t>
            </w:r>
            <w:r w:rsidRPr="004B7EF4">
              <w:rPr>
                <w:vertAlign w:val="superscript"/>
              </w:rPr>
              <w:t>2</w:t>
            </w:r>
            <w:r w:rsidRPr="004B7EF4">
              <w:t>)</w:t>
            </w:r>
          </w:p>
        </w:tc>
        <w:tc>
          <w:tcPr>
            <w:tcW w:w="2280" w:type="dxa"/>
            <w:tcBorders>
              <w:bottom w:val="single" w:sz="12" w:space="0" w:color="auto"/>
              <w:right w:val="single" w:sz="12" w:space="0" w:color="auto"/>
            </w:tcBorders>
            <w:shd w:val="clear" w:color="auto" w:fill="FFFFFF"/>
            <w:vAlign w:val="center"/>
          </w:tcPr>
          <w:p w:rsidR="009D5214" w:rsidRDefault="001D41E2" w:rsidP="001130ED">
            <w:pPr>
              <w:pStyle w:val="Tabletext"/>
              <w:spacing w:beforeLines="60" w:afterLines="60"/>
              <w:ind w:left="255"/>
              <w:rPr>
                <w:sz w:val="24"/>
                <w:szCs w:val="24"/>
              </w:rPr>
            </w:pPr>
            <w:r w:rsidRPr="004B7EF4">
              <w:t xml:space="preserve">BUA, 1991; </w:t>
            </w:r>
            <w:r w:rsidRPr="004B7EF4">
              <w:br/>
              <w:t>BASF AG, 19</w:t>
            </w:r>
            <w:r>
              <w:t>89d</w:t>
            </w:r>
          </w:p>
        </w:tc>
      </w:tr>
    </w:tbl>
    <w:p w:rsidR="001D41E2" w:rsidRPr="00361759" w:rsidRDefault="001D41E2" w:rsidP="00361759">
      <w:pPr>
        <w:pStyle w:val="BodyText"/>
        <w:spacing w:before="90" w:after="0"/>
        <w:ind w:left="567"/>
        <w:rPr>
          <w:sz w:val="20"/>
          <w:szCs w:val="16"/>
          <w:lang w:val="en-US"/>
        </w:rPr>
      </w:pPr>
      <w:r w:rsidRPr="00361759">
        <w:rPr>
          <w:sz w:val="20"/>
          <w:szCs w:val="16"/>
          <w:lang w:val="en-US"/>
        </w:rPr>
        <w:t xml:space="preserve">1 = nominal values based on measured concentrations       2 = nominal values (without analytical monitoring)     </w:t>
      </w:r>
    </w:p>
    <w:p w:rsidR="001D41E2" w:rsidRPr="00361759" w:rsidRDefault="001D41E2" w:rsidP="00361759">
      <w:pPr>
        <w:pStyle w:val="NormalWeb"/>
        <w:spacing w:before="0" w:beforeAutospacing="0" w:after="0" w:afterAutospacing="0"/>
        <w:ind w:left="567"/>
        <w:jc w:val="both"/>
        <w:rPr>
          <w:sz w:val="20"/>
          <w:szCs w:val="16"/>
          <w:lang w:val="en-US"/>
        </w:rPr>
      </w:pPr>
      <w:r w:rsidRPr="00361759">
        <w:rPr>
          <w:sz w:val="20"/>
          <w:szCs w:val="16"/>
          <w:lang w:val="en-US"/>
        </w:rPr>
        <w:t xml:space="preserve">* </w:t>
      </w:r>
      <w:r w:rsidRPr="00361759">
        <w:rPr>
          <w:color w:val="000000"/>
          <w:sz w:val="20"/>
          <w:szCs w:val="16"/>
          <w:lang w:val="en-US"/>
        </w:rPr>
        <w:t>extrapolated via chemical analysis of the hydrolysis product isopropanol</w:t>
      </w:r>
      <w:r w:rsidRPr="00361759">
        <w:rPr>
          <w:sz w:val="20"/>
          <w:szCs w:val="16"/>
          <w:lang w:val="en-US"/>
        </w:rPr>
        <w:t xml:space="preserve"> </w:t>
      </w:r>
    </w:p>
    <w:p w:rsidR="001D41E2" w:rsidRPr="001130ED" w:rsidRDefault="001D41E2" w:rsidP="001130ED">
      <w:pPr>
        <w:pStyle w:val="Heading3"/>
        <w:numPr>
          <w:ilvl w:val="0"/>
          <w:numId w:val="0"/>
        </w:numPr>
        <w:tabs>
          <w:tab w:val="clear" w:pos="1440"/>
          <w:tab w:val="clear" w:pos="2160"/>
        </w:tabs>
        <w:rPr>
          <w:rFonts w:ascii="Times New Roman" w:hAnsi="Times New Roman" w:cs="Times New Roman"/>
          <w:b w:val="0"/>
          <w:u w:val="single"/>
          <w:lang w:val="en-US"/>
        </w:rPr>
      </w:pPr>
      <w:bookmarkStart w:id="96" w:name="_Toc264983276"/>
      <w:r w:rsidRPr="001130ED">
        <w:rPr>
          <w:rFonts w:ascii="Times New Roman" w:hAnsi="Times New Roman" w:cs="Times New Roman"/>
          <w:b w:val="0"/>
          <w:u w:val="single"/>
          <w:lang w:val="en-US"/>
        </w:rPr>
        <w:t>Conclusions on aquatic toxicity</w:t>
      </w:r>
      <w:bookmarkEnd w:id="96"/>
    </w:p>
    <w:p w:rsidR="001D41E2" w:rsidRDefault="001D41E2" w:rsidP="00361759">
      <w:pPr>
        <w:ind w:right="39"/>
        <w:jc w:val="both"/>
      </w:pPr>
      <w:r w:rsidRPr="004B7EF4">
        <w:rPr>
          <w:color w:val="000000"/>
          <w:lang w:eastAsia="de-DE"/>
        </w:rPr>
        <w:t xml:space="preserve">Although the members of the chloroformates category hydrolyze quickly, it is </w:t>
      </w:r>
      <w:r>
        <w:rPr>
          <w:color w:val="000000"/>
          <w:lang w:eastAsia="de-DE"/>
        </w:rPr>
        <w:t xml:space="preserve">possible </w:t>
      </w:r>
      <w:r w:rsidRPr="004B7EF4">
        <w:rPr>
          <w:color w:val="000000"/>
          <w:lang w:eastAsia="de-DE"/>
        </w:rPr>
        <w:t xml:space="preserve">that the observed toxicity </w:t>
      </w:r>
      <w:r>
        <w:rPr>
          <w:color w:val="000000"/>
          <w:lang w:eastAsia="de-DE"/>
        </w:rPr>
        <w:t xml:space="preserve">to fish </w:t>
      </w:r>
      <w:r w:rsidRPr="004B7EF4">
        <w:rPr>
          <w:color w:val="000000"/>
          <w:lang w:eastAsia="de-DE"/>
        </w:rPr>
        <w:t xml:space="preserve">is </w:t>
      </w:r>
      <w:r>
        <w:rPr>
          <w:color w:val="000000"/>
          <w:lang w:eastAsia="de-DE"/>
        </w:rPr>
        <w:t xml:space="preserve">partly </w:t>
      </w:r>
      <w:r w:rsidRPr="004B7EF4">
        <w:rPr>
          <w:color w:val="000000"/>
          <w:lang w:eastAsia="de-DE"/>
        </w:rPr>
        <w:t xml:space="preserve">related to </w:t>
      </w:r>
      <w:r w:rsidRPr="004B7EF4">
        <w:t xml:space="preserve">high reactivity of unhydrolyzed chloroformates </w:t>
      </w:r>
      <w:r w:rsidRPr="004B7EF4">
        <w:rPr>
          <w:color w:val="000000"/>
          <w:lang w:eastAsia="de-DE"/>
        </w:rPr>
        <w:t xml:space="preserve">at the very beginning of the test. The toxicity may be explained by reactions </w:t>
      </w:r>
      <w:r w:rsidRPr="004B7EF4">
        <w:rPr>
          <w:snapToGrid w:val="0"/>
        </w:rPr>
        <w:t>with nucleophiles (such as -NH</w:t>
      </w:r>
      <w:r w:rsidRPr="004B7EF4">
        <w:rPr>
          <w:snapToGrid w:val="0"/>
          <w:vertAlign w:val="subscript"/>
        </w:rPr>
        <w:t>2</w:t>
      </w:r>
      <w:r w:rsidRPr="004B7EF4">
        <w:rPr>
          <w:snapToGrid w:val="0"/>
        </w:rPr>
        <w:t xml:space="preserve">, -SH and -OH) </w:t>
      </w:r>
      <w:r w:rsidRPr="004B7EF4">
        <w:rPr>
          <w:color w:val="000000"/>
          <w:lang w:eastAsia="de-DE"/>
        </w:rPr>
        <w:t>on biological macromolecules.</w:t>
      </w:r>
      <w:r>
        <w:rPr>
          <w:color w:val="000000"/>
          <w:lang w:eastAsia="de-DE"/>
        </w:rPr>
        <w:t xml:space="preserve"> </w:t>
      </w:r>
      <w:r>
        <w:t>The hydrolysis product, HCl, is acutely toxic to fish due to the acidification of the test medium.  The latter effect, however, is unlikely to be responsible for the toxicity of the chloroformates</w:t>
      </w:r>
      <w:r w:rsidR="00010F0F">
        <w:t>, as the measured pH values in the test medium were within the tolerable pH range for fish (pH 6-8.5)</w:t>
      </w:r>
      <w:r>
        <w:t>. T</w:t>
      </w:r>
      <w:r w:rsidRPr="004B7EF4">
        <w:t xml:space="preserve">he available results </w:t>
      </w:r>
      <w:r>
        <w:t xml:space="preserve">from acute toxicity studies on fish </w:t>
      </w:r>
      <w:r w:rsidRPr="004B7EF4">
        <w:t xml:space="preserve">show that the </w:t>
      </w:r>
      <w:r>
        <w:t xml:space="preserve">chloroformate </w:t>
      </w:r>
      <w:r w:rsidRPr="004B7EF4">
        <w:t xml:space="preserve">category members produce toxic effects in aquatic systems. </w:t>
      </w:r>
      <w:r>
        <w:t>S</w:t>
      </w:r>
      <w:r w:rsidRPr="004B7EF4">
        <w:t xml:space="preserve">imilar toxic effects would </w:t>
      </w:r>
      <w:r>
        <w:t>also</w:t>
      </w:r>
      <w:r w:rsidRPr="004B7EF4">
        <w:t xml:space="preserve"> be expected for other environmental organisms</w:t>
      </w:r>
      <w:r>
        <w:t xml:space="preserve"> such as daphnia and algae.</w:t>
      </w:r>
    </w:p>
    <w:p w:rsidR="001D41E2" w:rsidRPr="004B7EF4" w:rsidRDefault="001D41E2">
      <w:pPr>
        <w:pStyle w:val="Heading2"/>
        <w:numPr>
          <w:ilvl w:val="1"/>
          <w:numId w:val="28"/>
        </w:numPr>
        <w:tabs>
          <w:tab w:val="clear" w:pos="1440"/>
        </w:tabs>
        <w:rPr>
          <w:lang w:val="en-US"/>
        </w:rPr>
      </w:pPr>
      <w:bookmarkStart w:id="97" w:name="_Toc32726040"/>
      <w:bookmarkStart w:id="98" w:name="_Toc32727223"/>
      <w:bookmarkStart w:id="99" w:name="_Toc43868671"/>
      <w:bookmarkStart w:id="100" w:name="_Toc200358258"/>
      <w:bookmarkStart w:id="101" w:name="_Toc264983277"/>
      <w:r w:rsidRPr="004B7EF4">
        <w:rPr>
          <w:lang w:val="en-US"/>
        </w:rPr>
        <w:t>Terrestrial Effects</w:t>
      </w:r>
      <w:bookmarkEnd w:id="97"/>
      <w:bookmarkEnd w:id="98"/>
      <w:bookmarkEnd w:id="99"/>
      <w:bookmarkEnd w:id="100"/>
      <w:bookmarkEnd w:id="101"/>
    </w:p>
    <w:p w:rsidR="001D41E2" w:rsidRPr="004B7EF4" w:rsidRDefault="001D41E2" w:rsidP="00791002">
      <w:pPr>
        <w:pStyle w:val="NormalWeb"/>
        <w:spacing w:before="0" w:beforeAutospacing="0"/>
        <w:rPr>
          <w:lang w:val="en-US"/>
        </w:rPr>
      </w:pPr>
      <w:r w:rsidRPr="004B7EF4">
        <w:rPr>
          <w:lang w:val="en-US"/>
        </w:rPr>
        <w:t xml:space="preserve">There are no relevant and reliable data on terrestrial toxicity. </w:t>
      </w:r>
    </w:p>
    <w:p w:rsidR="001D41E2" w:rsidRPr="00353396" w:rsidRDefault="001D41E2" w:rsidP="00353396">
      <w:pPr>
        <w:pStyle w:val="BodyText"/>
        <w:rPr>
          <w:lang w:val="en-US"/>
        </w:rPr>
        <w:sectPr w:rsidR="001D41E2" w:rsidRPr="00353396" w:rsidSect="001B561B">
          <w:headerReference w:type="default" r:id="rId56"/>
          <w:footerReference w:type="default" r:id="rId57"/>
          <w:type w:val="oddPage"/>
          <w:pgSz w:w="11907" w:h="16840" w:code="9"/>
          <w:pgMar w:top="1418" w:right="1134" w:bottom="1134" w:left="1134" w:header="737" w:footer="737" w:gutter="0"/>
          <w:cols w:space="720"/>
          <w:docGrid w:linePitch="360"/>
        </w:sectPr>
      </w:pPr>
      <w:bookmarkStart w:id="102" w:name="_Toc32726044"/>
      <w:bookmarkStart w:id="103" w:name="_Toc32727227"/>
    </w:p>
    <w:p w:rsidR="009D5214" w:rsidRDefault="001D41E2">
      <w:pPr>
        <w:pStyle w:val="Heading1"/>
        <w:numPr>
          <w:ilvl w:val="0"/>
          <w:numId w:val="28"/>
        </w:numPr>
        <w:tabs>
          <w:tab w:val="clear" w:pos="1077"/>
        </w:tabs>
        <w:spacing w:before="0"/>
        <w:ind w:left="839" w:hanging="839"/>
        <w:rPr>
          <w:lang w:val="en-US"/>
        </w:rPr>
      </w:pPr>
      <w:bookmarkStart w:id="104" w:name="_Toc43868675"/>
      <w:bookmarkStart w:id="105" w:name="_Toc200358260"/>
      <w:bookmarkStart w:id="106" w:name="_Toc264983278"/>
      <w:r w:rsidRPr="004B7EF4">
        <w:rPr>
          <w:lang w:val="en-US"/>
        </w:rPr>
        <w:t>references</w:t>
      </w:r>
      <w:bookmarkEnd w:id="102"/>
      <w:bookmarkEnd w:id="103"/>
      <w:bookmarkEnd w:id="104"/>
      <w:bookmarkEnd w:id="105"/>
      <w:bookmarkEnd w:id="106"/>
      <w:r>
        <w:rPr>
          <w:lang w:val="en-US"/>
        </w:rPr>
        <w:t xml:space="preserve"> </w:t>
      </w:r>
    </w:p>
    <w:p w:rsidR="001D41E2" w:rsidRPr="004B7EF4" w:rsidRDefault="001D41E2" w:rsidP="009266C5">
      <w:pPr>
        <w:tabs>
          <w:tab w:val="left" w:pos="1134"/>
        </w:tabs>
        <w:spacing w:after="240"/>
        <w:ind w:left="480" w:hanging="480"/>
        <w:jc w:val="both"/>
      </w:pPr>
      <w:r w:rsidRPr="004B7EF4">
        <w:t>BASF AG (1968a) Industrial hygiene orientating investigation; BASF unpublished report on substance</w:t>
      </w:r>
      <w:r>
        <w:t>,</w:t>
      </w:r>
      <w:r w:rsidRPr="004B7EF4">
        <w:t xml:space="preserve"> </w:t>
      </w:r>
      <w:r>
        <w:t xml:space="preserve">Report </w:t>
      </w:r>
      <w:r w:rsidRPr="004B7EF4">
        <w:t xml:space="preserve">No. XVIII/197 dated 1968-09-13. </w:t>
      </w:r>
    </w:p>
    <w:p w:rsidR="001D41E2" w:rsidRPr="001D41E2" w:rsidRDefault="001D41E2" w:rsidP="009266C5">
      <w:pPr>
        <w:tabs>
          <w:tab w:val="left" w:pos="1134"/>
        </w:tabs>
        <w:spacing w:after="240"/>
        <w:ind w:left="480" w:hanging="480"/>
        <w:jc w:val="both"/>
        <w:rPr>
          <w:lang w:val="de-DE"/>
        </w:rPr>
      </w:pPr>
      <w:r w:rsidRPr="004B7EF4">
        <w:t>BASF AG (1968b) Industrial hygiene orientating investigation; BASF unpublished report on substance</w:t>
      </w:r>
      <w:r>
        <w:t>,</w:t>
      </w:r>
      <w:r w:rsidRPr="004B7EF4">
        <w:t xml:space="preserve"> </w:t>
      </w:r>
      <w:r>
        <w:t>Report</w:t>
      </w:r>
      <w:r w:rsidRPr="004B7EF4">
        <w:t xml:space="preserve">No. </w:t>
      </w:r>
      <w:r w:rsidR="007D3E3E" w:rsidRPr="007D3E3E">
        <w:rPr>
          <w:lang w:val="de-DE"/>
        </w:rPr>
        <w:t xml:space="preserve">XVIII/288 dated 1968-12-12. </w:t>
      </w:r>
    </w:p>
    <w:p w:rsidR="001D41E2" w:rsidRDefault="007D3E3E" w:rsidP="003D7919">
      <w:pPr>
        <w:tabs>
          <w:tab w:val="left" w:pos="1134"/>
          <w:tab w:val="left" w:pos="3822"/>
          <w:tab w:val="left" w:pos="4442"/>
        </w:tabs>
        <w:spacing w:after="240"/>
        <w:ind w:left="480" w:hanging="480"/>
        <w:jc w:val="both"/>
      </w:pPr>
      <w:r w:rsidRPr="007D3E3E">
        <w:rPr>
          <w:lang w:val="de-DE"/>
        </w:rPr>
        <w:t xml:space="preserve">BASF AG  (1968) Unveroeffentlichte Untersuchung with diglykoldichlorkohlensaureester. Report no.  </w:t>
      </w:r>
      <w:r w:rsidR="001D41E2">
        <w:t xml:space="preserve">(XVIII/196)  </w:t>
      </w:r>
      <w:proofErr w:type="gramStart"/>
      <w:r w:rsidR="001D41E2">
        <w:t>Report date 1968-09-13.</w:t>
      </w:r>
      <w:proofErr w:type="gramEnd"/>
    </w:p>
    <w:p w:rsidR="001D41E2" w:rsidRPr="004B7EF4" w:rsidRDefault="001D41E2" w:rsidP="003D7919">
      <w:pPr>
        <w:tabs>
          <w:tab w:val="left" w:pos="1134"/>
          <w:tab w:val="left" w:pos="3822"/>
          <w:tab w:val="left" w:pos="4442"/>
        </w:tabs>
        <w:spacing w:after="240"/>
        <w:ind w:left="480" w:hanging="480"/>
        <w:jc w:val="both"/>
      </w:pPr>
      <w:r w:rsidRPr="004B7EF4">
        <w:t>BASF AG (1970a) Industrial hygiene orientating investigation; BASF unpublished report on substance</w:t>
      </w:r>
      <w:r>
        <w:t>,</w:t>
      </w:r>
      <w:r w:rsidRPr="004B7EF4">
        <w:t xml:space="preserve"> </w:t>
      </w:r>
      <w:r>
        <w:t>Report</w:t>
      </w:r>
      <w:r w:rsidRPr="004B7EF4">
        <w:t xml:space="preserve"> No. XIX/339 dated 1970-01-30. </w:t>
      </w:r>
    </w:p>
    <w:p w:rsidR="001D41E2" w:rsidRPr="004B7EF4" w:rsidRDefault="001D41E2" w:rsidP="009266C5">
      <w:pPr>
        <w:tabs>
          <w:tab w:val="left" w:pos="1134"/>
          <w:tab w:val="left" w:pos="3822"/>
          <w:tab w:val="left" w:pos="4442"/>
        </w:tabs>
        <w:spacing w:after="240"/>
        <w:ind w:left="480" w:hanging="480"/>
        <w:jc w:val="both"/>
      </w:pPr>
      <w:r w:rsidRPr="004B7EF4">
        <w:t>BASF AG (1970b) Industrial hygiene orientating investigation; BASF unpublished report on substance</w:t>
      </w:r>
      <w:r>
        <w:t>,</w:t>
      </w:r>
      <w:r w:rsidRPr="004B7EF4">
        <w:t xml:space="preserve"> </w:t>
      </w:r>
      <w:r>
        <w:t>Report</w:t>
      </w:r>
      <w:r w:rsidRPr="004B7EF4">
        <w:t xml:space="preserve"> No. XIX/351 dated 1970-02-06. </w:t>
      </w:r>
    </w:p>
    <w:p w:rsidR="001D41E2" w:rsidRPr="004B7EF4" w:rsidRDefault="001D41E2" w:rsidP="003D7919">
      <w:pPr>
        <w:tabs>
          <w:tab w:val="left" w:pos="1134"/>
          <w:tab w:val="left" w:pos="3822"/>
          <w:tab w:val="left" w:pos="4442"/>
        </w:tabs>
        <w:spacing w:after="240"/>
        <w:ind w:left="480" w:hanging="480"/>
        <w:jc w:val="both"/>
      </w:pPr>
      <w:r w:rsidRPr="004B7EF4">
        <w:t>BASF AG (1975) Industrial hygiene orientating investigation; BASF unpublished report on substance</w:t>
      </w:r>
      <w:r>
        <w:t>,</w:t>
      </w:r>
      <w:r w:rsidRPr="004B7EF4">
        <w:t xml:space="preserve"> </w:t>
      </w:r>
      <w:r>
        <w:t>Report</w:t>
      </w:r>
      <w:r w:rsidRPr="004B7EF4">
        <w:t xml:space="preserve"> No.XXV/391 dated 1975-11-26. </w:t>
      </w:r>
    </w:p>
    <w:p w:rsidR="001D41E2" w:rsidRPr="00457488" w:rsidRDefault="001D41E2" w:rsidP="009266C5">
      <w:pPr>
        <w:spacing w:after="240"/>
        <w:ind w:left="480" w:hanging="480"/>
        <w:jc w:val="both"/>
        <w:rPr>
          <w:lang w:val="en-GB"/>
        </w:rPr>
      </w:pPr>
      <w:r w:rsidRPr="005D3652">
        <w:rPr>
          <w:lang w:val="de-DE"/>
        </w:rPr>
        <w:t xml:space="preserve">BASF AG (1980a). Prüfung der akuten  oralen Toxizität von "Diglykol-bis-chlorkohlensäureester,  Diglykol-bis-chlorformiat" an der Ratte. </w:t>
      </w:r>
      <w:proofErr w:type="gramStart"/>
      <w:r w:rsidRPr="00457488">
        <w:rPr>
          <w:lang w:val="en-GB"/>
        </w:rPr>
        <w:t>Substanz-Nr. 79/619.</w:t>
      </w:r>
      <w:proofErr w:type="gramEnd"/>
      <w:r w:rsidRPr="00457488">
        <w:rPr>
          <w:lang w:val="en-GB"/>
        </w:rPr>
        <w:t xml:space="preserve"> BASF Unpublished report on substance</w:t>
      </w:r>
      <w:r>
        <w:t>,</w:t>
      </w:r>
      <w:r w:rsidRPr="004B7EF4">
        <w:t xml:space="preserve"> </w:t>
      </w:r>
      <w:r>
        <w:t>Report</w:t>
      </w:r>
      <w:r w:rsidRPr="00457488">
        <w:rPr>
          <w:lang w:val="en-GB"/>
        </w:rPr>
        <w:t xml:space="preserve"> No. 79/619 dated 19</w:t>
      </w:r>
      <w:r>
        <w:rPr>
          <w:lang w:val="en-GB"/>
        </w:rPr>
        <w:t>80-12-16</w:t>
      </w:r>
      <w:r w:rsidRPr="00457488">
        <w:rPr>
          <w:lang w:val="en-GB"/>
        </w:rPr>
        <w:t>.</w:t>
      </w:r>
    </w:p>
    <w:p w:rsidR="001D41E2" w:rsidRPr="004B7EF4" w:rsidRDefault="001D41E2" w:rsidP="009266C5">
      <w:pPr>
        <w:spacing w:after="240"/>
        <w:ind w:left="480" w:hanging="480"/>
        <w:jc w:val="both"/>
      </w:pPr>
      <w:r w:rsidRPr="005D3652">
        <w:rPr>
          <w:lang w:val="de-DE"/>
        </w:rPr>
        <w:t xml:space="preserve">BASF AG (1980b) Prüfung der akuten oralen Toxizität ander Ratte. </w:t>
      </w:r>
      <w:proofErr w:type="gramStart"/>
      <w:r w:rsidRPr="004B7EF4">
        <w:t>Substanz-Nr. 79/620.</w:t>
      </w:r>
      <w:proofErr w:type="gramEnd"/>
      <w:r w:rsidRPr="004B7EF4">
        <w:t xml:space="preserve"> </w:t>
      </w:r>
      <w:proofErr w:type="gramStart"/>
      <w:r w:rsidRPr="004B7EF4">
        <w:t>2-Ethylhexylchlorformiat.</w:t>
      </w:r>
      <w:proofErr w:type="gramEnd"/>
      <w:r w:rsidRPr="004B7EF4">
        <w:t xml:space="preserve"> BASF Unpublished report on substance No. 79/620 dated 1980-12-12.</w:t>
      </w:r>
    </w:p>
    <w:p w:rsidR="001D41E2" w:rsidRPr="004B7EF4" w:rsidRDefault="001D41E2" w:rsidP="009266C5">
      <w:pPr>
        <w:spacing w:after="240"/>
        <w:ind w:left="480" w:hanging="480"/>
        <w:jc w:val="both"/>
      </w:pPr>
      <w:r w:rsidRPr="005D3652">
        <w:rPr>
          <w:lang w:val="de-DE"/>
        </w:rPr>
        <w:t xml:space="preserve">BASF AG (1980c) Bestimmung der akuten Inhalationstoxizitat LC50 von Methylchlorformiat als Dampf bei 4 stündiger Exposition an Sprague-Dawley-Ratten . </w:t>
      </w:r>
      <w:r w:rsidRPr="004B7EF4">
        <w:t>BASF Unpublished report on substance</w:t>
      </w:r>
      <w:r>
        <w:t>,</w:t>
      </w:r>
      <w:r w:rsidRPr="004B7EF4">
        <w:t xml:space="preserve"> </w:t>
      </w:r>
      <w:r>
        <w:t>Report</w:t>
      </w:r>
      <w:r w:rsidRPr="004B7EF4">
        <w:t xml:space="preserve"> No. 79/285 dated 1980-12-08. </w:t>
      </w:r>
    </w:p>
    <w:p w:rsidR="001D41E2" w:rsidRPr="004B7EF4" w:rsidRDefault="001D41E2" w:rsidP="009266C5">
      <w:pPr>
        <w:tabs>
          <w:tab w:val="left" w:pos="1134"/>
        </w:tabs>
        <w:spacing w:after="240"/>
        <w:ind w:left="480" w:hanging="480"/>
        <w:jc w:val="both"/>
      </w:pPr>
      <w:r w:rsidRPr="004B7EF4">
        <w:t xml:space="preserve">BASF AG (1980d) Estimate of the potential acute hazard after a single administration (determination of the LD50); </w:t>
      </w:r>
      <w:proofErr w:type="gramStart"/>
      <w:r w:rsidRPr="004B7EF4">
        <w:t>Unpublished</w:t>
      </w:r>
      <w:proofErr w:type="gramEnd"/>
      <w:r w:rsidRPr="004B7EF4">
        <w:t xml:space="preserve"> report on substance No. 79/623 dated 1980-12-20.</w:t>
      </w:r>
    </w:p>
    <w:p w:rsidR="001D41E2" w:rsidRPr="004B7EF4" w:rsidRDefault="007D3E3E" w:rsidP="009266C5">
      <w:pPr>
        <w:spacing w:after="240"/>
        <w:ind w:left="480" w:hanging="480"/>
        <w:jc w:val="both"/>
      </w:pPr>
      <w:r w:rsidRPr="007D3E3E">
        <w:rPr>
          <w:lang w:val="de-DE"/>
        </w:rPr>
        <w:t>BASF AG (1981)</w:t>
      </w:r>
      <w:r w:rsidR="001D41E2" w:rsidRPr="000E50F6">
        <w:rPr>
          <w:lang w:val="de-DE"/>
        </w:rPr>
        <w:tab/>
      </w:r>
      <w:r w:rsidRPr="007D3E3E">
        <w:rPr>
          <w:lang w:val="de-DE"/>
        </w:rPr>
        <w:t xml:space="preserve">Prüfung der akuten oralen Toxizitat von "Methylchloroformiat, Methylchlorkohlensaureester" an der Ratte (Subsanz-Nr79/285). </w:t>
      </w:r>
      <w:r w:rsidR="001D41E2" w:rsidRPr="004B7EF4">
        <w:t>BASF AG Unpublished report on substance</w:t>
      </w:r>
      <w:r w:rsidR="001D41E2">
        <w:t>,</w:t>
      </w:r>
      <w:r w:rsidR="001D41E2" w:rsidRPr="004B7EF4">
        <w:t xml:space="preserve"> </w:t>
      </w:r>
      <w:r w:rsidR="001D41E2">
        <w:t>Report</w:t>
      </w:r>
      <w:r w:rsidR="001D41E2" w:rsidRPr="004B7EF4">
        <w:t xml:space="preserve"> No. 79/285 dated 1981-01-02.</w:t>
      </w:r>
    </w:p>
    <w:p w:rsidR="001D41E2" w:rsidRPr="004B7EF4" w:rsidRDefault="001D41E2" w:rsidP="009266C5">
      <w:pPr>
        <w:spacing w:after="240"/>
        <w:ind w:left="480" w:hanging="480"/>
        <w:jc w:val="both"/>
      </w:pPr>
      <w:r w:rsidRPr="00A50500">
        <w:t>BASF AG (1982)</w:t>
      </w:r>
      <w:r w:rsidRPr="004B7EF4">
        <w:t xml:space="preserve"> Report on the study of the primary irritation to the skin of rabbits. BASF Unpublished report on substance</w:t>
      </w:r>
      <w:r>
        <w:t>,</w:t>
      </w:r>
      <w:r w:rsidRPr="004B7EF4">
        <w:t xml:space="preserve"> </w:t>
      </w:r>
      <w:r>
        <w:t>Report</w:t>
      </w:r>
      <w:r w:rsidRPr="004B7EF4">
        <w:t xml:space="preserve"> No. 82/18 dated</w:t>
      </w:r>
      <w:r w:rsidRPr="004B7EF4">
        <w:rPr>
          <w:b/>
          <w:bCs/>
        </w:rPr>
        <w:t xml:space="preserve"> </w:t>
      </w:r>
      <w:r w:rsidRPr="004B7EF4">
        <w:t>1982-08-26.</w:t>
      </w:r>
    </w:p>
    <w:p w:rsidR="001D41E2" w:rsidRPr="00457488" w:rsidRDefault="001D41E2" w:rsidP="009266C5">
      <w:pPr>
        <w:tabs>
          <w:tab w:val="left" w:pos="1134"/>
        </w:tabs>
        <w:spacing w:after="240"/>
        <w:ind w:left="480" w:hanging="480"/>
        <w:jc w:val="both"/>
        <w:rPr>
          <w:lang w:val="en-GB"/>
        </w:rPr>
      </w:pPr>
      <w:r w:rsidRPr="004B7EF4">
        <w:t xml:space="preserve">BASF AG (1983). </w:t>
      </w:r>
      <w:proofErr w:type="gramStart"/>
      <w:r w:rsidRPr="004B7EF4">
        <w:t>TUU/W 3.</w:t>
      </w:r>
      <w:proofErr w:type="gramEnd"/>
      <w:r w:rsidRPr="004B7EF4">
        <w:t xml:space="preserve"> </w:t>
      </w:r>
      <w:r w:rsidRPr="00457488">
        <w:rPr>
          <w:lang w:val="en-GB"/>
        </w:rPr>
        <w:t>Isopropylchlorformiat Kurzzeitatmungstest (respiration inhibition test). Study report, 28 Jul 1983.</w:t>
      </w:r>
    </w:p>
    <w:p w:rsidR="001D41E2" w:rsidRPr="00457488" w:rsidRDefault="001D41E2" w:rsidP="009266C5">
      <w:pPr>
        <w:tabs>
          <w:tab w:val="left" w:pos="1134"/>
        </w:tabs>
        <w:spacing w:after="240"/>
        <w:ind w:left="480" w:hanging="480"/>
        <w:jc w:val="both"/>
        <w:rPr>
          <w:lang w:val="en-GB"/>
        </w:rPr>
      </w:pPr>
      <w:r w:rsidRPr="00457488">
        <w:rPr>
          <w:lang w:val="en-GB"/>
        </w:rPr>
        <w:t xml:space="preserve">BASF AG (1984). </w:t>
      </w:r>
      <w:proofErr w:type="gramStart"/>
      <w:r w:rsidRPr="00457488">
        <w:rPr>
          <w:lang w:val="en-GB"/>
        </w:rPr>
        <w:t>Department of Central Analytics.</w:t>
      </w:r>
      <w:proofErr w:type="gramEnd"/>
      <w:r w:rsidRPr="00457488">
        <w:rPr>
          <w:lang w:val="en-GB"/>
        </w:rPr>
        <w:t xml:space="preserve"> Dampfdruck–(p</w:t>
      </w:r>
      <w:proofErr w:type="gramStart"/>
      <w:r w:rsidRPr="00457488">
        <w:rPr>
          <w:lang w:val="en-GB"/>
        </w:rPr>
        <w:t>,t</w:t>
      </w:r>
      <w:proofErr w:type="gramEnd"/>
      <w:r w:rsidRPr="00457488">
        <w:rPr>
          <w:lang w:val="en-GB"/>
        </w:rPr>
        <w:t>) Messung von 2-Ethylhexylchlorformiat  (vapor pressure of 2-ethylhexyl chloroformate), Report No. 184.0448.1, 18 Jul 1984.</w:t>
      </w:r>
    </w:p>
    <w:p w:rsidR="001D41E2" w:rsidRPr="004B7EF4" w:rsidRDefault="001D41E2" w:rsidP="009266C5">
      <w:pPr>
        <w:spacing w:after="240"/>
        <w:ind w:left="480" w:hanging="480"/>
        <w:jc w:val="both"/>
      </w:pPr>
      <w:r w:rsidRPr="004B7EF4">
        <w:t>BASF AG (1984a) Report on the study of acute oral toxicity; BASF Unpublished report on substance</w:t>
      </w:r>
      <w:r>
        <w:t>,</w:t>
      </w:r>
      <w:r w:rsidRPr="004B7EF4">
        <w:t xml:space="preserve"> </w:t>
      </w:r>
      <w:r>
        <w:t>Report</w:t>
      </w:r>
      <w:r w:rsidRPr="004B7EF4">
        <w:t xml:space="preserve"> No. 83 / 283 dated 1984-02-06.</w:t>
      </w:r>
    </w:p>
    <w:p w:rsidR="001D41E2" w:rsidRPr="004B7EF4" w:rsidRDefault="001D41E2" w:rsidP="009266C5">
      <w:pPr>
        <w:spacing w:after="240"/>
        <w:ind w:left="480" w:hanging="480"/>
        <w:jc w:val="both"/>
      </w:pPr>
      <w:r w:rsidRPr="004B7EF4">
        <w:t>BASF AG (1984b) Report on the acute dermal irritation/corrosivity to the intact dorsal skin of the white rabbit based on OECD. BASF AG Unpublished report on substance</w:t>
      </w:r>
      <w:r>
        <w:t>,</w:t>
      </w:r>
      <w:r w:rsidRPr="004B7EF4">
        <w:t xml:space="preserve"> </w:t>
      </w:r>
      <w:r>
        <w:t>Report</w:t>
      </w:r>
      <w:r w:rsidRPr="004B7EF4">
        <w:t xml:space="preserve"> No. 83/283 dated 1984-03-29.</w:t>
      </w:r>
    </w:p>
    <w:p w:rsidR="001D41E2" w:rsidRPr="004B7EF4" w:rsidRDefault="001D41E2" w:rsidP="009266C5">
      <w:pPr>
        <w:spacing w:after="240"/>
        <w:ind w:left="480" w:hanging="480"/>
        <w:jc w:val="both"/>
      </w:pPr>
      <w:r w:rsidRPr="004B7EF4">
        <w:t>BASF AG (1984c) Report on the study of acute dermal toxicity. BASF Unpublished report on substance</w:t>
      </w:r>
      <w:r>
        <w:t>,</w:t>
      </w:r>
      <w:r w:rsidRPr="004B7EF4">
        <w:t xml:space="preserve"> </w:t>
      </w:r>
      <w:r>
        <w:t>Report</w:t>
      </w:r>
      <w:r w:rsidRPr="004B7EF4">
        <w:t xml:space="preserve"> No. 83/283 dated 1984-11-12.</w:t>
      </w:r>
    </w:p>
    <w:p w:rsidR="001D41E2" w:rsidRPr="004B7EF4" w:rsidRDefault="001D41E2" w:rsidP="009266C5">
      <w:pPr>
        <w:spacing w:after="240"/>
        <w:ind w:left="480" w:hanging="480"/>
        <w:jc w:val="both"/>
      </w:pPr>
      <w:r w:rsidRPr="004B7EF4">
        <w:t>BASF AG (1984d) Report on the Acute Oral Toxicity. BASF Unpublished report on substance</w:t>
      </w:r>
      <w:r>
        <w:t>,</w:t>
      </w:r>
      <w:r w:rsidRPr="004B7EF4">
        <w:t xml:space="preserve"> </w:t>
      </w:r>
      <w:r>
        <w:t>Report</w:t>
      </w:r>
      <w:r w:rsidRPr="004B7EF4">
        <w:t xml:space="preserve"> No. 83/282 dated 1984-02-03. </w:t>
      </w:r>
    </w:p>
    <w:p w:rsidR="001D41E2" w:rsidRPr="004B7EF4" w:rsidRDefault="001D41E2" w:rsidP="00D60A16">
      <w:pPr>
        <w:spacing w:after="240"/>
        <w:ind w:left="480" w:hanging="480"/>
        <w:jc w:val="both"/>
      </w:pPr>
      <w:r w:rsidRPr="004B7EF4">
        <w:t>BASF AG (1984e) Report on the Study of Acute Dermal Toxicity.</w:t>
      </w:r>
      <w:r>
        <w:t xml:space="preserve"> </w:t>
      </w:r>
      <w:r w:rsidRPr="004B7EF4">
        <w:tab/>
        <w:t xml:space="preserve">BASF unpublished report on </w:t>
      </w:r>
      <w:proofErr w:type="gramStart"/>
      <w:r w:rsidRPr="004B7EF4">
        <w:t>substance</w:t>
      </w:r>
      <w:r>
        <w:t>,</w:t>
      </w:r>
      <w:proofErr w:type="gramEnd"/>
      <w:r w:rsidRPr="004B7EF4">
        <w:t xml:space="preserve"> </w:t>
      </w:r>
      <w:r>
        <w:t>Report</w:t>
      </w:r>
      <w:r w:rsidRPr="004B7EF4">
        <w:t xml:space="preserve"> No. 83/282 dated 1984-11-06.</w:t>
      </w:r>
    </w:p>
    <w:p w:rsidR="001D41E2" w:rsidRPr="004B7EF4" w:rsidRDefault="001D41E2" w:rsidP="009266C5">
      <w:pPr>
        <w:spacing w:after="240"/>
        <w:ind w:left="480" w:hanging="480"/>
        <w:jc w:val="both"/>
      </w:pPr>
      <w:r w:rsidRPr="004B7EF4">
        <w:t xml:space="preserve">BASF AG (1984f) Report on the Acute Dermal Irritation/ Corrosivity to the Intact Dorsal Skin of the White Rabbit based on OECD BASF unpublished report on </w:t>
      </w:r>
      <w:proofErr w:type="gramStart"/>
      <w:r w:rsidRPr="004B7EF4">
        <w:t>substance</w:t>
      </w:r>
      <w:r>
        <w:t>,</w:t>
      </w:r>
      <w:proofErr w:type="gramEnd"/>
      <w:r w:rsidRPr="004B7EF4">
        <w:t xml:space="preserve"> </w:t>
      </w:r>
      <w:r>
        <w:t>Report</w:t>
      </w:r>
      <w:r w:rsidRPr="004B7EF4">
        <w:t xml:space="preserve"> No. 83/282 dated 1984-03-20. </w:t>
      </w:r>
    </w:p>
    <w:p w:rsidR="001D41E2" w:rsidRPr="004B7EF4" w:rsidRDefault="001D41E2" w:rsidP="009266C5">
      <w:pPr>
        <w:spacing w:after="240"/>
        <w:ind w:left="480" w:hanging="480"/>
        <w:jc w:val="both"/>
      </w:pPr>
      <w:r w:rsidRPr="005D3652">
        <w:rPr>
          <w:lang w:val="de-DE"/>
        </w:rPr>
        <w:t xml:space="preserve">BASF AG (1985). Akute Inhalationstoxizität LC50 4 Stunden (Ratte) Dampf-Versuch von 2-Ethylhexylchlorformiat (Substanz-Nr. </w:t>
      </w:r>
      <w:r w:rsidRPr="004B7EF4">
        <w:t>83/52). BASF Unpublished report on substance</w:t>
      </w:r>
      <w:r>
        <w:t>,</w:t>
      </w:r>
      <w:r w:rsidRPr="004B7EF4">
        <w:t xml:space="preserve"> </w:t>
      </w:r>
      <w:r>
        <w:t>Report</w:t>
      </w:r>
      <w:r w:rsidRPr="004B7EF4">
        <w:t xml:space="preserve"> No. 83/52 dated 1985-02-08.</w:t>
      </w:r>
    </w:p>
    <w:p w:rsidR="001D41E2" w:rsidRPr="004B7EF4" w:rsidRDefault="001D41E2" w:rsidP="009266C5">
      <w:pPr>
        <w:tabs>
          <w:tab w:val="left" w:pos="1134"/>
        </w:tabs>
        <w:spacing w:after="240"/>
        <w:ind w:left="480" w:hanging="480"/>
        <w:jc w:val="both"/>
      </w:pPr>
      <w:proofErr w:type="gramStart"/>
      <w:r w:rsidRPr="00955D12">
        <w:t>BASF AG (1987a).</w:t>
      </w:r>
      <w:proofErr w:type="gramEnd"/>
      <w:r w:rsidRPr="004B7EF4">
        <w:t xml:space="preserve"> </w:t>
      </w:r>
      <w:proofErr w:type="gramStart"/>
      <w:r w:rsidRPr="004B7EF4">
        <w:t>Department of Central Analytics.</w:t>
      </w:r>
      <w:proofErr w:type="gramEnd"/>
      <w:r w:rsidRPr="004B7EF4">
        <w:t xml:space="preserve"> Bestimmung des Verteilungskoeffizienten </w:t>
      </w:r>
      <w:proofErr w:type="gramStart"/>
      <w:r w:rsidRPr="004B7EF4">
        <w:t>Pow</w:t>
      </w:r>
      <w:proofErr w:type="gramEnd"/>
      <w:r w:rsidRPr="004B7EF4">
        <w:t xml:space="preserve"> von 2-Ethyl-1-Hexanol in n</w:t>
      </w:r>
      <w:r w:rsidRPr="004B7EF4">
        <w:noBreakHyphen/>
        <w:t xml:space="preserve">Octanol/Wasser (Determination of the Pow of 2-ethylhexanol), </w:t>
      </w:r>
      <w:r>
        <w:t>R</w:t>
      </w:r>
      <w:r w:rsidRPr="004B7EF4">
        <w:t xml:space="preserve">eport No. 124659/02, 01 Dec 1987.  </w:t>
      </w:r>
    </w:p>
    <w:p w:rsidR="001D41E2" w:rsidRPr="004B7EF4" w:rsidRDefault="001D41E2" w:rsidP="009266C5">
      <w:pPr>
        <w:tabs>
          <w:tab w:val="left" w:pos="1134"/>
        </w:tabs>
        <w:spacing w:after="240"/>
        <w:ind w:left="480" w:hanging="480"/>
        <w:jc w:val="both"/>
      </w:pPr>
      <w:proofErr w:type="gramStart"/>
      <w:r w:rsidRPr="004B7EF4">
        <w:t>BASF AG (1987b).</w:t>
      </w:r>
      <w:proofErr w:type="gramEnd"/>
      <w:r w:rsidRPr="004B7EF4">
        <w:t xml:space="preserve"> </w:t>
      </w:r>
      <w:proofErr w:type="gramStart"/>
      <w:r w:rsidRPr="004B7EF4">
        <w:t>Department of Toxicology.</w:t>
      </w:r>
      <w:proofErr w:type="gramEnd"/>
      <w:r w:rsidRPr="004B7EF4">
        <w:t xml:space="preserve"> Report on the study of the acute toxicity of oxydiethylene bischloroformate to </w:t>
      </w:r>
      <w:proofErr w:type="gramStart"/>
      <w:r w:rsidRPr="004B7EF4">
        <w:t>the  golden</w:t>
      </w:r>
      <w:proofErr w:type="gramEnd"/>
      <w:r w:rsidRPr="004B7EF4">
        <w:t xml:space="preserve"> orfe (Leuciscus idus L., golden variety). Report No. 10F0531/875206 (87/531), 17 Dec 1987.</w:t>
      </w:r>
    </w:p>
    <w:p w:rsidR="001D41E2" w:rsidRPr="004B7EF4" w:rsidRDefault="001D41E2" w:rsidP="00927EAA">
      <w:pPr>
        <w:tabs>
          <w:tab w:val="left" w:pos="1134"/>
        </w:tabs>
        <w:spacing w:after="240"/>
        <w:ind w:left="480" w:hanging="480"/>
        <w:jc w:val="both"/>
      </w:pPr>
      <w:r w:rsidRPr="004B7EF4">
        <w:t>BASF AG (1987</w:t>
      </w:r>
      <w:r>
        <w:t>c</w:t>
      </w:r>
      <w:r w:rsidRPr="004B7EF4">
        <w:t>) Report on the study of the acute inhalation toxicity LC50 of sec.-butyl chloroformate as vapour in rats, exposition for 4 h. Project No.13I0122/877009; BASF unpublished report dated 1987-08-24.</w:t>
      </w:r>
    </w:p>
    <w:p w:rsidR="001D41E2" w:rsidRPr="00457488" w:rsidRDefault="001D41E2" w:rsidP="009266C5">
      <w:pPr>
        <w:tabs>
          <w:tab w:val="left" w:pos="1134"/>
        </w:tabs>
        <w:spacing w:after="240"/>
        <w:ind w:left="480" w:hanging="480"/>
        <w:jc w:val="both"/>
        <w:rPr>
          <w:lang w:val="en-GB"/>
        </w:rPr>
      </w:pPr>
      <w:proofErr w:type="gramStart"/>
      <w:r w:rsidRPr="004B7EF4">
        <w:t>BASF AG (1988a).</w:t>
      </w:r>
      <w:proofErr w:type="gramEnd"/>
      <w:r w:rsidRPr="004B7EF4">
        <w:t xml:space="preserve"> </w:t>
      </w:r>
      <w:proofErr w:type="gramStart"/>
      <w:r w:rsidRPr="004B7EF4">
        <w:t>Department of Toxicology.</w:t>
      </w:r>
      <w:proofErr w:type="gramEnd"/>
      <w:r w:rsidRPr="004B7EF4">
        <w:t xml:space="preserve"> Report on the study of the acute toxicity of 2-ethylhexyl chloroformate to the golden orfe (Leuciscus idus L., golden variety). </w:t>
      </w:r>
      <w:proofErr w:type="gramStart"/>
      <w:r w:rsidRPr="00457488">
        <w:rPr>
          <w:lang w:val="en-GB"/>
        </w:rPr>
        <w:t>Report No. 10F0530/875002, 08 Mar 1988.</w:t>
      </w:r>
      <w:proofErr w:type="gramEnd"/>
    </w:p>
    <w:p w:rsidR="001D41E2" w:rsidRPr="004B7EF4" w:rsidRDefault="001D41E2" w:rsidP="00927EAA">
      <w:pPr>
        <w:tabs>
          <w:tab w:val="left" w:pos="1134"/>
        </w:tabs>
        <w:spacing w:after="240"/>
        <w:ind w:left="480" w:hanging="480"/>
        <w:jc w:val="both"/>
      </w:pPr>
      <w:r w:rsidRPr="004B7EF4">
        <w:t xml:space="preserve">BASF </w:t>
      </w:r>
      <w:proofErr w:type="gramStart"/>
      <w:r w:rsidRPr="004B7EF4">
        <w:t>AG  (</w:t>
      </w:r>
      <w:proofErr w:type="gramEnd"/>
      <w:r>
        <w:t>1988b)</w:t>
      </w:r>
      <w:r w:rsidRPr="004B7EF4">
        <w:t xml:space="preserve"> Report on the Study of chloroformic acid propylester (ZST Test Substance No.: 87/523) in the Ames Test (Pre incubation Test with Salmonella typhimurium). </w:t>
      </w:r>
      <w:proofErr w:type="gramStart"/>
      <w:r w:rsidRPr="004B7EF4">
        <w:t>Project  No</w:t>
      </w:r>
      <w:proofErr w:type="gramEnd"/>
      <w:r w:rsidRPr="004B7EF4">
        <w:t xml:space="preserve">. 40M0523/874090; BASF unpublished report dated 1988-09-01. </w:t>
      </w:r>
    </w:p>
    <w:p w:rsidR="001D41E2" w:rsidRPr="004B7EF4" w:rsidRDefault="001D41E2" w:rsidP="00927EAA">
      <w:pPr>
        <w:tabs>
          <w:tab w:val="left" w:pos="1134"/>
        </w:tabs>
        <w:spacing w:after="240"/>
        <w:ind w:left="480" w:hanging="480"/>
        <w:jc w:val="both"/>
      </w:pPr>
      <w:r w:rsidRPr="004B7EF4">
        <w:t>BASF AG (1988</w:t>
      </w:r>
      <w:r>
        <w:t>c</w:t>
      </w:r>
      <w:r w:rsidRPr="004B7EF4">
        <w:t xml:space="preserve">) Report on the study ofchloroformic acid methylester (ZST Test Substance No.87/260) in the Ames </w:t>
      </w:r>
      <w:proofErr w:type="gramStart"/>
      <w:r w:rsidRPr="004B7EF4">
        <w:t>Test</w:t>
      </w:r>
      <w:proofErr w:type="gramEnd"/>
      <w:r w:rsidRPr="004B7EF4">
        <w:t xml:space="preserve"> (Preincubation test with Salmonella typhimurium). </w:t>
      </w:r>
      <w:proofErr w:type="gramStart"/>
      <w:r w:rsidRPr="004B7EF4">
        <w:t>Project  No</w:t>
      </w:r>
      <w:proofErr w:type="gramEnd"/>
      <w:r w:rsidRPr="004B7EF4">
        <w:t>. 40M0260/874086; BASF unpublished report dated 1988-09-07.</w:t>
      </w:r>
    </w:p>
    <w:p w:rsidR="001D41E2" w:rsidRPr="00457488" w:rsidRDefault="001D41E2" w:rsidP="00927EAA">
      <w:pPr>
        <w:tabs>
          <w:tab w:val="left" w:pos="1134"/>
        </w:tabs>
        <w:spacing w:after="240"/>
        <w:ind w:left="480" w:hanging="480"/>
        <w:jc w:val="both"/>
        <w:rPr>
          <w:lang w:val="en-GB"/>
        </w:rPr>
      </w:pPr>
      <w:r>
        <w:t>BASF AG (1988d</w:t>
      </w:r>
      <w:r w:rsidRPr="004B7EF4">
        <w:t xml:space="preserve">) Report on the study of chloroformic acid ethylester (ZST Test Substance No. 87/261) in the Ames </w:t>
      </w:r>
      <w:proofErr w:type="gramStart"/>
      <w:r w:rsidRPr="004B7EF4">
        <w:t>Test</w:t>
      </w:r>
      <w:proofErr w:type="gramEnd"/>
      <w:r w:rsidRPr="004B7EF4">
        <w:t xml:space="preserve"> (Preincubation test with Salmonella typhimurium). </w:t>
      </w:r>
      <w:proofErr w:type="gramStart"/>
      <w:r w:rsidRPr="00457488">
        <w:rPr>
          <w:lang w:val="en-GB"/>
        </w:rPr>
        <w:t>Project  No</w:t>
      </w:r>
      <w:proofErr w:type="gramEnd"/>
      <w:r w:rsidRPr="00457488">
        <w:rPr>
          <w:lang w:val="en-GB"/>
        </w:rPr>
        <w:t>. 40M0261/874087; BASF unpublished report dated 1988-09-07.</w:t>
      </w:r>
    </w:p>
    <w:p w:rsidR="001D41E2" w:rsidRPr="005D3652" w:rsidRDefault="001D41E2" w:rsidP="009266C5">
      <w:pPr>
        <w:tabs>
          <w:tab w:val="left" w:pos="1134"/>
        </w:tabs>
        <w:spacing w:after="240"/>
        <w:ind w:left="480" w:hanging="480"/>
        <w:jc w:val="both"/>
        <w:rPr>
          <w:lang w:val="de-DE"/>
        </w:rPr>
      </w:pPr>
      <w:proofErr w:type="gramStart"/>
      <w:r w:rsidRPr="004B7EF4">
        <w:t>BASF AG (1989a)</w:t>
      </w:r>
      <w:r>
        <w:t xml:space="preserve"> </w:t>
      </w:r>
      <w:r w:rsidRPr="00457488">
        <w:rPr>
          <w:lang w:val="en-GB"/>
        </w:rPr>
        <w:t>Department of Central Analytics.</w:t>
      </w:r>
      <w:proofErr w:type="gramEnd"/>
      <w:r w:rsidRPr="00457488">
        <w:rPr>
          <w:lang w:val="en-GB"/>
        </w:rPr>
        <w:t xml:space="preserve"> </w:t>
      </w:r>
      <w:r w:rsidRPr="005D3652">
        <w:rPr>
          <w:lang w:val="de-DE"/>
        </w:rPr>
        <w:t>Physikalisch-chemische Konstanten: Dampfdruck von Methylchlorformiat. BRU 89.360, 21 Dec 1989.</w:t>
      </w:r>
    </w:p>
    <w:p w:rsidR="001D41E2" w:rsidRPr="005D3652" w:rsidRDefault="001D41E2" w:rsidP="009266C5">
      <w:pPr>
        <w:tabs>
          <w:tab w:val="left" w:pos="1134"/>
        </w:tabs>
        <w:spacing w:after="240"/>
        <w:ind w:left="480" w:hanging="480"/>
        <w:jc w:val="both"/>
        <w:rPr>
          <w:lang w:val="de-DE"/>
        </w:rPr>
      </w:pPr>
      <w:r w:rsidRPr="005D3652">
        <w:rPr>
          <w:lang w:val="de-DE"/>
        </w:rPr>
        <w:t xml:space="preserve">BASF AG (1989b). Department of Central Analytics. Dampfdruck von Diethylenglykolbischlorformiat (vapor pressure of diethylene bischloroformate), </w:t>
      </w:r>
      <w:r>
        <w:rPr>
          <w:lang w:val="de-DE"/>
        </w:rPr>
        <w:t>R</w:t>
      </w:r>
      <w:r w:rsidRPr="005D3652">
        <w:rPr>
          <w:lang w:val="de-DE"/>
        </w:rPr>
        <w:t>eport No. BRU 89.185, 07 Dec 1989.</w:t>
      </w:r>
    </w:p>
    <w:p w:rsidR="001D41E2" w:rsidRPr="004B7EF4" w:rsidRDefault="001D41E2" w:rsidP="009266C5">
      <w:pPr>
        <w:tabs>
          <w:tab w:val="left" w:pos="1134"/>
        </w:tabs>
        <w:spacing w:after="240"/>
        <w:ind w:left="480" w:hanging="480"/>
        <w:jc w:val="both"/>
      </w:pPr>
      <w:proofErr w:type="gramStart"/>
      <w:r w:rsidRPr="004B7EF4">
        <w:t>BASF AG (1989c) Department of Ecology.</w:t>
      </w:r>
      <w:proofErr w:type="gramEnd"/>
      <w:r w:rsidRPr="004B7EF4">
        <w:t xml:space="preserve"> Test report on respirometric test (EC method). Report No. 88/0537, 28 Feb 1989.</w:t>
      </w:r>
    </w:p>
    <w:p w:rsidR="001D41E2" w:rsidRPr="004B7EF4" w:rsidRDefault="001D41E2" w:rsidP="00B606CE">
      <w:pPr>
        <w:tabs>
          <w:tab w:val="left" w:pos="1134"/>
        </w:tabs>
        <w:spacing w:after="240"/>
        <w:ind w:left="480" w:hanging="480"/>
        <w:jc w:val="both"/>
      </w:pPr>
      <w:r>
        <w:t xml:space="preserve">BASF AG (1989d). </w:t>
      </w:r>
      <w:proofErr w:type="gramStart"/>
      <w:r>
        <w:t>Analytical Laboratory.</w:t>
      </w:r>
      <w:proofErr w:type="gramEnd"/>
      <w:r>
        <w:t xml:space="preserve"> </w:t>
      </w:r>
      <w:r>
        <w:rPr>
          <w:i/>
          <w:iCs/>
        </w:rPr>
        <w:t xml:space="preserve">Pseudomonas </w:t>
      </w:r>
      <w:r>
        <w:t>Growth Inhibition Test with oxydiethylene bischloroformate. Report No. 306383, 25 Apr 1989 (not available).</w:t>
      </w:r>
    </w:p>
    <w:p w:rsidR="001D41E2" w:rsidRPr="004B7EF4" w:rsidRDefault="001D41E2" w:rsidP="00B606CE">
      <w:pPr>
        <w:tabs>
          <w:tab w:val="left" w:pos="1134"/>
        </w:tabs>
        <w:spacing w:after="240"/>
        <w:ind w:left="480" w:hanging="480"/>
        <w:jc w:val="both"/>
      </w:pPr>
      <w:r w:rsidRPr="00A50500">
        <w:t>BASF AG (1991)</w:t>
      </w:r>
      <w:r w:rsidRPr="004B7EF4">
        <w:t xml:space="preserve"> Study of the Prenatal Toxicity of Isodecanol, 2-Ethylhexanol and 711 Alcohol (T.C.) </w:t>
      </w:r>
      <w:r>
        <w:t xml:space="preserve">BASF </w:t>
      </w:r>
      <w:r w:rsidRPr="004B7EF4">
        <w:t xml:space="preserve">Project no. 92R0753/88069 unpublished </w:t>
      </w:r>
      <w:proofErr w:type="gramStart"/>
      <w:r w:rsidRPr="004B7EF4">
        <w:t>report</w:t>
      </w:r>
      <w:proofErr w:type="gramEnd"/>
      <w:r w:rsidRPr="004B7EF4">
        <w:t xml:space="preserve"> dated 1991-03-21.</w:t>
      </w:r>
    </w:p>
    <w:p w:rsidR="001D41E2" w:rsidRPr="004B7EF4" w:rsidRDefault="001D41E2" w:rsidP="00F22E56">
      <w:pPr>
        <w:tabs>
          <w:tab w:val="left" w:pos="1134"/>
        </w:tabs>
        <w:spacing w:after="240"/>
        <w:ind w:left="480" w:hanging="480"/>
        <w:jc w:val="both"/>
      </w:pPr>
      <w:r w:rsidRPr="000E6C9F">
        <w:t xml:space="preserve">BASF AG </w:t>
      </w:r>
      <w:r w:rsidRPr="000E6C9F">
        <w:tab/>
        <w:t xml:space="preserve">(1992) Report on the inhalation toxicity of 2-Ethylhexanol as a vapor in rats 90-day test BASF AG, Department of Toxicology </w:t>
      </w:r>
      <w:r>
        <w:t xml:space="preserve">Project No. </w:t>
      </w:r>
      <w:r w:rsidRPr="000E6C9F">
        <w:t>50I0044/89022</w:t>
      </w:r>
      <w:r>
        <w:t xml:space="preserve"> </w:t>
      </w:r>
      <w:r w:rsidRPr="000E6C9F">
        <w:t>unpubli</w:t>
      </w:r>
      <w:r>
        <w:t>s</w:t>
      </w:r>
      <w:r w:rsidRPr="000E6C9F">
        <w:t xml:space="preserve">hed </w:t>
      </w:r>
      <w:proofErr w:type="gramStart"/>
      <w:r w:rsidRPr="000E6C9F">
        <w:t>report  1992</w:t>
      </w:r>
      <w:proofErr w:type="gramEnd"/>
      <w:r w:rsidRPr="000E6C9F">
        <w:t>-0-16</w:t>
      </w:r>
      <w:r>
        <w:t>.</w:t>
      </w:r>
      <w:r w:rsidRPr="004B7EF4">
        <w:t xml:space="preserve"> </w:t>
      </w:r>
    </w:p>
    <w:p w:rsidR="001D41E2" w:rsidRPr="004B7EF4" w:rsidRDefault="001D41E2" w:rsidP="009266C5">
      <w:pPr>
        <w:tabs>
          <w:tab w:val="left" w:pos="1134"/>
        </w:tabs>
        <w:spacing w:after="240"/>
        <w:ind w:left="480" w:hanging="480"/>
        <w:jc w:val="both"/>
      </w:pPr>
      <w:r>
        <w:rPr>
          <w:lang w:val="de-DE"/>
        </w:rPr>
        <w:t>BASF AG (1995)</w:t>
      </w:r>
      <w:r w:rsidRPr="005D3652">
        <w:rPr>
          <w:lang w:val="de-DE"/>
        </w:rPr>
        <w:t xml:space="preserve"> Emissionsüberwachung und Ökologie, Labor für Mikrobiologie. Prüfung der biologischen Abbaubarkeit von Diethylenglykol im CO2-Entwicklungstest (Modifizierter Sturmtest). </w:t>
      </w:r>
      <w:r w:rsidRPr="004B7EF4">
        <w:t>Report No. 94/1129/22/1, 29 Apr 1995.</w:t>
      </w:r>
    </w:p>
    <w:p w:rsidR="001D41E2" w:rsidRPr="004B7EF4" w:rsidRDefault="001D41E2" w:rsidP="00B606CE">
      <w:pPr>
        <w:tabs>
          <w:tab w:val="left" w:pos="1134"/>
        </w:tabs>
        <w:spacing w:after="240"/>
        <w:ind w:left="480" w:hanging="480"/>
        <w:jc w:val="both"/>
      </w:pPr>
      <w:proofErr w:type="gramStart"/>
      <w:r w:rsidRPr="004B7EF4">
        <w:t>BASF AG (1998a) Department of Toxicology.</w:t>
      </w:r>
      <w:proofErr w:type="gramEnd"/>
      <w:r w:rsidRPr="004B7EF4">
        <w:t xml:space="preserve"> </w:t>
      </w:r>
      <w:proofErr w:type="gramStart"/>
      <w:r w:rsidRPr="004B7EF4">
        <w:t>n-Propylchlorformiat</w:t>
      </w:r>
      <w:proofErr w:type="gramEnd"/>
      <w:r w:rsidRPr="004B7EF4">
        <w:t xml:space="preserve"> - Acute toxicity study on the zebra fish (Brachydanio rerio HAM. and BUCH.) in a static system (96 hours). </w:t>
      </w:r>
      <w:proofErr w:type="gramStart"/>
      <w:r w:rsidRPr="004B7EF4">
        <w:t>Report No. 17F0620/965161, 09 Jun 1998.</w:t>
      </w:r>
      <w:proofErr w:type="gramEnd"/>
    </w:p>
    <w:p w:rsidR="001D41E2" w:rsidRPr="004B7EF4" w:rsidRDefault="001D41E2" w:rsidP="00B606CE">
      <w:pPr>
        <w:tabs>
          <w:tab w:val="left" w:pos="1134"/>
        </w:tabs>
        <w:spacing w:after="240"/>
        <w:ind w:left="480" w:hanging="480"/>
        <w:jc w:val="both"/>
      </w:pPr>
      <w:proofErr w:type="gramStart"/>
      <w:r w:rsidRPr="004B7EF4">
        <w:t>BASF AG (1998b).</w:t>
      </w:r>
      <w:proofErr w:type="gramEnd"/>
      <w:r w:rsidRPr="004B7EF4">
        <w:t xml:space="preserve"> </w:t>
      </w:r>
      <w:proofErr w:type="gramStart"/>
      <w:r w:rsidRPr="004B7EF4">
        <w:t>Department of Toxicology.</w:t>
      </w:r>
      <w:proofErr w:type="gramEnd"/>
      <w:r w:rsidRPr="004B7EF4">
        <w:t xml:space="preserve"> </w:t>
      </w:r>
      <w:proofErr w:type="gramStart"/>
      <w:r w:rsidRPr="004B7EF4">
        <w:t>Isopropylchlorformiat - Acute toxicity study on the zebra fish (Brachydanio rerio HAM. and BUCH.) in a semi-static system (96 hours).</w:t>
      </w:r>
      <w:proofErr w:type="gramEnd"/>
      <w:r w:rsidRPr="004B7EF4">
        <w:t xml:space="preserve"> </w:t>
      </w:r>
      <w:proofErr w:type="gramStart"/>
      <w:r w:rsidRPr="004B7EF4">
        <w:t>Report No. 17F0620/965161, 28 Aug 1998.</w:t>
      </w:r>
      <w:proofErr w:type="gramEnd"/>
    </w:p>
    <w:p w:rsidR="001D41E2" w:rsidRPr="004B7EF4" w:rsidRDefault="001D41E2" w:rsidP="008A1CBA">
      <w:pPr>
        <w:spacing w:after="240"/>
        <w:ind w:left="480" w:hanging="480"/>
        <w:jc w:val="both"/>
      </w:pPr>
      <w:r w:rsidRPr="004B7EF4">
        <w:t>BASF AG (19</w:t>
      </w:r>
      <w:r>
        <w:t>98c</w:t>
      </w:r>
      <w:r w:rsidRPr="004B7EF4">
        <w:t xml:space="preserve">) Report of the study of diglykolbischloroformiat (ZST Test Substance No 88/713) in the Ames </w:t>
      </w:r>
      <w:proofErr w:type="gramStart"/>
      <w:r w:rsidRPr="004B7EF4">
        <w:t>Test</w:t>
      </w:r>
      <w:proofErr w:type="gramEnd"/>
      <w:r w:rsidRPr="004B7EF4">
        <w:t xml:space="preserve"> (Standard plate test and preincubation test with Salmonella typhimurium).  Project No. 40M0713/884314; BASF unpublished report dated 19</w:t>
      </w:r>
      <w:r>
        <w:t>98</w:t>
      </w:r>
      <w:r w:rsidRPr="004B7EF4">
        <w:t>-02-22.</w:t>
      </w:r>
    </w:p>
    <w:p w:rsidR="001D41E2" w:rsidRPr="004B7EF4" w:rsidRDefault="001D41E2" w:rsidP="00B606CE">
      <w:pPr>
        <w:tabs>
          <w:tab w:val="left" w:pos="1134"/>
        </w:tabs>
        <w:spacing w:after="240"/>
        <w:ind w:left="480" w:hanging="480"/>
        <w:jc w:val="both"/>
      </w:pPr>
      <w:proofErr w:type="gramStart"/>
      <w:r w:rsidRPr="004B7EF4">
        <w:t>BASF AG (1999a).</w:t>
      </w:r>
      <w:proofErr w:type="gramEnd"/>
      <w:r w:rsidRPr="004B7EF4">
        <w:t xml:space="preserve"> </w:t>
      </w:r>
      <w:proofErr w:type="gramStart"/>
      <w:r w:rsidRPr="004B7EF4">
        <w:t>Laboratory of Ecology.</w:t>
      </w:r>
      <w:proofErr w:type="gramEnd"/>
      <w:r w:rsidRPr="004B7EF4">
        <w:t xml:space="preserve">  </w:t>
      </w:r>
      <w:proofErr w:type="gramStart"/>
      <w:r w:rsidRPr="004B7EF4">
        <w:t>Determination of the inhibition of oxygen consumption by activated sludge by methylchloroformate in the activated sludge respiration inhibition test acccording to OECD 209, ISO 8192 and GLP, EN 45001, ISO 9002.</w:t>
      </w:r>
      <w:proofErr w:type="gramEnd"/>
      <w:r w:rsidRPr="004B7EF4">
        <w:t xml:space="preserve"> Report No. 99/0403/08/1, 08 Nov 1999.</w:t>
      </w:r>
    </w:p>
    <w:p w:rsidR="001D41E2" w:rsidRPr="004B7EF4" w:rsidRDefault="001D41E2" w:rsidP="009266C5">
      <w:pPr>
        <w:tabs>
          <w:tab w:val="left" w:pos="1134"/>
        </w:tabs>
        <w:spacing w:after="240"/>
        <w:ind w:left="480" w:hanging="480"/>
        <w:jc w:val="both"/>
      </w:pPr>
      <w:proofErr w:type="gramStart"/>
      <w:r w:rsidRPr="004B7EF4">
        <w:t>BASF AG (1999b).</w:t>
      </w:r>
      <w:proofErr w:type="gramEnd"/>
      <w:r w:rsidRPr="004B7EF4">
        <w:t xml:space="preserve"> </w:t>
      </w:r>
      <w:proofErr w:type="gramStart"/>
      <w:r w:rsidRPr="004B7EF4">
        <w:t>Department of Toxicology.</w:t>
      </w:r>
      <w:proofErr w:type="gramEnd"/>
      <w:r w:rsidRPr="004B7EF4">
        <w:t xml:space="preserve"> Sec. Butylchlorformiat, Acute toxicity study on the zebra fish (Brachydanio rerio Ham. and Buch.) in a static system (96 hours). </w:t>
      </w:r>
      <w:proofErr w:type="gramStart"/>
      <w:r w:rsidRPr="004B7EF4">
        <w:t>Report No. 17F0546/965158, 31 May 1999.</w:t>
      </w:r>
      <w:proofErr w:type="gramEnd"/>
    </w:p>
    <w:p w:rsidR="001D41E2" w:rsidRPr="004B7EF4" w:rsidRDefault="001D41E2" w:rsidP="008A1CBA">
      <w:pPr>
        <w:tabs>
          <w:tab w:val="left" w:pos="1134"/>
        </w:tabs>
        <w:spacing w:after="240"/>
        <w:ind w:left="480" w:hanging="480"/>
        <w:jc w:val="both"/>
      </w:pPr>
      <w:r w:rsidRPr="004B7EF4">
        <w:t xml:space="preserve">BASF AG (1999c) Chloroformic Acid Methyl Ester (Chlorameisensäuremethylester) (BG-Nr . 36) - 90-day vapor inhalation study in Wistar rats wit h interim necropsies of satellité groups after 3, 10 and 20 exposures  BG Berufsgenossenschaft der chemischen Industrie Report no. 99I0199/9400 6  Unpublished study report dated 1999-12-08. </w:t>
      </w:r>
    </w:p>
    <w:p w:rsidR="001D41E2" w:rsidRPr="004B7EF4" w:rsidRDefault="001D41E2" w:rsidP="00B606CE">
      <w:pPr>
        <w:tabs>
          <w:tab w:val="left" w:pos="1134"/>
        </w:tabs>
        <w:spacing w:after="240"/>
        <w:ind w:left="480" w:hanging="480"/>
        <w:jc w:val="both"/>
      </w:pPr>
      <w:r w:rsidRPr="004B7EF4">
        <w:t>BASF AG (1999d) Salmonella typhimurium/Escherichia coli reverse mutation assay (Standard plate test and preincubation test) with Isopropylchlorformiat. Project No. 40M0545/964336. BASF AG Unpublished study report dated 1999-03-19.</w:t>
      </w:r>
    </w:p>
    <w:p w:rsidR="001D41E2" w:rsidRPr="004B7EF4" w:rsidRDefault="001D41E2" w:rsidP="00B606CE">
      <w:pPr>
        <w:tabs>
          <w:tab w:val="left" w:pos="1134"/>
        </w:tabs>
        <w:spacing w:after="240"/>
        <w:ind w:left="480" w:hanging="480"/>
        <w:jc w:val="both"/>
        <w:rPr>
          <w:rFonts w:ascii="Helvetica" w:hAnsi="Helvetica" w:cs="Helvetica"/>
          <w:sz w:val="20"/>
          <w:szCs w:val="20"/>
        </w:rPr>
      </w:pPr>
      <w:r w:rsidRPr="004B7EF4">
        <w:t>BASF AG (1999e) Salmonella Typhimurium / Escherichia Coli reverse Mutation Assay with sec. Butylchlorformiat.  Project No.  40M0546/964346 BASF AG Unpublished study report dated 1999-03-17.</w:t>
      </w:r>
      <w:r w:rsidRPr="004B7EF4">
        <w:rPr>
          <w:rFonts w:ascii="Helvetica" w:hAnsi="Helvetica" w:cs="Helvetica"/>
          <w:b/>
          <w:bCs/>
          <w:sz w:val="16"/>
          <w:szCs w:val="16"/>
        </w:rPr>
        <w:tab/>
      </w:r>
      <w:r w:rsidRPr="004B7EF4">
        <w:rPr>
          <w:rFonts w:ascii="Helvetica" w:hAnsi="Helvetica" w:cs="Helvetica"/>
          <w:sz w:val="20"/>
          <w:szCs w:val="20"/>
        </w:rPr>
        <w:t xml:space="preserve"> </w:t>
      </w:r>
    </w:p>
    <w:p w:rsidR="001D41E2" w:rsidRPr="004B7EF4" w:rsidRDefault="001D41E2" w:rsidP="00B606CE">
      <w:pPr>
        <w:tabs>
          <w:tab w:val="left" w:pos="1134"/>
        </w:tabs>
        <w:spacing w:after="240"/>
        <w:ind w:left="480" w:hanging="480"/>
        <w:jc w:val="both"/>
      </w:pPr>
      <w:r w:rsidRPr="004B7EF4">
        <w:t xml:space="preserve"> BASF AG. (2000) Salmonella typhimurium/ Escherichia coli reverse mutation assay (standard plate test and preincubation test) with 2-ethylhexylchloroformiat. Project No. 40M0034/994005, BASF Unpublished study report dated 2000-04-14.</w:t>
      </w:r>
    </w:p>
    <w:p w:rsidR="001D41E2" w:rsidRPr="004B7EF4" w:rsidRDefault="001D41E2" w:rsidP="009266C5">
      <w:pPr>
        <w:tabs>
          <w:tab w:val="left" w:pos="1134"/>
        </w:tabs>
        <w:spacing w:after="240"/>
        <w:ind w:left="480" w:hanging="480"/>
        <w:jc w:val="both"/>
      </w:pPr>
      <w:r w:rsidRPr="004B7EF4">
        <w:t xml:space="preserve">BASF AG (2005). </w:t>
      </w:r>
      <w:proofErr w:type="gramStart"/>
      <w:r w:rsidRPr="004B7EF4">
        <w:t>Department of Product Safety, diethylene bischloroformate, extrapolation of the vapor pressure to 20 °C, 15 Aug 2005.</w:t>
      </w:r>
      <w:proofErr w:type="gramEnd"/>
    </w:p>
    <w:p w:rsidR="001D41E2" w:rsidRDefault="001D41E2" w:rsidP="009266C5">
      <w:pPr>
        <w:tabs>
          <w:tab w:val="left" w:pos="1134"/>
        </w:tabs>
        <w:spacing w:after="240"/>
        <w:ind w:left="480" w:hanging="480"/>
        <w:jc w:val="both"/>
      </w:pPr>
      <w:r w:rsidRPr="005D3652">
        <w:rPr>
          <w:lang w:val="de-DE"/>
        </w:rPr>
        <w:t>BASF AG (2007</w:t>
      </w:r>
      <w:r>
        <w:rPr>
          <w:lang w:val="de-DE"/>
        </w:rPr>
        <w:t>a</w:t>
      </w:r>
      <w:r w:rsidRPr="005D3652">
        <w:rPr>
          <w:lang w:val="de-DE"/>
        </w:rPr>
        <w:t xml:space="preserve">). Dampfdruck: sec. </w:t>
      </w:r>
      <w:r w:rsidRPr="004B7EF4">
        <w:t xml:space="preserve">Butyl chloroformate. </w:t>
      </w:r>
      <w:proofErr w:type="gramStart"/>
      <w:r w:rsidRPr="004B7EF4">
        <w:t>Department of Central Analytics, report No. 2007-264, 30 Oct 2007.</w:t>
      </w:r>
      <w:proofErr w:type="gramEnd"/>
      <w:r w:rsidRPr="004B7EF4">
        <w:t xml:space="preserve"> </w:t>
      </w:r>
    </w:p>
    <w:p w:rsidR="001D41E2" w:rsidRPr="006F1902" w:rsidRDefault="001D41E2" w:rsidP="006F1902">
      <w:pPr>
        <w:tabs>
          <w:tab w:val="left" w:pos="1134"/>
        </w:tabs>
        <w:spacing w:after="240"/>
        <w:ind w:left="480" w:hanging="480"/>
        <w:jc w:val="both"/>
      </w:pPr>
      <w:r w:rsidRPr="00496F0B">
        <w:t>BASF AG (2007b) Workplace Exposure of Acid Chlorides by Dr. P. Eisenbarth GUS/TD –</w:t>
      </w:r>
      <w:r w:rsidRPr="006F1902">
        <w:t xml:space="preserve"> Occupational Safety / Hazardous Chemicals Management</w:t>
      </w:r>
      <w:r>
        <w:t>;</w:t>
      </w:r>
      <w:r w:rsidRPr="006F1902">
        <w:t xml:space="preserve"> 05 Dec 2007</w:t>
      </w:r>
      <w:r>
        <w:t>.</w:t>
      </w:r>
    </w:p>
    <w:p w:rsidR="001D41E2" w:rsidRPr="0034130B" w:rsidRDefault="001D41E2" w:rsidP="0083718E">
      <w:pPr>
        <w:tabs>
          <w:tab w:val="left" w:pos="1134"/>
        </w:tabs>
        <w:spacing w:after="240"/>
        <w:ind w:left="480" w:hanging="480"/>
        <w:jc w:val="both"/>
      </w:pPr>
      <w:proofErr w:type="gramStart"/>
      <w:r w:rsidRPr="0034130B">
        <w:t>BASF SE (2008a).</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methyl chloroformate (CAS 79-22-1) and methanol (CAS 67-56-1), 05 Nov 2008.</w:t>
      </w:r>
      <w:proofErr w:type="gramEnd"/>
    </w:p>
    <w:p w:rsidR="001D41E2" w:rsidRPr="0034130B" w:rsidRDefault="001D41E2" w:rsidP="0083718E">
      <w:pPr>
        <w:tabs>
          <w:tab w:val="left" w:pos="1134"/>
        </w:tabs>
        <w:spacing w:after="240"/>
        <w:ind w:left="480" w:hanging="480"/>
        <w:jc w:val="both"/>
      </w:pPr>
      <w:proofErr w:type="gramStart"/>
      <w:r w:rsidRPr="0034130B">
        <w:t>BASF SE (2008b).</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ethyl chloroformate (CAS 541-41-3) and ethanol (CAS 64-17-5), 06 Nov 2008.</w:t>
      </w:r>
      <w:proofErr w:type="gramEnd"/>
    </w:p>
    <w:p w:rsidR="001D41E2" w:rsidRPr="004B7EF4" w:rsidRDefault="001D41E2" w:rsidP="0083718E">
      <w:pPr>
        <w:tabs>
          <w:tab w:val="left" w:pos="1134"/>
        </w:tabs>
        <w:spacing w:after="240"/>
        <w:ind w:left="480" w:hanging="480"/>
        <w:jc w:val="both"/>
      </w:pPr>
      <w:proofErr w:type="gramStart"/>
      <w:r w:rsidRPr="0034130B">
        <w:t>BASF SE (2008c).</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propyl chloroformate (CAS 109-61-5) and propanol (CAS 71-23-8), 07 Nov 2008.</w:t>
      </w:r>
      <w:proofErr w:type="gramEnd"/>
    </w:p>
    <w:p w:rsidR="001D41E2" w:rsidRPr="0034130B" w:rsidRDefault="001D41E2" w:rsidP="0083718E">
      <w:pPr>
        <w:tabs>
          <w:tab w:val="left" w:pos="1134"/>
        </w:tabs>
        <w:spacing w:after="240"/>
        <w:ind w:left="480" w:hanging="480"/>
        <w:jc w:val="both"/>
      </w:pPr>
      <w:proofErr w:type="gramStart"/>
      <w:r w:rsidRPr="0034130B">
        <w:t>BASF SE (2008d).</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isopropyl chloroformate (CAS 108-23-6) and isopropanol (CAS 67-63-0), 06 Nov 2008.</w:t>
      </w:r>
      <w:proofErr w:type="gramEnd"/>
    </w:p>
    <w:p w:rsidR="001D41E2" w:rsidRPr="004B7EF4" w:rsidRDefault="001D41E2" w:rsidP="0083718E">
      <w:pPr>
        <w:tabs>
          <w:tab w:val="left" w:pos="1134"/>
        </w:tabs>
        <w:spacing w:after="240"/>
        <w:ind w:left="480" w:hanging="480"/>
        <w:jc w:val="both"/>
      </w:pPr>
      <w:proofErr w:type="gramStart"/>
      <w:r w:rsidRPr="0034130B">
        <w:t>BASF SE (2008e).</w:t>
      </w:r>
      <w:proofErr w:type="gramEnd"/>
      <w:r w:rsidRPr="0034130B">
        <w:t xml:space="preserve"> </w:t>
      </w:r>
      <w:proofErr w:type="gramStart"/>
      <w:r w:rsidRPr="0034130B">
        <w:t>Department of Product Safety.</w:t>
      </w:r>
      <w:proofErr w:type="gramEnd"/>
      <w:r w:rsidRPr="0034130B">
        <w:t xml:space="preserve"> Mackay Level III EQC v2.02 Model calculations for oxydiethylene </w:t>
      </w:r>
      <w:proofErr w:type="gramStart"/>
      <w:r w:rsidRPr="0034130B">
        <w:t>bis(</w:t>
      </w:r>
      <w:proofErr w:type="gramEnd"/>
      <w:r w:rsidRPr="0034130B">
        <w:t>chloroformate) (CAS 106-75-2) and diethylene glycol (CAS 111-46-6), 13 Nov 2008.</w:t>
      </w:r>
    </w:p>
    <w:p w:rsidR="001D41E2" w:rsidRPr="004B7EF4" w:rsidRDefault="001D41E2" w:rsidP="009266C5">
      <w:pPr>
        <w:tabs>
          <w:tab w:val="left" w:pos="1134"/>
        </w:tabs>
        <w:spacing w:after="240"/>
        <w:ind w:left="480" w:hanging="480"/>
        <w:jc w:val="both"/>
      </w:pPr>
      <w:proofErr w:type="gramStart"/>
      <w:r w:rsidRPr="00496F0B">
        <w:t>BASF SE (2008f).</w:t>
      </w:r>
      <w:proofErr w:type="gramEnd"/>
      <w:r w:rsidRPr="004B7EF4">
        <w:t xml:space="preserve"> Safety measures, unpublished data from plant manager, 01 Oct 2008.</w:t>
      </w:r>
    </w:p>
    <w:p w:rsidR="001D41E2" w:rsidRPr="004B7EF4" w:rsidRDefault="001D41E2" w:rsidP="0083718E">
      <w:pPr>
        <w:tabs>
          <w:tab w:val="left" w:pos="1134"/>
        </w:tabs>
        <w:spacing w:after="240"/>
        <w:ind w:left="480" w:hanging="480"/>
        <w:jc w:val="both"/>
      </w:pPr>
      <w:proofErr w:type="gramStart"/>
      <w:r w:rsidRPr="0034130B">
        <w:t>BASF SE (2008g).</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sec-butyl chloroformate (CAS 17462-58-7) and sec-butanol (CAS 78-92-2), 06 Nov 2008.</w:t>
      </w:r>
      <w:proofErr w:type="gramEnd"/>
    </w:p>
    <w:p w:rsidR="001D41E2" w:rsidRPr="004B7EF4" w:rsidRDefault="001D41E2" w:rsidP="009266C5">
      <w:pPr>
        <w:tabs>
          <w:tab w:val="left" w:pos="1134"/>
        </w:tabs>
        <w:spacing w:after="240"/>
        <w:ind w:left="480" w:hanging="480"/>
        <w:jc w:val="both"/>
      </w:pPr>
      <w:proofErr w:type="gramStart"/>
      <w:r w:rsidRPr="004B7EF4">
        <w:t>BASF SE (2009a).</w:t>
      </w:r>
      <w:proofErr w:type="gramEnd"/>
      <w:r w:rsidRPr="004B7EF4">
        <w:t xml:space="preserve"> Purities and impurities, unpublished data from plant manager, 09 Mar 2009.</w:t>
      </w:r>
    </w:p>
    <w:p w:rsidR="001D41E2" w:rsidRPr="004B7EF4" w:rsidRDefault="001D41E2" w:rsidP="0083718E">
      <w:pPr>
        <w:tabs>
          <w:tab w:val="left" w:pos="1134"/>
        </w:tabs>
        <w:spacing w:after="240"/>
        <w:ind w:left="480" w:hanging="480"/>
        <w:jc w:val="both"/>
      </w:pPr>
      <w:proofErr w:type="gramStart"/>
      <w:r w:rsidRPr="0034130B">
        <w:t>BASF SE (2009b).</w:t>
      </w:r>
      <w:proofErr w:type="gramEnd"/>
      <w:r w:rsidRPr="0034130B">
        <w:t xml:space="preserve"> </w:t>
      </w:r>
      <w:proofErr w:type="gramStart"/>
      <w:r w:rsidRPr="0034130B">
        <w:t>Department of Product Safety.</w:t>
      </w:r>
      <w:proofErr w:type="gramEnd"/>
      <w:r w:rsidRPr="0034130B">
        <w:t xml:space="preserve"> </w:t>
      </w:r>
      <w:proofErr w:type="gramStart"/>
      <w:r w:rsidRPr="0034130B">
        <w:t>Mackay Level III EQC v2.02 Model calculations for 2-ethylhexyl chloroformate (CAS 24468-13-1) and 2-ethylhexanol (CAS 104-76-7), 12 Jan 2009.</w:t>
      </w:r>
      <w:proofErr w:type="gramEnd"/>
    </w:p>
    <w:p w:rsidR="001D41E2" w:rsidRDefault="001D41E2" w:rsidP="009266C5">
      <w:pPr>
        <w:tabs>
          <w:tab w:val="left" w:pos="1134"/>
        </w:tabs>
        <w:spacing w:after="240"/>
        <w:ind w:left="480" w:hanging="480"/>
        <w:jc w:val="both"/>
      </w:pPr>
      <w:proofErr w:type="gramStart"/>
      <w:r w:rsidRPr="00496F0B">
        <w:t>BASF SE (2009c).</w:t>
      </w:r>
      <w:proofErr w:type="gramEnd"/>
      <w:r w:rsidRPr="00496F0B">
        <w:t xml:space="preserve"> Manufacture and processing, unpublished data from plant manager, 10 Mar 2009.</w:t>
      </w:r>
    </w:p>
    <w:p w:rsidR="001D41E2" w:rsidRPr="004B7EF4" w:rsidRDefault="001D41E2" w:rsidP="00D505D7">
      <w:pPr>
        <w:tabs>
          <w:tab w:val="left" w:pos="1134"/>
        </w:tabs>
        <w:spacing w:after="240"/>
        <w:ind w:left="480" w:hanging="480"/>
        <w:jc w:val="both"/>
      </w:pPr>
      <w:r>
        <w:t>BASF (</w:t>
      </w:r>
      <w:r w:rsidRPr="001C339C">
        <w:t>Expert judgement</w:t>
      </w:r>
      <w:r>
        <w:t>)</w:t>
      </w:r>
      <w:r w:rsidRPr="001C339C">
        <w:t xml:space="preserve"> (20</w:t>
      </w:r>
      <w:r>
        <w:t>09d</w:t>
      </w:r>
      <w:r w:rsidRPr="001C339C">
        <w:t>)</w:t>
      </w:r>
      <w:r>
        <w:t>,</w:t>
      </w:r>
      <w:r w:rsidRPr="001C339C">
        <w:t xml:space="preserve"> </w:t>
      </w:r>
      <w:r w:rsidRPr="00802C94">
        <w:t>BASF SE / Ludwigshafen am Rhein / Germany</w:t>
      </w:r>
      <w:r w:rsidRPr="001C339C">
        <w:t xml:space="preserve">, </w:t>
      </w:r>
      <w:r>
        <w:t>sec-butyl</w:t>
      </w:r>
      <w:r w:rsidRPr="001C339C">
        <w:t xml:space="preserve"> chloroformate, CAS </w:t>
      </w:r>
      <w:r>
        <w:t>17462-58-7</w:t>
      </w:r>
      <w:r w:rsidRPr="001C339C">
        <w:t xml:space="preserve">, boiling point, </w:t>
      </w:r>
      <w:r>
        <w:t>04</w:t>
      </w:r>
      <w:r w:rsidRPr="001C339C">
        <w:t xml:space="preserve"> </w:t>
      </w:r>
      <w:r>
        <w:t>Nov</w:t>
      </w:r>
      <w:r w:rsidRPr="001C339C">
        <w:t xml:space="preserve"> 20</w:t>
      </w:r>
      <w:r>
        <w:t>09</w:t>
      </w:r>
      <w:r w:rsidRPr="001C339C">
        <w:t>.</w:t>
      </w:r>
    </w:p>
    <w:p w:rsidR="001D41E2" w:rsidRPr="004B7EF4" w:rsidRDefault="001D41E2" w:rsidP="00D505D7">
      <w:pPr>
        <w:tabs>
          <w:tab w:val="left" w:pos="1134"/>
        </w:tabs>
        <w:spacing w:after="240"/>
        <w:ind w:left="480" w:hanging="480"/>
        <w:jc w:val="both"/>
      </w:pPr>
      <w:proofErr w:type="gramStart"/>
      <w:r>
        <w:t>BASF (</w:t>
      </w:r>
      <w:r w:rsidRPr="001C339C">
        <w:t>Expert judgement</w:t>
      </w:r>
      <w:r>
        <w:t>)</w:t>
      </w:r>
      <w:r w:rsidRPr="001C339C">
        <w:t xml:space="preserve"> (2010), BASF SE, GUP/PA, 2-ethylhexyl chloroformate, CAS 24468-13-1, boiling point, 08 Jan 2010.</w:t>
      </w:r>
      <w:proofErr w:type="gramEnd"/>
    </w:p>
    <w:p w:rsidR="001D41E2" w:rsidRPr="001D41E2" w:rsidRDefault="001D41E2" w:rsidP="009266C5">
      <w:pPr>
        <w:tabs>
          <w:tab w:val="left" w:pos="1134"/>
        </w:tabs>
        <w:spacing w:after="240"/>
        <w:ind w:left="480" w:hanging="480"/>
        <w:jc w:val="both"/>
        <w:rPr>
          <w:lang w:val="en-GB"/>
        </w:rPr>
      </w:pPr>
    </w:p>
    <w:p w:rsidR="001D41E2" w:rsidRPr="005D3652" w:rsidRDefault="001D41E2" w:rsidP="009266C5">
      <w:pPr>
        <w:tabs>
          <w:tab w:val="left" w:pos="1134"/>
        </w:tabs>
        <w:spacing w:after="240"/>
        <w:ind w:left="480" w:hanging="480"/>
        <w:jc w:val="both"/>
        <w:rPr>
          <w:lang w:val="de-DE"/>
        </w:rPr>
      </w:pPr>
      <w:r w:rsidRPr="005D3652">
        <w:rPr>
          <w:lang w:val="de-DE"/>
        </w:rPr>
        <w:t>BUA (1991). Beratergremium für Umweltrelevante Altstoffe (BUA) der GDCh. Diglycol-bis-chlorformiat - BUA-Stoffbericht Nr. 82, VCH Weinheim, Germany.</w:t>
      </w:r>
    </w:p>
    <w:p w:rsidR="001D41E2" w:rsidRPr="001D41E2" w:rsidRDefault="001D41E2" w:rsidP="00B606CE">
      <w:pPr>
        <w:tabs>
          <w:tab w:val="left" w:pos="1134"/>
        </w:tabs>
        <w:spacing w:after="240"/>
        <w:ind w:left="480" w:hanging="480"/>
        <w:jc w:val="both"/>
      </w:pPr>
      <w:r w:rsidRPr="00802C94">
        <w:rPr>
          <w:lang w:val="de-DE"/>
        </w:rPr>
        <w:t>Budavari S. (1989</w:t>
      </w:r>
      <w:r>
        <w:rPr>
          <w:lang w:val="de-DE"/>
        </w:rPr>
        <w:t>a</w:t>
      </w:r>
      <w:r w:rsidRPr="00802C94">
        <w:rPr>
          <w:lang w:val="de-DE"/>
        </w:rPr>
        <w:t xml:space="preserve">). </w:t>
      </w:r>
      <w:r w:rsidR="007D3E3E" w:rsidRPr="007D3E3E">
        <w:t xml:space="preserve">The Merck Index - An Encyclopaedia of Chemicals, Drugs and Biologicals, p. 952, Rahway, NJ: Merck and Co., cited in HSDB 25 Sept 2006. </w:t>
      </w:r>
    </w:p>
    <w:p w:rsidR="001D41E2" w:rsidRPr="001D41E2" w:rsidRDefault="007D3E3E" w:rsidP="00B606CE">
      <w:pPr>
        <w:tabs>
          <w:tab w:val="left" w:pos="1134"/>
        </w:tabs>
        <w:spacing w:after="240"/>
        <w:ind w:left="480" w:hanging="480"/>
        <w:jc w:val="both"/>
      </w:pPr>
      <w:r w:rsidRPr="007D3E3E">
        <w:t>Budavari, S. (</w:t>
      </w:r>
      <w:proofErr w:type="gramStart"/>
      <w:r w:rsidRPr="007D3E3E">
        <w:t>ed</w:t>
      </w:r>
      <w:proofErr w:type="gramEnd"/>
      <w:r w:rsidRPr="007D3E3E">
        <w:t xml:space="preserve">.). (1989b) </w:t>
      </w:r>
      <w:proofErr w:type="gramStart"/>
      <w:r w:rsidRPr="007D3E3E">
        <w:t>The</w:t>
      </w:r>
      <w:proofErr w:type="gramEnd"/>
      <w:r w:rsidRPr="007D3E3E">
        <w:t xml:space="preserve"> Merck Index - Encyclopedia of Chemicals, Drugs and Biologicals. Rahway, NJ: Merck and Co., Inc., </w:t>
      </w:r>
      <w:proofErr w:type="gramStart"/>
      <w:r w:rsidRPr="007D3E3E">
        <w:t>1989.,</w:t>
      </w:r>
      <w:proofErr w:type="gramEnd"/>
      <w:r w:rsidRPr="007D3E3E">
        <w:t xml:space="preserve"> p. 1246</w:t>
      </w:r>
    </w:p>
    <w:p w:rsidR="001D41E2" w:rsidRPr="004B7EF4" w:rsidRDefault="007D3E3E" w:rsidP="00B606CE">
      <w:pPr>
        <w:tabs>
          <w:tab w:val="left" w:pos="1134"/>
        </w:tabs>
        <w:spacing w:after="240"/>
        <w:ind w:left="480" w:hanging="480"/>
        <w:jc w:val="both"/>
      </w:pPr>
      <w:proofErr w:type="gramStart"/>
      <w:r w:rsidRPr="007D3E3E">
        <w:t xml:space="preserve">Burbacher, T. </w:t>
      </w:r>
      <w:r w:rsidRPr="007D3E3E">
        <w:rPr>
          <w:i/>
          <w:iCs/>
        </w:rPr>
        <w:t>et al</w:t>
      </w:r>
      <w:r w:rsidRPr="007D3E3E">
        <w:t xml:space="preserve">. </w:t>
      </w:r>
      <w:r w:rsidR="001D41E2" w:rsidRPr="00A50500">
        <w:t>(1999)</w:t>
      </w:r>
      <w:r w:rsidR="001D41E2" w:rsidRPr="004B7EF4">
        <w:t xml:space="preserve"> Reproductive and Offspring Developm.</w:t>
      </w:r>
      <w:proofErr w:type="gramEnd"/>
      <w:r w:rsidR="001D41E2" w:rsidRPr="004B7EF4">
        <w:t xml:space="preserve"> Effects following Maternal Inhalation Exposure to Methanol in Nonhuman Primates: Part I: Methanol Disposition and Reprod. Toxicity in Adult Females; Part II: Developm. Effects in Infants exposed prenatally to Methanol. Health Effects Institute (HEI), Research Report No. 89. </w:t>
      </w:r>
    </w:p>
    <w:p w:rsidR="001D41E2" w:rsidRPr="004B7EF4" w:rsidRDefault="001D41E2" w:rsidP="00B606CE">
      <w:pPr>
        <w:tabs>
          <w:tab w:val="left" w:pos="1134"/>
        </w:tabs>
        <w:spacing w:after="240"/>
        <w:ind w:left="480" w:hanging="480"/>
        <w:jc w:val="both"/>
      </w:pPr>
      <w:r w:rsidRPr="004B7EF4">
        <w:t>Bushy Run Research Center (1992</w:t>
      </w:r>
      <w:r>
        <w:t>a</w:t>
      </w:r>
      <w:r w:rsidRPr="004B7EF4">
        <w:t>) n-Propyl Alcohol (n-propanol): Nine-Day Vapor Inhalation in Rats March 5, 1992</w:t>
      </w:r>
      <w:proofErr w:type="gramStart"/>
      <w:r w:rsidRPr="004B7EF4">
        <w:t>,  Cited</w:t>
      </w:r>
      <w:proofErr w:type="gramEnd"/>
      <w:r w:rsidRPr="004B7EF4">
        <w:t xml:space="preserve"> in Euclid Data Sheet Union Carbide Benelux N.V.</w:t>
      </w:r>
      <w:r>
        <w:t xml:space="preserve"> Report No 54-87.</w:t>
      </w:r>
    </w:p>
    <w:p w:rsidR="001D41E2" w:rsidRPr="00A50500" w:rsidRDefault="001D41E2" w:rsidP="00607A44">
      <w:pPr>
        <w:spacing w:after="240"/>
        <w:ind w:left="480" w:hanging="480"/>
        <w:jc w:val="both"/>
      </w:pPr>
      <w:r w:rsidRPr="00A50500">
        <w:t>Carpenter CP. 1982a. Sensory irritation test for ethylchloroformate, n-propyl chloroformate</w:t>
      </w:r>
      <w:proofErr w:type="gramStart"/>
      <w:r w:rsidRPr="00A50500">
        <w:t>,</w:t>
      </w:r>
      <w:proofErr w:type="gramEnd"/>
      <w:r w:rsidRPr="00A50500">
        <w:br/>
        <w:t>isobutylchloroformate and sec-butyl chloroformate performed by the BIOTECS Laboratory of Carnegie-Mellon Institute of Research for PPG Industries, Inc., dated September 15.</w:t>
      </w:r>
    </w:p>
    <w:p w:rsidR="001D41E2" w:rsidRPr="00A50500" w:rsidRDefault="001D41E2" w:rsidP="00607A44">
      <w:pPr>
        <w:spacing w:after="240"/>
        <w:ind w:left="480" w:hanging="480"/>
        <w:jc w:val="both"/>
      </w:pPr>
      <w:r w:rsidRPr="00A50500">
        <w:t>Carpenter CP. 1982b. Sensory irritation test for isopropylchloroformate, performed by the BIOTECS Laboratory of Carnegie-Mellon Institute of Research for PPG Industries</w:t>
      </w:r>
      <w:proofErr w:type="gramStart"/>
      <w:r w:rsidRPr="00A50500">
        <w:t>,</w:t>
      </w:r>
      <w:proofErr w:type="gramEnd"/>
      <w:r w:rsidRPr="00A50500">
        <w:br/>
        <w:t>Inc., dated July 30.</w:t>
      </w:r>
    </w:p>
    <w:p w:rsidR="001D41E2" w:rsidRPr="00A50500" w:rsidRDefault="001D41E2" w:rsidP="00607A44">
      <w:pPr>
        <w:spacing w:after="240"/>
        <w:ind w:left="480" w:hanging="480"/>
        <w:jc w:val="both"/>
      </w:pPr>
      <w:r w:rsidRPr="00A50500">
        <w:t>Carpenter CP. 1982c. Sensory irritation test for methyl and phenylchloroformate, performed by the BIOTECS Laboratory of Carnegie-Mellon Institute of Research for PPG Industries</w:t>
      </w:r>
      <w:proofErr w:type="gramStart"/>
      <w:r w:rsidRPr="00A50500">
        <w:t>,</w:t>
      </w:r>
      <w:proofErr w:type="gramEnd"/>
      <w:r w:rsidRPr="00A50500">
        <w:br/>
        <w:t>Inc., dated May 14</w:t>
      </w:r>
    </w:p>
    <w:p w:rsidR="001D41E2" w:rsidRPr="004B7EF4" w:rsidRDefault="001D41E2" w:rsidP="009266C5">
      <w:pPr>
        <w:tabs>
          <w:tab w:val="left" w:pos="1134"/>
        </w:tabs>
        <w:spacing w:after="240"/>
        <w:ind w:left="480" w:hanging="480"/>
        <w:jc w:val="both"/>
      </w:pPr>
      <w:proofErr w:type="gramStart"/>
      <w:r w:rsidRPr="004B7EF4">
        <w:t>Cowgill UM, Milazzo DP (1991).</w:t>
      </w:r>
      <w:proofErr w:type="gramEnd"/>
      <w:r w:rsidRPr="004B7EF4">
        <w:t xml:space="preserve"> </w:t>
      </w:r>
      <w:proofErr w:type="gramStart"/>
      <w:r w:rsidRPr="004B7EF4">
        <w:t>The sensitivity of Ceriodaphnia dubia and Daphnia magna to seven chemicals utilizing the Three-Brood Test. Arch. Environ.</w:t>
      </w:r>
      <w:proofErr w:type="gramEnd"/>
      <w:r w:rsidRPr="004B7EF4">
        <w:t xml:space="preserve"> </w:t>
      </w:r>
      <w:proofErr w:type="gramStart"/>
      <w:r w:rsidRPr="004B7EF4">
        <w:t>Contam.</w:t>
      </w:r>
      <w:proofErr w:type="gramEnd"/>
      <w:r w:rsidRPr="004B7EF4">
        <w:t xml:space="preserve"> </w:t>
      </w:r>
      <w:proofErr w:type="gramStart"/>
      <w:r w:rsidRPr="004B7EF4">
        <w:t>Toxicol.</w:t>
      </w:r>
      <w:proofErr w:type="gramEnd"/>
      <w:r w:rsidRPr="004B7EF4">
        <w:t xml:space="preserve"> 20, 211-217.</w:t>
      </w:r>
    </w:p>
    <w:p w:rsidR="001D41E2" w:rsidRPr="004B7EF4" w:rsidRDefault="001D41E2" w:rsidP="009266C5">
      <w:pPr>
        <w:tabs>
          <w:tab w:val="left" w:pos="1134"/>
        </w:tabs>
        <w:spacing w:after="240"/>
        <w:ind w:left="480" w:hanging="480"/>
        <w:jc w:val="both"/>
      </w:pPr>
      <w:proofErr w:type="gramStart"/>
      <w:r w:rsidRPr="004B7EF4">
        <w:t>Dow (1980).</w:t>
      </w:r>
      <w:proofErr w:type="gramEnd"/>
      <w:r w:rsidRPr="004B7EF4">
        <w:t xml:space="preserve"> </w:t>
      </w:r>
      <w:proofErr w:type="gramStart"/>
      <w:r w:rsidRPr="004B7EF4">
        <w:t>Environmental Sciences Research Laboratory, Midland, Michigan.</w:t>
      </w:r>
      <w:proofErr w:type="gramEnd"/>
      <w:r w:rsidRPr="004B7EF4">
        <w:t xml:space="preserve"> </w:t>
      </w:r>
      <w:proofErr w:type="gramStart"/>
      <w:r w:rsidRPr="004B7EF4">
        <w:t>Evaluation of 2-ethylhexanol in the aquatic environment.</w:t>
      </w:r>
      <w:proofErr w:type="gramEnd"/>
      <w:r w:rsidRPr="004B7EF4">
        <w:t xml:space="preserve"> Report No. 86-870002/08, Dow Chemical, USA. </w:t>
      </w:r>
    </w:p>
    <w:p w:rsidR="001D41E2" w:rsidRPr="004B7EF4" w:rsidRDefault="001D41E2" w:rsidP="009266C5">
      <w:pPr>
        <w:tabs>
          <w:tab w:val="left" w:pos="1134"/>
        </w:tabs>
        <w:spacing w:after="240"/>
        <w:ind w:left="480" w:hanging="480"/>
        <w:jc w:val="both"/>
      </w:pPr>
      <w:proofErr w:type="gramStart"/>
      <w:r w:rsidRPr="004B7EF4">
        <w:t>EC (2008).</w:t>
      </w:r>
      <w:proofErr w:type="gramEnd"/>
      <w:r w:rsidRPr="004B7EF4">
        <w:t xml:space="preserve"> EU Risk Assessment Report on Propan-1-ol, CAS 71-23-8.  </w:t>
      </w:r>
      <w:proofErr w:type="gramStart"/>
      <w:r w:rsidRPr="004B7EF4">
        <w:t xml:space="preserve">Available online at </w:t>
      </w:r>
      <w:hyperlink r:id="rId58" w:history="1">
        <w:r w:rsidRPr="004B7EF4">
          <w:rPr>
            <w:rStyle w:val="Hyperlink"/>
            <w:sz w:val="24"/>
            <w:szCs w:val="24"/>
          </w:rPr>
          <w:t>http://ecb.jrc.ec.europa.eu/DOCUMENTS/Existing-Chemicals/RISK_ASSESSMENT/REPORT/propan1olENVreport071.pdf</w:t>
        </w:r>
      </w:hyperlink>
      <w:r w:rsidRPr="004B7EF4">
        <w:t>.</w:t>
      </w:r>
      <w:proofErr w:type="gramEnd"/>
    </w:p>
    <w:p w:rsidR="001D41E2" w:rsidRPr="004B7EF4" w:rsidRDefault="001D41E2" w:rsidP="009266C5">
      <w:pPr>
        <w:tabs>
          <w:tab w:val="left" w:pos="1134"/>
        </w:tabs>
        <w:spacing w:after="240"/>
        <w:ind w:left="480" w:hanging="480"/>
        <w:jc w:val="both"/>
      </w:pPr>
      <w:proofErr w:type="gramStart"/>
      <w:r w:rsidRPr="004B7EF4">
        <w:t>ECB (2000).</w:t>
      </w:r>
      <w:proofErr w:type="gramEnd"/>
      <w:r w:rsidRPr="004B7EF4">
        <w:t xml:space="preserve"> </w:t>
      </w:r>
      <w:proofErr w:type="gramStart"/>
      <w:r w:rsidRPr="004B7EF4">
        <w:t>IUCLID dataset on 2-ethylhexanol, CAS 104-76-7.</w:t>
      </w:r>
      <w:proofErr w:type="gramEnd"/>
      <w:r w:rsidRPr="004B7EF4">
        <w:t xml:space="preserve"> </w:t>
      </w:r>
      <w:proofErr w:type="gramStart"/>
      <w:r w:rsidRPr="004B7EF4">
        <w:t>European Chemicals Bureau (ECB), European Commission.</w:t>
      </w:r>
      <w:proofErr w:type="gramEnd"/>
    </w:p>
    <w:p w:rsidR="001D41E2" w:rsidRDefault="001D41E2" w:rsidP="002D271A">
      <w:pPr>
        <w:tabs>
          <w:tab w:val="left" w:pos="1134"/>
        </w:tabs>
        <w:spacing w:after="240"/>
        <w:ind w:left="480" w:hanging="480"/>
        <w:jc w:val="both"/>
      </w:pPr>
      <w:proofErr w:type="gramStart"/>
      <w:r w:rsidRPr="00A50500">
        <w:t>ECB (2008)</w:t>
      </w:r>
      <w:r w:rsidRPr="004B7EF4">
        <w:t xml:space="preserve"> IUCLID dataset on Propan-1-ol, CAS 71-23-8.</w:t>
      </w:r>
      <w:proofErr w:type="gramEnd"/>
      <w:r w:rsidRPr="004B7EF4">
        <w:t xml:space="preserve">  Available online at http://ecb.jrc.ec.europa.eu/esis/</w:t>
      </w:r>
    </w:p>
    <w:p w:rsidR="001D41E2" w:rsidRPr="004B7EF4" w:rsidRDefault="001D41E2" w:rsidP="00B606CE">
      <w:pPr>
        <w:spacing w:after="240"/>
        <w:ind w:left="480" w:hanging="480"/>
        <w:jc w:val="both"/>
      </w:pPr>
      <w:r w:rsidRPr="004B7EF4">
        <w:t xml:space="preserve">Fisher GL </w:t>
      </w:r>
      <w:r w:rsidRPr="00956920">
        <w:rPr>
          <w:i/>
          <w:iCs/>
        </w:rPr>
        <w:t>et al</w:t>
      </w:r>
      <w:r w:rsidRPr="004B7EF4">
        <w:t xml:space="preserve">. (1981a) Draft final report on acute vapor inhalation range-finding, LC50 and toxicity study of methyl chloroformate in rats. Batelle </w:t>
      </w:r>
      <w:r>
        <w:t xml:space="preserve">Report </w:t>
      </w:r>
      <w:r w:rsidRPr="004B7EF4">
        <w:t>Number NO920-4400 for PPG Industries, Inc., Unpublished report dated 1981-06-29.</w:t>
      </w:r>
    </w:p>
    <w:p w:rsidR="001D41E2" w:rsidRPr="004B7EF4" w:rsidRDefault="001D41E2" w:rsidP="00B606CE">
      <w:pPr>
        <w:spacing w:after="240"/>
        <w:ind w:left="480" w:hanging="480"/>
        <w:jc w:val="both"/>
      </w:pPr>
      <w:r w:rsidRPr="004B7EF4">
        <w:t xml:space="preserve">Fisher GL </w:t>
      </w:r>
      <w:r w:rsidRPr="00956920">
        <w:rPr>
          <w:i/>
          <w:iCs/>
        </w:rPr>
        <w:t>et al</w:t>
      </w:r>
      <w:r w:rsidRPr="004B7EF4">
        <w:t xml:space="preserve">. (1981b) Draft final report on acute vapor inhalation LC50 and toxicity study of ethyl chloroformate in rats. Batelle </w:t>
      </w:r>
      <w:r>
        <w:t>Report</w:t>
      </w:r>
      <w:r w:rsidRPr="004B7EF4">
        <w:t xml:space="preserve"> Number NO920-4400 for PPG Industries</w:t>
      </w:r>
      <w:proofErr w:type="gramStart"/>
      <w:r w:rsidRPr="004B7EF4">
        <w:t>,</w:t>
      </w:r>
      <w:proofErr w:type="gramEnd"/>
      <w:r w:rsidRPr="004B7EF4">
        <w:br/>
        <w:t>Inc., Unpublished report dated 1981-06-29.</w:t>
      </w:r>
    </w:p>
    <w:p w:rsidR="001D41E2" w:rsidRPr="004B7EF4" w:rsidRDefault="001D41E2" w:rsidP="00B606CE">
      <w:pPr>
        <w:spacing w:after="240"/>
        <w:ind w:left="480" w:hanging="480"/>
        <w:jc w:val="both"/>
      </w:pPr>
      <w:r w:rsidRPr="004B7EF4">
        <w:t xml:space="preserve">Gage J.C. (1970) </w:t>
      </w:r>
      <w:proofErr w:type="gramStart"/>
      <w:r w:rsidRPr="004B7EF4">
        <w:t>The</w:t>
      </w:r>
      <w:proofErr w:type="gramEnd"/>
      <w:r w:rsidRPr="004B7EF4">
        <w:t xml:space="preserve"> sub acute inhalation toxicity of 109 industrial chemicals.  Brit. J. Ind. Med., 27:1-18.</w:t>
      </w:r>
    </w:p>
    <w:p w:rsidR="001D41E2" w:rsidRDefault="001D41E2" w:rsidP="009266C5">
      <w:pPr>
        <w:tabs>
          <w:tab w:val="left" w:pos="1134"/>
        </w:tabs>
        <w:spacing w:after="240"/>
        <w:ind w:left="480" w:hanging="480"/>
        <w:jc w:val="both"/>
      </w:pPr>
      <w:proofErr w:type="gramStart"/>
      <w:r w:rsidRPr="004B7EF4">
        <w:t xml:space="preserve">Geiger </w:t>
      </w:r>
      <w:r w:rsidRPr="00956920">
        <w:rPr>
          <w:i/>
          <w:iCs/>
        </w:rPr>
        <w:t>et al</w:t>
      </w:r>
      <w:r w:rsidRPr="004B7EF4">
        <w:t>. (1985).</w:t>
      </w:r>
      <w:proofErr w:type="gramEnd"/>
      <w:r w:rsidRPr="004B7EF4">
        <w:t xml:space="preserve"> </w:t>
      </w:r>
      <w:proofErr w:type="gramStart"/>
      <w:r w:rsidRPr="004B7EF4">
        <w:t>Acute toxicities of organic chemicals to Fathead Minnows (Pimephales promelas), Vol. 2.</w:t>
      </w:r>
      <w:proofErr w:type="gramEnd"/>
      <w:r w:rsidRPr="004B7EF4">
        <w:t xml:space="preserve"> </w:t>
      </w:r>
      <w:proofErr w:type="gramStart"/>
      <w:r w:rsidRPr="004B7EF4">
        <w:t>Center for Environmental Studies, Univ. of Wisconsin-Superior, USA.</w:t>
      </w:r>
      <w:proofErr w:type="gramEnd"/>
    </w:p>
    <w:p w:rsidR="001D41E2" w:rsidRPr="004B7EF4" w:rsidRDefault="001D41E2" w:rsidP="009266C5">
      <w:pPr>
        <w:tabs>
          <w:tab w:val="left" w:pos="1134"/>
        </w:tabs>
        <w:spacing w:after="240"/>
        <w:ind w:left="480" w:hanging="480"/>
        <w:jc w:val="both"/>
      </w:pPr>
      <w:proofErr w:type="gramStart"/>
      <w:r w:rsidRPr="004B7EF4">
        <w:t xml:space="preserve">Geiger </w:t>
      </w:r>
      <w:r w:rsidRPr="00956920">
        <w:rPr>
          <w:i/>
          <w:iCs/>
        </w:rPr>
        <w:t>et al</w:t>
      </w:r>
      <w:r w:rsidRPr="004B7EF4">
        <w:t>. (</w:t>
      </w:r>
      <w:r>
        <w:t>1990</w:t>
      </w:r>
      <w:r w:rsidRPr="004B7EF4">
        <w:t>).</w:t>
      </w:r>
      <w:proofErr w:type="gramEnd"/>
      <w:r w:rsidRPr="004B7EF4">
        <w:t xml:space="preserve"> </w:t>
      </w:r>
      <w:proofErr w:type="gramStart"/>
      <w:r w:rsidRPr="004B7EF4">
        <w:t xml:space="preserve">Acute toxicities of organic chemicals to Fathead Minnows (Pimephales promelas), Vol. </w:t>
      </w:r>
      <w:r>
        <w:t>5</w:t>
      </w:r>
      <w:r w:rsidRPr="004B7EF4">
        <w:t>.</w:t>
      </w:r>
      <w:proofErr w:type="gramEnd"/>
      <w:r w:rsidRPr="004B7EF4">
        <w:t xml:space="preserve"> </w:t>
      </w:r>
      <w:proofErr w:type="gramStart"/>
      <w:r w:rsidRPr="004B7EF4">
        <w:t>Center for Environmental Studies, Univ. of Wisconsin-Superior, USA.</w:t>
      </w:r>
      <w:proofErr w:type="gramEnd"/>
    </w:p>
    <w:p w:rsidR="001D41E2" w:rsidRPr="004B7EF4" w:rsidRDefault="001D41E2" w:rsidP="009266C5">
      <w:pPr>
        <w:tabs>
          <w:tab w:val="left" w:pos="1134"/>
        </w:tabs>
        <w:spacing w:after="240"/>
        <w:ind w:left="480" w:hanging="480"/>
        <w:jc w:val="both"/>
      </w:pPr>
      <w:proofErr w:type="gramStart"/>
      <w:r w:rsidRPr="004B7EF4">
        <w:t>GESTIS (2008a).</w:t>
      </w:r>
      <w:proofErr w:type="gramEnd"/>
      <w:r w:rsidRPr="004B7EF4">
        <w:t xml:space="preserve"> Substance database of 'Berufsgenossenschaftliches Institut </w:t>
      </w:r>
      <w:proofErr w:type="gramStart"/>
      <w:r w:rsidRPr="004B7EF4">
        <w:t>für  Arbeitsschutz'</w:t>
      </w:r>
      <w:proofErr w:type="gramEnd"/>
      <w:r w:rsidRPr="004B7EF4">
        <w:t xml:space="preserve"> (BGIA), available online at http://biade.itrust.de/biade/lpext.dll?f=templates&amp;fn=main-h.htm. Search on propyl chloroformate, CAS 109-61-5, 07 Mar 2008.</w:t>
      </w:r>
    </w:p>
    <w:p w:rsidR="001D41E2" w:rsidRPr="004B7EF4" w:rsidRDefault="001D41E2" w:rsidP="009266C5">
      <w:pPr>
        <w:tabs>
          <w:tab w:val="left" w:pos="1134"/>
        </w:tabs>
        <w:spacing w:after="240"/>
        <w:ind w:left="480" w:hanging="480"/>
        <w:jc w:val="both"/>
      </w:pPr>
      <w:proofErr w:type="gramStart"/>
      <w:r w:rsidRPr="004B7EF4">
        <w:t>GESTIS (2008b).</w:t>
      </w:r>
      <w:proofErr w:type="gramEnd"/>
      <w:r w:rsidRPr="004B7EF4">
        <w:t xml:space="preserve"> Substance database of 'Berufsgenossenschaftliches Institut </w:t>
      </w:r>
      <w:proofErr w:type="gramStart"/>
      <w:r w:rsidRPr="004B7EF4">
        <w:t>für  Arbeitsschutz'</w:t>
      </w:r>
      <w:proofErr w:type="gramEnd"/>
      <w:r w:rsidRPr="004B7EF4">
        <w:t xml:space="preserve"> (BGIA), available online at http://biade.itrust.de/biade/lpext.dll?f=templates&amp;fn=main-h.htm. Search on isopropyl chloroformate, CAS 108-23-6, 28 Feb 2008.</w:t>
      </w:r>
    </w:p>
    <w:p w:rsidR="001D41E2" w:rsidRDefault="001D41E2" w:rsidP="009266C5">
      <w:pPr>
        <w:tabs>
          <w:tab w:val="left" w:pos="1134"/>
        </w:tabs>
        <w:spacing w:after="240"/>
        <w:ind w:left="480" w:hanging="480"/>
        <w:jc w:val="both"/>
      </w:pPr>
      <w:proofErr w:type="gramStart"/>
      <w:r w:rsidRPr="004B7EF4">
        <w:t>GESTIS (2008c).</w:t>
      </w:r>
      <w:proofErr w:type="gramEnd"/>
      <w:r w:rsidRPr="004B7EF4">
        <w:t xml:space="preserve"> Substance database of 'Berufsgenossenschaftliches Institut </w:t>
      </w:r>
      <w:proofErr w:type="gramStart"/>
      <w:r w:rsidRPr="004B7EF4">
        <w:t>für  Arbeitsschutz'</w:t>
      </w:r>
      <w:proofErr w:type="gramEnd"/>
      <w:r w:rsidRPr="004B7EF4">
        <w:t xml:space="preserve"> (BGIA), available online at http://biade.itrust.de/biade/lpext.dll?f=templates&amp;fn=main-h.htm. Search on oxydiethylene bischloroformate, CAS 106-75-2, 06 Mar 2008.</w:t>
      </w:r>
    </w:p>
    <w:p w:rsidR="001D41E2" w:rsidRDefault="001D41E2" w:rsidP="009266C5">
      <w:pPr>
        <w:tabs>
          <w:tab w:val="left" w:pos="1134"/>
        </w:tabs>
        <w:spacing w:after="240"/>
        <w:ind w:left="480" w:hanging="480"/>
        <w:jc w:val="both"/>
      </w:pPr>
      <w:proofErr w:type="gramStart"/>
      <w:r w:rsidRPr="004B7EF4">
        <w:t>GESTIS (2008</w:t>
      </w:r>
      <w:r>
        <w:t>d</w:t>
      </w:r>
      <w:r w:rsidRPr="004B7EF4">
        <w:t>).</w:t>
      </w:r>
      <w:proofErr w:type="gramEnd"/>
      <w:r w:rsidRPr="004B7EF4">
        <w:t xml:space="preserve"> Substance database of 'Berufsgenossenschaftliches Institut </w:t>
      </w:r>
      <w:proofErr w:type="gramStart"/>
      <w:r w:rsidRPr="004B7EF4">
        <w:t>für  Arbeitsschutz'</w:t>
      </w:r>
      <w:proofErr w:type="gramEnd"/>
      <w:r w:rsidRPr="004B7EF4">
        <w:t xml:space="preserve"> (BGIA), available online at http://biade.itrust.de/biade/lpext.dll?f=templates&amp;fn=main-h.htm. Search on </w:t>
      </w:r>
      <w:r w:rsidRPr="007C154E">
        <w:t>2-Ethylhexyl chloroformate</w:t>
      </w:r>
      <w:r w:rsidRPr="004B7EF4">
        <w:t xml:space="preserve">, CAS </w:t>
      </w:r>
      <w:r>
        <w:t>24468-13-1</w:t>
      </w:r>
      <w:r w:rsidRPr="004B7EF4">
        <w:t>, 0</w:t>
      </w:r>
      <w:r>
        <w:t>5</w:t>
      </w:r>
      <w:r w:rsidRPr="004B7EF4">
        <w:t xml:space="preserve"> Mar 2008.</w:t>
      </w:r>
    </w:p>
    <w:p w:rsidR="001D41E2" w:rsidRPr="001D41E2" w:rsidRDefault="007D3E3E" w:rsidP="009266C5">
      <w:pPr>
        <w:tabs>
          <w:tab w:val="left" w:pos="1134"/>
        </w:tabs>
        <w:spacing w:after="240"/>
        <w:ind w:left="480" w:hanging="480"/>
        <w:jc w:val="both"/>
        <w:rPr>
          <w:lang w:val="de-DE"/>
        </w:rPr>
      </w:pPr>
      <w:r w:rsidRPr="007D3E3E">
        <w:rPr>
          <w:lang w:val="de-DE"/>
        </w:rPr>
        <w:t>GESTIS (2008e). Substance database of 'Berufsgenossenschaftliches Institut für  Arbeitsschutz' (BGIA), available online at http://biade.itrust.de/biade/lpext.dll?f=templates&amp;fn=main-h.htm. Search on Oxydiethylene bis chloroformate, CAS 106-75-2, 06 Mar 2008.</w:t>
      </w:r>
    </w:p>
    <w:p w:rsidR="001D41E2" w:rsidRPr="004B7EF4" w:rsidRDefault="001D41E2" w:rsidP="00B606CE">
      <w:pPr>
        <w:spacing w:after="240"/>
        <w:ind w:left="480" w:hanging="480"/>
        <w:jc w:val="both"/>
      </w:pPr>
      <w:r w:rsidRPr="004B7EF4">
        <w:t>Griscom RW. (1972) Report of the oral LD50, primary skin irritation, Draize eye irritation, acute dermal LD50 and acute inhalation toxicity of ethyl chloroformate. WARF Institute, Inc., Report No. 2092422, Unpublished report dated 1972-10-25.</w:t>
      </w:r>
    </w:p>
    <w:p w:rsidR="001D41E2" w:rsidRPr="004B7EF4" w:rsidRDefault="001D41E2" w:rsidP="003D7919">
      <w:pPr>
        <w:spacing w:after="240"/>
        <w:ind w:left="480" w:hanging="480"/>
        <w:jc w:val="both"/>
      </w:pPr>
      <w:r w:rsidRPr="004B7EF4">
        <w:t xml:space="preserve">Henson JG. (2002) </w:t>
      </w:r>
      <w:proofErr w:type="gramStart"/>
      <w:r w:rsidRPr="004B7EF4">
        <w:t>Acute</w:t>
      </w:r>
      <w:proofErr w:type="gramEnd"/>
      <w:r w:rsidRPr="004B7EF4">
        <w:t xml:space="preserve"> vapor inhalation toxicity study of 2-ethylhexyl chloroformate in albinorats. WIL Research Laboratories, Inc. Study Number WIL-26009, PPG Industries Inc. Unpublished report dated 2002-04-08.</w:t>
      </w:r>
    </w:p>
    <w:p w:rsidR="001D41E2" w:rsidRPr="004B7EF4" w:rsidRDefault="001D41E2" w:rsidP="003E52F2">
      <w:pPr>
        <w:spacing w:after="240"/>
        <w:ind w:left="480" w:hanging="480"/>
        <w:jc w:val="both"/>
      </w:pPr>
      <w:r w:rsidRPr="00A50500">
        <w:t xml:space="preserve">Hoechst AG </w:t>
      </w:r>
      <w:r w:rsidRPr="00A50500">
        <w:tab/>
        <w:t>(1975)</w:t>
      </w:r>
      <w:r w:rsidRPr="004B7EF4">
        <w:t xml:space="preserve"> Akute orale Toxizität von Chlorameisensäureäthylester an weiblichen SPF-Wistar-Ratten</w:t>
      </w:r>
      <w:r w:rsidRPr="004B7EF4">
        <w:tab/>
        <w:t>Report No. 521/75 Unpublished report dated 1975-10-27.</w:t>
      </w:r>
    </w:p>
    <w:p w:rsidR="001D41E2" w:rsidRPr="004B7EF4" w:rsidRDefault="001D41E2" w:rsidP="009266C5">
      <w:pPr>
        <w:tabs>
          <w:tab w:val="left" w:pos="1134"/>
        </w:tabs>
        <w:spacing w:after="240"/>
        <w:ind w:left="480" w:hanging="480"/>
        <w:jc w:val="both"/>
      </w:pPr>
      <w:r w:rsidRPr="004B7EF4">
        <w:t xml:space="preserve">Hoechst AG (1981). </w:t>
      </w:r>
      <w:proofErr w:type="gramStart"/>
      <w:r w:rsidRPr="004B7EF4">
        <w:t>Acute toxicity of methyl chloroformate to golden orfe (Leuciscus idus f. melanotus).</w:t>
      </w:r>
      <w:proofErr w:type="gramEnd"/>
      <w:r w:rsidRPr="004B7EF4">
        <w:t xml:space="preserve"> Report No. 222/81, 22 Apr 1981.</w:t>
      </w:r>
    </w:p>
    <w:p w:rsidR="001D41E2" w:rsidRPr="004B7EF4" w:rsidRDefault="001D41E2" w:rsidP="00580A60">
      <w:pPr>
        <w:tabs>
          <w:tab w:val="left" w:pos="1134"/>
        </w:tabs>
        <w:spacing w:after="240"/>
        <w:ind w:left="480" w:hanging="480"/>
        <w:jc w:val="both"/>
      </w:pPr>
      <w:r w:rsidRPr="004B7EF4">
        <w:t>Hoechst AG (1986)</w:t>
      </w:r>
      <w:r>
        <w:t>.</w:t>
      </w:r>
      <w:r w:rsidRPr="004B7EF4">
        <w:t xml:space="preserve"> Inhalation toxicity in the flow through system in male and female SPF Wistar rats 4-hour LC50</w:t>
      </w:r>
      <w:r>
        <w:t>.</w:t>
      </w:r>
      <w:r w:rsidRPr="004B7EF4">
        <w:t xml:space="preserve"> Report No. 86.0432</w:t>
      </w:r>
      <w:r>
        <w:t>.</w:t>
      </w:r>
      <w:r w:rsidRPr="004B7EF4">
        <w:t xml:space="preserve">  Unpublished report dated 1986-04-11. </w:t>
      </w:r>
    </w:p>
    <w:p w:rsidR="001D41E2" w:rsidRPr="004B7EF4" w:rsidRDefault="001D41E2" w:rsidP="009266C5">
      <w:pPr>
        <w:tabs>
          <w:tab w:val="left" w:pos="1134"/>
        </w:tabs>
        <w:spacing w:after="240"/>
        <w:ind w:left="480" w:hanging="480"/>
        <w:jc w:val="both"/>
      </w:pPr>
      <w:r w:rsidRPr="004B7EF4">
        <w:t xml:space="preserve">Hoechst AG (1988). </w:t>
      </w:r>
      <w:proofErr w:type="gramStart"/>
      <w:r w:rsidRPr="004B7EF4">
        <w:t>Pharma Research Toxicology and Pathology.</w:t>
      </w:r>
      <w:proofErr w:type="gramEnd"/>
      <w:r w:rsidRPr="004B7EF4">
        <w:t xml:space="preserve"> </w:t>
      </w:r>
      <w:r w:rsidRPr="005D3652">
        <w:rPr>
          <w:lang w:val="de-DE"/>
        </w:rPr>
        <w:t xml:space="preserve">Prüfung der akuten Toxizität am Fisch, Zebrabärbling (Brachydanio rerio), über 96 Stunden. </w:t>
      </w:r>
      <w:r w:rsidRPr="004B7EF4">
        <w:t>Report No. 88.1310 / 88.0226, 30 Aug 1988.</w:t>
      </w:r>
    </w:p>
    <w:p w:rsidR="001D41E2" w:rsidRDefault="001D41E2" w:rsidP="008A1CBA">
      <w:pPr>
        <w:tabs>
          <w:tab w:val="left" w:pos="1134"/>
        </w:tabs>
        <w:spacing w:after="240"/>
        <w:ind w:left="480" w:hanging="480"/>
        <w:jc w:val="both"/>
      </w:pPr>
      <w:r w:rsidRPr="004B7EF4">
        <w:t xml:space="preserve">HRC Huntington Research Centre (1992) Chloroformaic Acid Methylester 28-Day Inhalation Study </w:t>
      </w:r>
      <w:proofErr w:type="gramStart"/>
      <w:r w:rsidRPr="004B7EF4">
        <w:t>In</w:t>
      </w:r>
      <w:proofErr w:type="gramEnd"/>
      <w:r w:rsidRPr="004B7EF4">
        <w:t xml:space="preserve"> Rat. BG-Chemie Report no. BGH/11/01103 Unpublished report dated 1992-07-21. </w:t>
      </w:r>
    </w:p>
    <w:p w:rsidR="001D41E2" w:rsidRDefault="001D41E2" w:rsidP="008A1CBA">
      <w:pPr>
        <w:tabs>
          <w:tab w:val="left" w:pos="1134"/>
        </w:tabs>
        <w:spacing w:after="240"/>
        <w:ind w:left="480" w:hanging="480"/>
        <w:jc w:val="both"/>
      </w:pPr>
      <w:r>
        <w:t>Husek, P (1998</w:t>
      </w:r>
      <w:proofErr w:type="gramStart"/>
      <w:r>
        <w:t>)  Chloroformates</w:t>
      </w:r>
      <w:proofErr w:type="gramEnd"/>
      <w:r>
        <w:t xml:space="preserve"> in gas chromatography as general purpose derivatizing agents.  </w:t>
      </w:r>
      <w:r>
        <w:rPr>
          <w:i/>
          <w:iCs/>
        </w:rPr>
        <w:t xml:space="preserve">J. Chromatogr. B. Biomed. Sci. Appl.  </w:t>
      </w:r>
      <w:r>
        <w:t>717(1-2):57-91.</w:t>
      </w:r>
    </w:p>
    <w:p w:rsidR="001D41E2" w:rsidRPr="00EE4F29" w:rsidRDefault="007D3E3E" w:rsidP="008A1CBA">
      <w:pPr>
        <w:tabs>
          <w:tab w:val="left" w:pos="1134"/>
        </w:tabs>
        <w:spacing w:after="240"/>
        <w:ind w:left="480" w:hanging="480"/>
        <w:jc w:val="both"/>
      </w:pPr>
      <w:r w:rsidRPr="007D3E3E">
        <w:t>Kirk-Othmer (1991): Kirk-Othmer Encyclopedia of Chemical Technology. 4th ed. Volumes 1: New York, NY. John Wiley and Sons, 1991-Present., p. V5 79 as cited in HSDB 01 Nov 2007.</w:t>
      </w:r>
    </w:p>
    <w:p w:rsidR="001D41E2" w:rsidRPr="004B7EF4" w:rsidRDefault="001D41E2" w:rsidP="009266C5">
      <w:pPr>
        <w:tabs>
          <w:tab w:val="left" w:pos="1134"/>
        </w:tabs>
        <w:spacing w:after="240"/>
        <w:ind w:left="480" w:hanging="480"/>
        <w:jc w:val="both"/>
      </w:pPr>
      <w:proofErr w:type="gramStart"/>
      <w:r w:rsidRPr="004B7EF4">
        <w:t>Kirk-Othmer (200</w:t>
      </w:r>
      <w:r>
        <w:t>8</w:t>
      </w:r>
      <w:r w:rsidRPr="004B7EF4">
        <w:t>).</w:t>
      </w:r>
      <w:proofErr w:type="gramEnd"/>
      <w:r w:rsidRPr="004B7EF4">
        <w:t xml:space="preserve"> </w:t>
      </w:r>
      <w:proofErr w:type="gramStart"/>
      <w:r w:rsidRPr="004B7EF4">
        <w:t>Kirk-Othmer Encyclopedia of Chemical Technology.</w:t>
      </w:r>
      <w:proofErr w:type="gramEnd"/>
      <w:r w:rsidRPr="004B7EF4">
        <w:t xml:space="preserve"> </w:t>
      </w:r>
      <w:proofErr w:type="gramStart"/>
      <w:r w:rsidRPr="004B7EF4">
        <w:t>Copyright © 2001 by John Wiley &amp; Sons, Inc.</w:t>
      </w:r>
      <w:r>
        <w:t>, last updated 2008.</w:t>
      </w:r>
      <w:proofErr w:type="gramEnd"/>
    </w:p>
    <w:p w:rsidR="001D41E2" w:rsidRPr="004B7EF4" w:rsidRDefault="001D41E2" w:rsidP="009266C5">
      <w:pPr>
        <w:tabs>
          <w:tab w:val="left" w:pos="1134"/>
        </w:tabs>
        <w:spacing w:after="240"/>
        <w:ind w:left="480" w:hanging="480"/>
        <w:jc w:val="both"/>
      </w:pPr>
      <w:proofErr w:type="gramStart"/>
      <w:r w:rsidRPr="004B7EF4">
        <w:t>Knovel (2003).</w:t>
      </w:r>
      <w:proofErr w:type="gramEnd"/>
      <w:r w:rsidRPr="004B7EF4">
        <w:t xml:space="preserve"> </w:t>
      </w:r>
      <w:proofErr w:type="gramStart"/>
      <w:r w:rsidRPr="004B7EF4">
        <w:t>Basic properties of common solvents.</w:t>
      </w:r>
      <w:proofErr w:type="gramEnd"/>
      <w:r w:rsidRPr="004B7EF4">
        <w:t xml:space="preserve"> </w:t>
      </w:r>
      <w:proofErr w:type="gramStart"/>
      <w:r w:rsidRPr="004B7EF4">
        <w:t>Knovel Critical Tables.</w:t>
      </w:r>
      <w:proofErr w:type="gramEnd"/>
      <w:r w:rsidRPr="004B7EF4">
        <w:t xml:space="preserve"> Online version available at: http://www.knovel.com/knovel2/Toc.jsp?BookID=761&amp;VerticalID=0. Search on ethyl chloroformate, CAS 541-41-3.</w:t>
      </w:r>
    </w:p>
    <w:p w:rsidR="001D41E2" w:rsidRDefault="001D41E2" w:rsidP="00B606CE">
      <w:pPr>
        <w:spacing w:after="240"/>
        <w:ind w:left="480" w:hanging="480"/>
        <w:jc w:val="both"/>
      </w:pPr>
      <w:r>
        <w:t>Lide, D.R. (</w:t>
      </w:r>
      <w:proofErr w:type="gramStart"/>
      <w:r>
        <w:t>ed</w:t>
      </w:r>
      <w:proofErr w:type="gramEnd"/>
      <w:r>
        <w:t xml:space="preserve">). </w:t>
      </w:r>
      <w:proofErr w:type="gramStart"/>
      <w:r>
        <w:t>CRC Handbook of Chemistry and Physics.</w:t>
      </w:r>
      <w:proofErr w:type="gramEnd"/>
      <w:r>
        <w:t xml:space="preserve"> 72</w:t>
      </w:r>
      <w:r w:rsidRPr="000250FD">
        <w:rPr>
          <w:vertAlign w:val="superscript"/>
        </w:rPr>
        <w:t>nd</w:t>
      </w:r>
      <w:r>
        <w:t xml:space="preserve"> </w:t>
      </w:r>
      <w:proofErr w:type="gramStart"/>
      <w:r>
        <w:t>ed</w:t>
      </w:r>
      <w:proofErr w:type="gramEnd"/>
      <w:r>
        <w:t xml:space="preserve">.  Boca Raton, FL: CRC Press, 1991-1992., p. 3-175. </w:t>
      </w:r>
    </w:p>
    <w:p w:rsidR="001D41E2" w:rsidRPr="004B7EF4" w:rsidRDefault="001D41E2" w:rsidP="00B606CE">
      <w:pPr>
        <w:spacing w:after="240"/>
        <w:ind w:left="480" w:hanging="480"/>
        <w:jc w:val="both"/>
      </w:pPr>
      <w:r>
        <w:t>Lide, D.R. (</w:t>
      </w:r>
      <w:proofErr w:type="gramStart"/>
      <w:r>
        <w:t>ed</w:t>
      </w:r>
      <w:proofErr w:type="gramEnd"/>
      <w:r>
        <w:t xml:space="preserve">). </w:t>
      </w:r>
      <w:proofErr w:type="gramStart"/>
      <w:r>
        <w:t>CRC Handbook of Chemistry and Physics.</w:t>
      </w:r>
      <w:proofErr w:type="gramEnd"/>
      <w:r>
        <w:t xml:space="preserve"> 75th </w:t>
      </w:r>
      <w:proofErr w:type="gramStart"/>
      <w:r>
        <w:t>ed</w:t>
      </w:r>
      <w:proofErr w:type="gramEnd"/>
      <w:r>
        <w:t>.  Boca Raton, FL: CRC Press, 1994-1995., p. 3-111.</w:t>
      </w:r>
    </w:p>
    <w:p w:rsidR="001D41E2" w:rsidRPr="004B7EF4" w:rsidRDefault="001D41E2" w:rsidP="00B606CE">
      <w:pPr>
        <w:spacing w:after="240"/>
        <w:ind w:left="480" w:hanging="480"/>
        <w:jc w:val="both"/>
      </w:pPr>
      <w:proofErr w:type="gramStart"/>
      <w:r w:rsidRPr="004B7EF4">
        <w:t>Lulham G</w:t>
      </w:r>
      <w:r>
        <w:t xml:space="preserve"> and</w:t>
      </w:r>
      <w:r w:rsidRPr="004B7EF4">
        <w:t xml:space="preserve"> Procter BG. (1986).</w:t>
      </w:r>
      <w:proofErr w:type="gramEnd"/>
      <w:r w:rsidRPr="004B7EF4">
        <w:t xml:space="preserve"> </w:t>
      </w:r>
      <w:proofErr w:type="gramStart"/>
      <w:r w:rsidRPr="004B7EF4">
        <w:t>A 4-week inhalation toxicity study (with a 4- and 12-week regression) of isopropyl chloroformate in the albino rat.</w:t>
      </w:r>
      <w:proofErr w:type="gramEnd"/>
      <w:r w:rsidRPr="004B7EF4">
        <w:t xml:space="preserve">  Bio-Research Laboratories</w:t>
      </w:r>
      <w:r w:rsidRPr="004B7EF4">
        <w:br/>
        <w:t>Ltd. Project No. 81977; PPG Industries Inc. Unpublished report dated 1986-12-24.</w:t>
      </w:r>
    </w:p>
    <w:p w:rsidR="001D41E2" w:rsidRDefault="001D41E2" w:rsidP="00B606CE">
      <w:pPr>
        <w:spacing w:after="240"/>
        <w:ind w:left="480" w:hanging="480"/>
        <w:jc w:val="both"/>
        <w:rPr>
          <w:lang w:val="de-DE"/>
        </w:rPr>
      </w:pPr>
      <w:r w:rsidRPr="004B7EF4">
        <w:t xml:space="preserve">LMP (1986) Test report of study LMP 121. </w:t>
      </w:r>
      <w:r w:rsidRPr="005D3652">
        <w:rPr>
          <w:lang w:val="de-DE"/>
        </w:rPr>
        <w:t xml:space="preserve">LMP Darmstadt Report no. LMP 121 for Berufsgenossenschaft der chemischen Industrie  Unpublished report dated 1986-04-03. </w:t>
      </w:r>
    </w:p>
    <w:p w:rsidR="001D41E2" w:rsidRPr="001D41E2" w:rsidRDefault="007D3E3E" w:rsidP="00382F13">
      <w:pPr>
        <w:spacing w:after="240"/>
        <w:ind w:left="480" w:hanging="480"/>
        <w:jc w:val="both"/>
      </w:pPr>
      <w:r w:rsidRPr="007D3E3E">
        <w:t>MAK Commission (2003) Evaluation on Methylchloroformate (finalized 20-11-2002). Deutsche Forschungsgemeinschaft (DFG), Ed. H. Greim. Occupational Toxicants, Critical Data Evaluation for MAK Values and Classification of Carcinogens Wiley-VCH, Weinheim, New York, Chichester, Brisbane, Singapore, Toronto.</w:t>
      </w:r>
    </w:p>
    <w:p w:rsidR="001D41E2" w:rsidRPr="004B7EF4" w:rsidRDefault="001D41E2" w:rsidP="00B606CE">
      <w:pPr>
        <w:spacing w:after="240"/>
        <w:ind w:left="480" w:hanging="480"/>
        <w:jc w:val="both"/>
      </w:pPr>
      <w:r w:rsidRPr="004B7EF4">
        <w:t xml:space="preserve">Nelson, B, Brightwell, W, MacKenzie, D, Khan A, Wiegel W, Goad P. (1985a). </w:t>
      </w:r>
      <w:proofErr w:type="gramStart"/>
      <w:r w:rsidRPr="004B7EF4">
        <w:t>Teratological assessment of methanol and ethanol at high inhalation level in rats.</w:t>
      </w:r>
      <w:proofErr w:type="gramEnd"/>
      <w:r w:rsidRPr="004B7EF4">
        <w:t xml:space="preserve"> </w:t>
      </w:r>
      <w:proofErr w:type="gramStart"/>
      <w:r w:rsidRPr="004B7EF4">
        <w:t>Fundam.</w:t>
      </w:r>
      <w:proofErr w:type="gramEnd"/>
      <w:r w:rsidRPr="004B7EF4">
        <w:t xml:space="preserve"> Appl Toxicol. </w:t>
      </w:r>
      <w:proofErr w:type="gramStart"/>
      <w:r w:rsidRPr="004B7EF4">
        <w:t>5:727- 736.</w:t>
      </w:r>
      <w:proofErr w:type="gramEnd"/>
    </w:p>
    <w:p w:rsidR="001D41E2" w:rsidRPr="004B7EF4" w:rsidRDefault="001D41E2" w:rsidP="00B606CE">
      <w:pPr>
        <w:spacing w:after="240"/>
        <w:ind w:left="480" w:hanging="480"/>
        <w:jc w:val="both"/>
      </w:pPr>
      <w:r w:rsidRPr="004B7EF4">
        <w:t>Nelson B, Brightwell W, Burg J  (</w:t>
      </w:r>
      <w:r>
        <w:t>1</w:t>
      </w:r>
      <w:r w:rsidRPr="004B7EF4">
        <w:t xml:space="preserve">985b) Comparison of behavioral teratogenic effects of ethanol and n-propanol administered by inhalation to rats, Neurobehav . </w:t>
      </w:r>
      <w:proofErr w:type="gramStart"/>
      <w:r w:rsidRPr="004B7EF4">
        <w:t>Toxicol.</w:t>
      </w:r>
      <w:proofErr w:type="gramEnd"/>
      <w:r w:rsidRPr="004B7EF4">
        <w:t xml:space="preserve"> </w:t>
      </w:r>
      <w:proofErr w:type="gramStart"/>
      <w:r w:rsidRPr="004B7EF4">
        <w:t>Teratol .</w:t>
      </w:r>
      <w:proofErr w:type="gramEnd"/>
      <w:r w:rsidRPr="004B7EF4">
        <w:t xml:space="preserve"> 7(6):779-783.</w:t>
      </w:r>
    </w:p>
    <w:p w:rsidR="001D41E2" w:rsidRPr="004B7EF4" w:rsidRDefault="001D41E2" w:rsidP="00B606CE">
      <w:pPr>
        <w:spacing w:after="240"/>
        <w:ind w:left="480" w:hanging="480"/>
        <w:jc w:val="both"/>
      </w:pPr>
      <w:r w:rsidRPr="00A50500">
        <w:t>Nelson BK, Brightwell WS, Khan A, Krieg Jr EF, Hoberman AM (1989)</w:t>
      </w:r>
      <w:r w:rsidRPr="004B7EF4">
        <w:t xml:space="preserve"> Developmental Toxicology Evaluation of 1-Pentanol, 1-Hexanol, and 2-Ethyl-1-hexanol administered by inhalation to rats. Journal of the American College of Toxicology 8(2): 405-410. </w:t>
      </w:r>
    </w:p>
    <w:p w:rsidR="001D41E2" w:rsidRPr="004B7EF4" w:rsidRDefault="001D41E2" w:rsidP="009266C5">
      <w:pPr>
        <w:tabs>
          <w:tab w:val="left" w:pos="1134"/>
        </w:tabs>
        <w:spacing w:after="240"/>
        <w:ind w:left="480" w:hanging="480"/>
        <w:jc w:val="both"/>
      </w:pPr>
      <w:proofErr w:type="gramStart"/>
      <w:r w:rsidRPr="004B7EF4">
        <w:t>NITE (2008a).</w:t>
      </w:r>
      <w:proofErr w:type="gramEnd"/>
      <w:r w:rsidRPr="004B7EF4">
        <w:t xml:space="preserve"> </w:t>
      </w:r>
      <w:proofErr w:type="gramStart"/>
      <w:r w:rsidRPr="004B7EF4">
        <w:t>Biodegradation and Bioconcentration of Existing Chemical Substances under the Chemical Substances Control Law.</w:t>
      </w:r>
      <w:proofErr w:type="gramEnd"/>
      <w:r w:rsidRPr="004B7EF4">
        <w:t xml:space="preserve"> </w:t>
      </w:r>
      <w:proofErr w:type="gramStart"/>
      <w:r w:rsidRPr="004B7EF4">
        <w:t>National Institute of Technology and Evaluation (NITE); database available online at http://www.safe.nite.go.jp/english/kizon/KIZON_start_hazkizon.html.</w:t>
      </w:r>
      <w:proofErr w:type="gramEnd"/>
      <w:r w:rsidRPr="004B7EF4">
        <w:t xml:space="preserve"> Search on ethyl chloroformate (CAS 541-41-3), 11 Mar 2008.</w:t>
      </w:r>
    </w:p>
    <w:p w:rsidR="001D41E2" w:rsidRPr="004B7EF4" w:rsidRDefault="001D41E2" w:rsidP="009266C5">
      <w:pPr>
        <w:tabs>
          <w:tab w:val="left" w:pos="1134"/>
        </w:tabs>
        <w:spacing w:after="240"/>
        <w:ind w:left="480" w:hanging="480"/>
        <w:jc w:val="both"/>
      </w:pPr>
      <w:proofErr w:type="gramStart"/>
      <w:r w:rsidRPr="004B7EF4">
        <w:t>NITE (2008</w:t>
      </w:r>
      <w:r>
        <w:t>b</w:t>
      </w:r>
      <w:r w:rsidRPr="004B7EF4">
        <w:t>).</w:t>
      </w:r>
      <w:proofErr w:type="gramEnd"/>
      <w:r w:rsidRPr="004B7EF4">
        <w:t xml:space="preserve"> </w:t>
      </w:r>
      <w:proofErr w:type="gramStart"/>
      <w:r w:rsidRPr="004B7EF4">
        <w:t>Biodegradation and Bioconcentration of Existing Chemical Substances under the Chemical Substances Control Law.</w:t>
      </w:r>
      <w:proofErr w:type="gramEnd"/>
      <w:r w:rsidRPr="004B7EF4">
        <w:t xml:space="preserve"> </w:t>
      </w:r>
      <w:proofErr w:type="gramStart"/>
      <w:r w:rsidRPr="004B7EF4">
        <w:t>National Institute of Technology and Evaluation (NITE); database available online at http://www.safe.nite.go.jp/english/kizon/KIZON_start_hazkizon.html.</w:t>
      </w:r>
      <w:proofErr w:type="gramEnd"/>
      <w:r w:rsidRPr="004B7EF4">
        <w:t xml:space="preserve"> Search on diethylene glycol (CAS 111-46-6), 24 Oct 2008.</w:t>
      </w:r>
    </w:p>
    <w:p w:rsidR="001D41E2" w:rsidRPr="004B7EF4" w:rsidRDefault="001D41E2" w:rsidP="009266C5">
      <w:pPr>
        <w:tabs>
          <w:tab w:val="left" w:pos="1134"/>
        </w:tabs>
        <w:spacing w:after="240"/>
        <w:ind w:left="480" w:hanging="480"/>
        <w:jc w:val="both"/>
      </w:pPr>
      <w:proofErr w:type="gramStart"/>
      <w:r w:rsidRPr="004B7EF4">
        <w:t>NITE (2008</w:t>
      </w:r>
      <w:r>
        <w:t>c</w:t>
      </w:r>
      <w:r w:rsidRPr="004B7EF4">
        <w:t>).</w:t>
      </w:r>
      <w:proofErr w:type="gramEnd"/>
      <w:r w:rsidRPr="004B7EF4">
        <w:t xml:space="preserve"> </w:t>
      </w:r>
      <w:proofErr w:type="gramStart"/>
      <w:r w:rsidRPr="004B7EF4">
        <w:t>Biodegradation and Bioconcentration of Existing Chemical Substances under the Chemical Substances Control Law.</w:t>
      </w:r>
      <w:proofErr w:type="gramEnd"/>
      <w:r w:rsidRPr="004B7EF4">
        <w:t xml:space="preserve"> </w:t>
      </w:r>
      <w:proofErr w:type="gramStart"/>
      <w:r w:rsidRPr="004B7EF4">
        <w:t>National Institute of Technology and Evaluation (NITE); database available online at http://www.safe.nite.go.jp/english/kizon/KIZON_start_hazkizon.html.</w:t>
      </w:r>
      <w:proofErr w:type="gramEnd"/>
      <w:r w:rsidRPr="004B7EF4">
        <w:t xml:space="preserve"> Search on 2-ethylhexanol (CAS 104-76-7), 20 Nov 2008.</w:t>
      </w:r>
    </w:p>
    <w:p w:rsidR="001D41E2" w:rsidRPr="004B7EF4" w:rsidRDefault="001D41E2" w:rsidP="009266C5">
      <w:pPr>
        <w:tabs>
          <w:tab w:val="left" w:pos="1134"/>
        </w:tabs>
        <w:spacing w:after="240"/>
        <w:ind w:left="480" w:hanging="480"/>
        <w:jc w:val="both"/>
      </w:pPr>
      <w:proofErr w:type="gramStart"/>
      <w:r w:rsidRPr="004B7EF4">
        <w:t>NITE (2008</w:t>
      </w:r>
      <w:r>
        <w:t>d</w:t>
      </w:r>
      <w:r w:rsidRPr="004B7EF4">
        <w:t>).</w:t>
      </w:r>
      <w:proofErr w:type="gramEnd"/>
      <w:r w:rsidRPr="004B7EF4">
        <w:t xml:space="preserve"> </w:t>
      </w:r>
      <w:proofErr w:type="gramStart"/>
      <w:r w:rsidRPr="004B7EF4">
        <w:t>Biodegradation and Bioconcentration of Existing Chemical Substances under the Chemical Substances Control Law.</w:t>
      </w:r>
      <w:proofErr w:type="gramEnd"/>
      <w:r w:rsidRPr="004B7EF4">
        <w:t xml:space="preserve"> </w:t>
      </w:r>
      <w:proofErr w:type="gramStart"/>
      <w:r w:rsidRPr="004B7EF4">
        <w:t>National Institute of Technology and Evaluation (NITE); database available online at http://www.safe.nite.go.jp/english/kizon/KIZON_start_hazkizon.html.</w:t>
      </w:r>
      <w:proofErr w:type="gramEnd"/>
      <w:r w:rsidRPr="004B7EF4">
        <w:t xml:space="preserve"> Search on sec-butanol (CAS 78-92-2), 21 Oct 2008.</w:t>
      </w:r>
    </w:p>
    <w:p w:rsidR="001D41E2" w:rsidRPr="00D702A8" w:rsidRDefault="001D41E2" w:rsidP="009266C5">
      <w:pPr>
        <w:tabs>
          <w:tab w:val="left" w:pos="1134"/>
        </w:tabs>
        <w:spacing w:after="240"/>
        <w:ind w:left="480" w:hanging="480"/>
        <w:jc w:val="both"/>
      </w:pPr>
      <w:proofErr w:type="gramStart"/>
      <w:r w:rsidRPr="00496F0B">
        <w:t>OECD (1995).</w:t>
      </w:r>
      <w:proofErr w:type="gramEnd"/>
      <w:r w:rsidRPr="00496F0B">
        <w:t xml:space="preserve"> SIDS Documents on 2-ethylhexanol, CAS </w:t>
      </w:r>
      <w:r>
        <w:t xml:space="preserve">No. </w:t>
      </w:r>
      <w:r w:rsidRPr="00496F0B">
        <w:t>104-76-7, UNEP publications - SIDS</w:t>
      </w:r>
      <w:r w:rsidRPr="004B7EF4">
        <w:t xml:space="preserve"> documents have been discussed at SIAM 3 (Feb. 1995).</w:t>
      </w:r>
      <w:r>
        <w:t xml:space="preserve">  SIAP available at:  </w:t>
      </w:r>
      <w:r w:rsidRPr="00D702A8">
        <w:t>http://webnet.oecd.org/hpv/UI/handler.axd?id=ffab6db1-9916-48a0-833e-7de4fe550dc7</w:t>
      </w:r>
    </w:p>
    <w:p w:rsidR="001D41E2" w:rsidRPr="009D5214" w:rsidRDefault="007D3E3E" w:rsidP="00D702A8">
      <w:pPr>
        <w:tabs>
          <w:tab w:val="left" w:pos="1134"/>
        </w:tabs>
        <w:spacing w:after="240"/>
        <w:jc w:val="both"/>
      </w:pPr>
      <w:proofErr w:type="gramStart"/>
      <w:r w:rsidRPr="009D5214">
        <w:t>OECD (2000).</w:t>
      </w:r>
      <w:proofErr w:type="gramEnd"/>
      <w:r w:rsidRPr="009D5214">
        <w:t xml:space="preserve"> </w:t>
      </w:r>
      <w:r w:rsidR="001D41E2" w:rsidRPr="009D5214">
        <w:t>SIDS Documents on 2-propanol, CAS No. 67-63-0, UNEP publications - online URL:</w:t>
      </w:r>
      <w:hyperlink r:id="rId59" w:history="1">
        <w:r w:rsidR="001D41E2" w:rsidRPr="009D5214">
          <w:rPr>
            <w:rStyle w:val="Hyperlink"/>
            <w:sz w:val="24"/>
            <w:szCs w:val="24"/>
          </w:rPr>
          <w:t xml:space="preserve">  http://www.chem.unep.ch/irptc/sids/OECDSIDS/sidspub.html</w:t>
        </w:r>
      </w:hyperlink>
      <w:r w:rsidR="001D41E2" w:rsidRPr="009D5214">
        <w:t xml:space="preserve">. </w:t>
      </w:r>
    </w:p>
    <w:p w:rsidR="001D41E2" w:rsidRPr="009D5214" w:rsidRDefault="001D41E2" w:rsidP="009D5939">
      <w:pPr>
        <w:tabs>
          <w:tab w:val="left" w:pos="1134"/>
        </w:tabs>
        <w:spacing w:after="240"/>
        <w:ind w:left="480" w:hanging="480"/>
        <w:jc w:val="both"/>
      </w:pPr>
      <w:proofErr w:type="gramStart"/>
      <w:r w:rsidRPr="009D5214">
        <w:t>OECD (2002a).</w:t>
      </w:r>
      <w:proofErr w:type="gramEnd"/>
      <w:r w:rsidRPr="009D5214">
        <w:t xml:space="preserve"> SIDS Documents on hydrogen chloride, CAS No. 7647-01-0, UNEP publications - online URL: </w:t>
      </w:r>
      <w:hyperlink r:id="rId60" w:history="1">
        <w:r w:rsidRPr="009D5214">
          <w:rPr>
            <w:rStyle w:val="Hyperlink"/>
            <w:sz w:val="24"/>
            <w:szCs w:val="24"/>
          </w:rPr>
          <w:t>http://www.chem.unep.ch/irptc/sids/OECDSIDS/7647010.pdf</w:t>
        </w:r>
      </w:hyperlink>
      <w:r w:rsidRPr="009D5214">
        <w:t>.</w:t>
      </w:r>
    </w:p>
    <w:p w:rsidR="001D41E2" w:rsidRPr="001D41E2" w:rsidRDefault="007D3E3E" w:rsidP="009D5939">
      <w:pPr>
        <w:tabs>
          <w:tab w:val="left" w:pos="1134"/>
        </w:tabs>
        <w:spacing w:after="240"/>
        <w:jc w:val="both"/>
      </w:pPr>
      <w:r w:rsidRPr="007D3E3E">
        <w:t xml:space="preserve">OECD (2002b). SIDS Documents on sec-butanol, CAS No. 78-92-2 (Draft), UNEP publications - SIDS documents have been discussed at SIAM 14 (Feb. 2002) and are available for review on OECD website at:  </w:t>
      </w:r>
      <w:hyperlink r:id="rId61" w:history="1">
        <w:r w:rsidRPr="007D3E3E">
          <w:rPr>
            <w:rStyle w:val="Hyperlink"/>
            <w:sz w:val="24"/>
            <w:szCs w:val="24"/>
          </w:rPr>
          <w:t>http://webnet.oecd.org/hpv/UI/Search.aspx</w:t>
        </w:r>
      </w:hyperlink>
      <w:r w:rsidRPr="007D3E3E">
        <w:t xml:space="preserve">. </w:t>
      </w:r>
    </w:p>
    <w:p w:rsidR="001D41E2" w:rsidRPr="004B7EF4" w:rsidRDefault="007D3E3E" w:rsidP="009D5939">
      <w:pPr>
        <w:tabs>
          <w:tab w:val="left" w:pos="1134"/>
        </w:tabs>
        <w:spacing w:after="240"/>
        <w:ind w:left="480" w:hanging="480"/>
        <w:jc w:val="both"/>
      </w:pPr>
      <w:r w:rsidRPr="007D3E3E">
        <w:t xml:space="preserve">OECD (2004a). </w:t>
      </w:r>
      <w:r w:rsidR="001D41E2" w:rsidRPr="004B7EF4">
        <w:t xml:space="preserve">SIDS Documents on methanol, CAS </w:t>
      </w:r>
      <w:r w:rsidR="001D41E2">
        <w:t xml:space="preserve">No. </w:t>
      </w:r>
      <w:r w:rsidR="001D41E2" w:rsidRPr="004B7EF4">
        <w:t>67-56-1 (Draft), SIDS documents have been discussed at SIAM 19 (Oct. 2004)</w:t>
      </w:r>
      <w:r w:rsidR="001D41E2">
        <w:t xml:space="preserve"> and are available for review on OECD website at:  </w:t>
      </w:r>
      <w:hyperlink r:id="rId62" w:history="1">
        <w:r w:rsidR="001D41E2" w:rsidRPr="00E148D4">
          <w:rPr>
            <w:rStyle w:val="Hyperlink"/>
            <w:sz w:val="24"/>
            <w:szCs w:val="24"/>
          </w:rPr>
          <w:t>http://webnet.oecd.org/hpv/UI/Search.aspx</w:t>
        </w:r>
      </w:hyperlink>
      <w:r w:rsidR="001D41E2" w:rsidRPr="004B7EF4">
        <w:t>.</w:t>
      </w:r>
    </w:p>
    <w:p w:rsidR="001D41E2" w:rsidRPr="00FB66B1" w:rsidRDefault="001D41E2" w:rsidP="00FB66B1">
      <w:pPr>
        <w:tabs>
          <w:tab w:val="left" w:pos="1134"/>
        </w:tabs>
        <w:spacing w:after="240"/>
        <w:ind w:left="480" w:hanging="480"/>
        <w:jc w:val="both"/>
      </w:pPr>
      <w:r w:rsidRPr="004B7EF4">
        <w:t xml:space="preserve">OECD (2004b). SIDS Documents on the category "ethylene glycols", online URL: </w:t>
      </w:r>
      <w:hyperlink r:id="rId63" w:history="1">
        <w:r w:rsidRPr="00E148D4">
          <w:rPr>
            <w:rStyle w:val="Hyperlink"/>
            <w:sz w:val="24"/>
            <w:szCs w:val="24"/>
          </w:rPr>
          <w:t>http://webnet.oecd.org/hpv/UI/Search.aspx</w:t>
        </w:r>
      </w:hyperlink>
      <w:r w:rsidRPr="004B7EF4">
        <w:t xml:space="preserve">. </w:t>
      </w:r>
      <w:r w:rsidRPr="00FB66B1">
        <w:t>[Search for CAS No. 111-46-6]</w:t>
      </w:r>
    </w:p>
    <w:p w:rsidR="001D41E2" w:rsidRPr="001D41E2" w:rsidRDefault="007D3E3E" w:rsidP="009266C5">
      <w:pPr>
        <w:tabs>
          <w:tab w:val="left" w:pos="1134"/>
        </w:tabs>
        <w:spacing w:after="240"/>
        <w:ind w:left="480" w:hanging="480"/>
        <w:jc w:val="both"/>
      </w:pPr>
      <w:r w:rsidRPr="007D3E3E">
        <w:t xml:space="preserve">OECD (2005). SIDS Documents on ethanol, CAS No. 64-17-5, UNEP publications - online URL: </w:t>
      </w:r>
      <w:hyperlink r:id="rId64" w:history="1">
        <w:r w:rsidRPr="007D3E3E">
          <w:rPr>
            <w:rStyle w:val="Hyperlink"/>
            <w:sz w:val="24"/>
            <w:szCs w:val="24"/>
          </w:rPr>
          <w:t>http://www.chem.unep.ch/irptc/sids/OECDSIDS/sidspub.html</w:t>
        </w:r>
      </w:hyperlink>
      <w:r w:rsidRPr="007D3E3E">
        <w:t xml:space="preserve">. </w:t>
      </w:r>
    </w:p>
    <w:p w:rsidR="001D41E2" w:rsidRPr="004B7EF4" w:rsidRDefault="001D41E2" w:rsidP="009266C5">
      <w:pPr>
        <w:tabs>
          <w:tab w:val="left" w:pos="1134"/>
        </w:tabs>
        <w:spacing w:after="240"/>
        <w:ind w:left="480" w:hanging="480"/>
        <w:jc w:val="both"/>
      </w:pPr>
      <w:r w:rsidRPr="004B7EF4">
        <w:t>Price KS, Waggy GT, Conway RA (1974). Brine shrimp bioassay and seawater BOD of petrochemicals. Journal Water Pollution Control Federation 46(1): 63-77.</w:t>
      </w:r>
    </w:p>
    <w:p w:rsidR="001D41E2" w:rsidRPr="004B7EF4" w:rsidRDefault="001D41E2" w:rsidP="009266C5">
      <w:pPr>
        <w:tabs>
          <w:tab w:val="left" w:pos="1134"/>
        </w:tabs>
        <w:spacing w:after="240"/>
        <w:ind w:left="480" w:hanging="480"/>
        <w:jc w:val="both"/>
      </w:pPr>
      <w:r w:rsidRPr="004B7EF4">
        <w:t>Queen A (1967). Kinetics of the hydrolysis of acyl chlorides in pure water. Canadian Journal of Chemistry 45, 1619-1629.</w:t>
      </w:r>
    </w:p>
    <w:p w:rsidR="001D41E2" w:rsidRPr="004B7EF4" w:rsidRDefault="001D41E2" w:rsidP="009266C5">
      <w:pPr>
        <w:tabs>
          <w:tab w:val="left" w:pos="1134"/>
        </w:tabs>
        <w:spacing w:after="240"/>
        <w:ind w:left="480" w:hanging="480"/>
        <w:jc w:val="both"/>
      </w:pPr>
      <w:proofErr w:type="gramStart"/>
      <w:r w:rsidRPr="004B7EF4">
        <w:t>Safepharm (2003a).</w:t>
      </w:r>
      <w:proofErr w:type="gramEnd"/>
      <w:r w:rsidRPr="004B7EF4">
        <w:t xml:space="preserve"> Methyl chloroformate: Determination of hydrolysis as a function of pH. Safepharm Laboratories Ltd., Project No. 1683/001, 14 Aug 2003.</w:t>
      </w:r>
    </w:p>
    <w:p w:rsidR="001D41E2" w:rsidRPr="004B7EF4" w:rsidRDefault="001D41E2" w:rsidP="009266C5">
      <w:pPr>
        <w:tabs>
          <w:tab w:val="left" w:pos="1134"/>
        </w:tabs>
        <w:spacing w:after="240"/>
        <w:ind w:left="480" w:hanging="480"/>
        <w:jc w:val="both"/>
      </w:pPr>
      <w:r w:rsidRPr="004B7EF4">
        <w:t>Safepharm (2003b). Ethyl chloroformate: Determination of hydrolysis as a function of pH. Safepharm Laboratories Ltd., Project No. 1683/005, 13 Aug 2003.</w:t>
      </w:r>
    </w:p>
    <w:p w:rsidR="001D41E2" w:rsidRPr="004B7EF4" w:rsidRDefault="001D41E2" w:rsidP="009266C5">
      <w:pPr>
        <w:tabs>
          <w:tab w:val="left" w:pos="1134"/>
        </w:tabs>
        <w:spacing w:after="240"/>
        <w:ind w:left="480" w:hanging="480"/>
        <w:jc w:val="both"/>
      </w:pPr>
      <w:r w:rsidRPr="004B7EF4">
        <w:t>Safepharm (2003c). Isopropyl chloroformate: Determination of hydrolysis as a function of pH. Safepharm Laboratories Ltd., Project No. 1683/003, 13 Aug 2003.</w:t>
      </w:r>
    </w:p>
    <w:p w:rsidR="001D41E2" w:rsidRPr="004B7EF4" w:rsidRDefault="001D41E2" w:rsidP="009266C5">
      <w:pPr>
        <w:tabs>
          <w:tab w:val="left" w:pos="1134"/>
        </w:tabs>
        <w:spacing w:after="240"/>
        <w:ind w:left="480" w:hanging="480"/>
        <w:jc w:val="both"/>
      </w:pPr>
      <w:r w:rsidRPr="004B7EF4">
        <w:t>Safepharm (2003d). Diethylene Glycol Bis(Chloroformate): Determination of hydrolysis as a function of pH. Safepharm Laboratories Ltd., Project No. 1683/002, 14 Aug 2003.</w:t>
      </w:r>
    </w:p>
    <w:p w:rsidR="001D41E2" w:rsidRPr="00A50500" w:rsidRDefault="001D41E2" w:rsidP="009266C5">
      <w:pPr>
        <w:tabs>
          <w:tab w:val="left" w:pos="1134"/>
        </w:tabs>
        <w:spacing w:after="240"/>
        <w:ind w:left="480" w:hanging="480"/>
        <w:jc w:val="both"/>
      </w:pPr>
      <w:r w:rsidRPr="004B7EF4">
        <w:t xml:space="preserve">Safepharm (2003e). 2-Ethylhexyl Chloroformate: Determination of hydrolysis as a function of pH. </w:t>
      </w:r>
      <w:r w:rsidRPr="00A50500">
        <w:t>Safepharm Laboratories Ltd., Project No. 1683/009, 13 Aug 2003.</w:t>
      </w:r>
    </w:p>
    <w:p w:rsidR="001D41E2" w:rsidRDefault="001D41E2" w:rsidP="00B606CE">
      <w:pPr>
        <w:spacing w:after="240"/>
        <w:ind w:left="480" w:hanging="480"/>
        <w:jc w:val="both"/>
      </w:pPr>
      <w:r w:rsidRPr="00802C94">
        <w:t xml:space="preserve">Sax, N.I. and R.J. Lewis, Sr. (eds.). </w:t>
      </w:r>
      <w:proofErr w:type="gramStart"/>
      <w:r>
        <w:t xml:space="preserve">(1987) </w:t>
      </w:r>
      <w:r w:rsidRPr="00802C94">
        <w:t>Hawley's Condensed Chemical Dictionary.</w:t>
      </w:r>
      <w:proofErr w:type="gramEnd"/>
      <w:r w:rsidRPr="00802C94">
        <w:t xml:space="preserve"> 11th ed. New York: Van Nostrand Reinhold Co., 1987., p. 483 as cited in HSDB 01 Nov 2007</w:t>
      </w:r>
      <w:r>
        <w:t>.</w:t>
      </w:r>
    </w:p>
    <w:p w:rsidR="009D5214" w:rsidRDefault="001D41E2">
      <w:pPr>
        <w:spacing w:after="240"/>
        <w:ind w:left="480" w:hanging="480"/>
        <w:jc w:val="both"/>
      </w:pPr>
      <w:r>
        <w:t>Schelde E, Mischke U, Roll R and Kayser D A national validation study of of the acute-toxic-class method - an alternative to the LD50 test. Arch Toxicol 66:455-470</w:t>
      </w:r>
    </w:p>
    <w:p w:rsidR="001D41E2" w:rsidRPr="00A50500" w:rsidRDefault="001D41E2" w:rsidP="009266C5">
      <w:pPr>
        <w:tabs>
          <w:tab w:val="left" w:pos="1134"/>
        </w:tabs>
        <w:spacing w:after="240"/>
        <w:ind w:left="480" w:hanging="480"/>
        <w:jc w:val="both"/>
      </w:pPr>
      <w:r w:rsidRPr="00A50500">
        <w:t xml:space="preserve">SOCMA (2009). Production volumes of chloroformates in 2008 (estimation), 23 Feb 2009. </w:t>
      </w:r>
    </w:p>
    <w:p w:rsidR="001D41E2" w:rsidRDefault="001D41E2" w:rsidP="00B606CE">
      <w:pPr>
        <w:spacing w:after="240"/>
        <w:ind w:left="480" w:hanging="480"/>
        <w:jc w:val="both"/>
      </w:pPr>
      <w:r w:rsidRPr="004B7EF4">
        <w:t xml:space="preserve">Takeda, K. and Katoh, N. (1988)  Long-term effects of methanol vapor at low concentration. Proc. of the 8th Int. Symp. Alcohol Fuels: 1051-1056. </w:t>
      </w:r>
    </w:p>
    <w:p w:rsidR="001D41E2" w:rsidRPr="004B7EF4" w:rsidRDefault="001D41E2" w:rsidP="00B606CE">
      <w:pPr>
        <w:spacing w:after="240"/>
        <w:ind w:left="480" w:hanging="480"/>
        <w:jc w:val="both"/>
        <w:rPr>
          <w:rFonts w:ascii="Helvetica" w:hAnsi="Helvetica" w:cs="Helvetica"/>
          <w:sz w:val="20"/>
          <w:szCs w:val="20"/>
        </w:rPr>
      </w:pPr>
      <w:r w:rsidRPr="00A50500">
        <w:t>Tyl RW, Fisher LC, Kubena MF, Vrbanic MA, Gingell R, Guest D, Hodgson JR, Murphy SR, Tyler TR, Astill BD.</w:t>
      </w:r>
      <w:r w:rsidRPr="004B7EF4">
        <w:t xml:space="preserve"> The Developmental Toxicity of 2-Ethylhexanol Applied Dermally to Pregnant Fischer 344 Rats Fundamental and Applied Toxicology 19: 176-185.</w:t>
      </w:r>
      <w:r w:rsidRPr="004B7EF4">
        <w:rPr>
          <w:rFonts w:ascii="Helvetica" w:hAnsi="Helvetica" w:cs="Helvetica"/>
          <w:sz w:val="20"/>
          <w:szCs w:val="20"/>
        </w:rPr>
        <w:t xml:space="preserve"> </w:t>
      </w:r>
    </w:p>
    <w:p w:rsidR="001D41E2" w:rsidRDefault="001D41E2" w:rsidP="009266C5">
      <w:pPr>
        <w:tabs>
          <w:tab w:val="left" w:pos="1134"/>
        </w:tabs>
        <w:spacing w:after="240"/>
        <w:ind w:left="480" w:hanging="480"/>
        <w:jc w:val="both"/>
      </w:pPr>
      <w:r w:rsidRPr="00496F0B">
        <w:t>Ullmann's (1986). Ullmann's Encyclopedia of Industrial Chemistry, 5th Ed., Vol. A6, p. 559-564, VCH Weinheim, 1986.</w:t>
      </w:r>
    </w:p>
    <w:p w:rsidR="001D41E2" w:rsidRDefault="001D41E2" w:rsidP="001E1E52">
      <w:pPr>
        <w:tabs>
          <w:tab w:val="left" w:pos="1134"/>
        </w:tabs>
        <w:spacing w:after="240"/>
        <w:ind w:left="480" w:hanging="480"/>
        <w:jc w:val="both"/>
      </w:pPr>
      <w:r>
        <w:t>U.S. Coast Guard, Department of Transportation. CHRIS – Hazardous Chemical Data. Volume II, Washington, D.C.: U.S. Government Printing Office, 1984-5.</w:t>
      </w:r>
    </w:p>
    <w:p w:rsidR="001D41E2" w:rsidRDefault="001D41E2" w:rsidP="001E1E52">
      <w:pPr>
        <w:tabs>
          <w:tab w:val="left" w:pos="1134"/>
        </w:tabs>
        <w:spacing w:after="240"/>
        <w:ind w:left="480" w:hanging="480"/>
        <w:jc w:val="both"/>
      </w:pPr>
      <w:r w:rsidRPr="0036650B">
        <w:t>US EPA (2008a). Estimation Programs Interface Suite,™. for Microsoft® Windows, v3.20. United States Environmental Protection Agency, Washington, DC, USA. EPISuite (v3.20) data assessment for methyl chloroformate (CAS 79-22-1) by BASF SE, Department for Product Safety, 10-Mar-2008.</w:t>
      </w:r>
    </w:p>
    <w:p w:rsidR="001D41E2" w:rsidRPr="0036650B" w:rsidRDefault="001D41E2" w:rsidP="00015246">
      <w:pPr>
        <w:tabs>
          <w:tab w:val="left" w:pos="1134"/>
        </w:tabs>
        <w:spacing w:after="240"/>
        <w:ind w:left="480" w:hanging="480"/>
        <w:jc w:val="both"/>
      </w:pPr>
      <w:r w:rsidRPr="0036650B">
        <w:t>US EPA (2008b). Estimation Programs Interface Suite,™. for Microsoft® Windows, v3.20. United States Environmental Protection Agency, Washington, DC, USA. EPISuite (v3.20) data assessment for ethyl chloroformate (CAS 541-41-3) by BASF SE, Department for Product Safety, 12-Mar-2008.</w:t>
      </w:r>
    </w:p>
    <w:p w:rsidR="001D41E2" w:rsidRPr="0036650B" w:rsidRDefault="001D41E2" w:rsidP="00015246">
      <w:pPr>
        <w:tabs>
          <w:tab w:val="left" w:pos="1134"/>
        </w:tabs>
        <w:spacing w:after="240"/>
        <w:ind w:left="480" w:hanging="480"/>
        <w:jc w:val="both"/>
      </w:pPr>
      <w:r w:rsidRPr="0036650B">
        <w:t>US EPA (2008c). Estimation Programs Interface Suite,™. for Microsoft® Windows, v3.20. United States Environmental Protection Agency, Washington, DC, USA. EPISuite (v3.20) data assessment for propyl chloroformate (CAS 109-61-5) by BASF SE, Department for Product Safety, 06-Mar-2008.</w:t>
      </w:r>
    </w:p>
    <w:p w:rsidR="001D41E2" w:rsidRPr="0036650B" w:rsidRDefault="001D41E2" w:rsidP="00015246">
      <w:pPr>
        <w:tabs>
          <w:tab w:val="left" w:pos="1134"/>
        </w:tabs>
        <w:spacing w:after="240"/>
        <w:ind w:left="480" w:hanging="480"/>
        <w:jc w:val="both"/>
      </w:pPr>
      <w:r w:rsidRPr="0036650B">
        <w:t>US EPA (2008d). Estimation Programs Interface Suite,™. for Microsoft® Windows, v3.20. United States Environmental Protection Agency, Washington, DC, USA. EPISuite (v3.20) data assessment for isopropyl chloroformate (CAS 108-23-6) by BASF SE, Department for Product Safety, 03-Mar-2008.</w:t>
      </w:r>
    </w:p>
    <w:p w:rsidR="001D41E2" w:rsidRPr="0036650B" w:rsidRDefault="001D41E2" w:rsidP="00015246">
      <w:pPr>
        <w:tabs>
          <w:tab w:val="left" w:pos="1134"/>
        </w:tabs>
        <w:spacing w:after="240"/>
        <w:ind w:left="480" w:hanging="480"/>
        <w:jc w:val="both"/>
      </w:pPr>
      <w:r w:rsidRPr="0036650B">
        <w:t>US EPA (2008e). Estimation Programs Interface Suite,™. for Microsoft® Windows, v3.20. United States Environmental Protection Agency, Washington, DC, USA. EPISuite (v3.20) data assessment for sec-butyl chloroformate (CAS 17462-58-7) by BASF SE, Department for Product Safety, 04-Mar-2008.</w:t>
      </w:r>
    </w:p>
    <w:p w:rsidR="001D41E2" w:rsidRPr="0036650B" w:rsidRDefault="001D41E2" w:rsidP="00015246">
      <w:pPr>
        <w:tabs>
          <w:tab w:val="left" w:pos="1134"/>
        </w:tabs>
        <w:spacing w:after="240"/>
        <w:ind w:left="480" w:hanging="480"/>
        <w:jc w:val="both"/>
      </w:pPr>
      <w:r w:rsidRPr="0036650B">
        <w:t>US EPA (2008f). Estimation Programs Interface Suite,™. for Microsoft® Windows, v3.20. United States Environmental Protection Agency, Washington, DC, USA. EPISuite (v3.20) data assessment for oxydiethylene bischloroformate (</w:t>
      </w:r>
      <w:r w:rsidRPr="004C2CEE">
        <w:t>CAS 106-75-2)</w:t>
      </w:r>
      <w:r w:rsidRPr="0036650B">
        <w:t xml:space="preserve"> by BASF SE, Department for Product Safety, 27-Oct-2008.</w:t>
      </w:r>
    </w:p>
    <w:p w:rsidR="001D41E2" w:rsidRDefault="001D41E2" w:rsidP="00015246">
      <w:pPr>
        <w:tabs>
          <w:tab w:val="left" w:pos="1134"/>
        </w:tabs>
        <w:spacing w:after="240"/>
        <w:ind w:left="480" w:hanging="480"/>
        <w:jc w:val="both"/>
      </w:pPr>
      <w:r w:rsidRPr="0036650B">
        <w:t>US EPA (2008g). Estimation Programs Interface Suite,™. for Microsoft® Windows, v3.20. United States Environmental Protection Agency, Washington, DC, USA. EPISuite (v3.20) data assessment for 2-ethylhexyl chloroformate (CAS 24468-13-1) by BASF SE, Department for Product Safety, 05-Mar-2008.</w:t>
      </w:r>
      <w:r>
        <w:t xml:space="preserve"> </w:t>
      </w:r>
    </w:p>
    <w:p w:rsidR="001D41E2" w:rsidRPr="001E1E52" w:rsidRDefault="001D41E2" w:rsidP="001E1E52">
      <w:pPr>
        <w:tabs>
          <w:tab w:val="left" w:pos="1134"/>
        </w:tabs>
        <w:spacing w:after="240"/>
        <w:ind w:left="480" w:hanging="480"/>
        <w:jc w:val="both"/>
      </w:pPr>
      <w:r>
        <w:rPr>
          <w:color w:val="000000"/>
        </w:rPr>
        <w:t xml:space="preserve">US EPA </w:t>
      </w:r>
      <w:r w:rsidRPr="006102AE">
        <w:rPr>
          <w:color w:val="000000"/>
        </w:rPr>
        <w:t>(200</w:t>
      </w:r>
      <w:r>
        <w:rPr>
          <w:color w:val="000000"/>
        </w:rPr>
        <w:t>9</w:t>
      </w:r>
      <w:r w:rsidRPr="006102AE">
        <w:rPr>
          <w:color w:val="000000"/>
        </w:rPr>
        <w:t>)</w:t>
      </w:r>
      <w:r>
        <w:rPr>
          <w:color w:val="000000"/>
        </w:rPr>
        <w:t xml:space="preserve">.  </w:t>
      </w:r>
      <w:r w:rsidRPr="006102AE">
        <w:rPr>
          <w:color w:val="000000"/>
        </w:rPr>
        <w:t>TRI explorer: Providing access to EPA’s</w:t>
      </w:r>
      <w:r>
        <w:rPr>
          <w:color w:val="000000"/>
        </w:rPr>
        <w:t xml:space="preserve"> toxics release inventory data.  </w:t>
      </w:r>
      <w:r w:rsidRPr="006102AE">
        <w:rPr>
          <w:color w:val="000000"/>
        </w:rPr>
        <w:t xml:space="preserve">Washington, DC: Office of Information Analysis and Access. </w:t>
      </w:r>
      <w:r>
        <w:rPr>
          <w:color w:val="000000"/>
        </w:rPr>
        <w:t xml:space="preserve"> </w:t>
      </w:r>
      <w:r w:rsidRPr="006102AE">
        <w:rPr>
          <w:color w:val="000000"/>
        </w:rPr>
        <w:t xml:space="preserve">Office of Environmental Information. U.S. Environmental Protection Agency. </w:t>
      </w:r>
      <w:r>
        <w:rPr>
          <w:color w:val="000000"/>
        </w:rPr>
        <w:t xml:space="preserve"> </w:t>
      </w:r>
      <w:r w:rsidRPr="006102AE">
        <w:rPr>
          <w:color w:val="000000"/>
        </w:rPr>
        <w:t>Toxics Release Inventory.</w:t>
      </w:r>
      <w:r>
        <w:rPr>
          <w:color w:val="000000"/>
        </w:rPr>
        <w:t xml:space="preserve"> </w:t>
      </w:r>
      <w:r w:rsidRPr="006102AE">
        <w:rPr>
          <w:color w:val="000000"/>
        </w:rPr>
        <w:t xml:space="preserve"> http://</w:t>
      </w:r>
      <w:r>
        <w:rPr>
          <w:color w:val="000000"/>
        </w:rPr>
        <w:t>www.epa.gov/triexplorer/</w:t>
      </w:r>
      <w:r w:rsidRPr="006102AE">
        <w:rPr>
          <w:color w:val="000000"/>
        </w:rPr>
        <w:t xml:space="preserve">.  </w:t>
      </w:r>
    </w:p>
    <w:p w:rsidR="001D41E2" w:rsidRPr="004B7EF4" w:rsidRDefault="001D41E2" w:rsidP="009266C5">
      <w:pPr>
        <w:tabs>
          <w:tab w:val="left" w:pos="1134"/>
        </w:tabs>
        <w:spacing w:after="240"/>
        <w:ind w:left="480" w:hanging="480"/>
        <w:jc w:val="both"/>
      </w:pPr>
      <w:bookmarkStart w:id="107" w:name="OLE_LINK15"/>
      <w:bookmarkStart w:id="108" w:name="OLE_LINK16"/>
      <w:r w:rsidRPr="004B7EF4">
        <w:t>US EPA (20</w:t>
      </w:r>
      <w:r>
        <w:t>10</w:t>
      </w:r>
      <w:r w:rsidRPr="004B7EF4">
        <w:t>a). Estimation Programs Interface Suite,™. for Microsoft® Windows, v</w:t>
      </w:r>
      <w:r>
        <w:t>4.0</w:t>
      </w:r>
      <w:r w:rsidRPr="004B7EF4">
        <w:t>0. United States Environmental Protection Agency, Washington, DC, USA. EPISuite (v</w:t>
      </w:r>
      <w:r>
        <w:t>4</w:t>
      </w:r>
      <w:r w:rsidRPr="004B7EF4">
        <w:t>.</w:t>
      </w:r>
      <w:r>
        <w:t>0</w:t>
      </w:r>
      <w:r w:rsidRPr="004B7EF4">
        <w:t>0) data assessment for methyl chloroformate (CAS 79-22-1) by BASF SE, Department for Product Safety, 0</w:t>
      </w:r>
      <w:r>
        <w:t>5</w:t>
      </w:r>
      <w:r w:rsidRPr="004B7EF4">
        <w:t>-Mar-20</w:t>
      </w:r>
      <w:r>
        <w:t>10</w:t>
      </w:r>
      <w:r w:rsidRPr="004B7EF4">
        <w:t>.</w:t>
      </w:r>
    </w:p>
    <w:bookmarkEnd w:id="107"/>
    <w:bookmarkEnd w:id="108"/>
    <w:p w:rsidR="001D41E2" w:rsidRPr="004B7EF4" w:rsidRDefault="001D41E2" w:rsidP="009266C5">
      <w:pPr>
        <w:tabs>
          <w:tab w:val="left" w:pos="1134"/>
        </w:tabs>
        <w:spacing w:after="240"/>
        <w:ind w:left="480" w:hanging="480"/>
        <w:jc w:val="both"/>
      </w:pPr>
      <w:r w:rsidRPr="004B7EF4">
        <w:t>US EPA (20</w:t>
      </w:r>
      <w:r>
        <w:t>10</w:t>
      </w:r>
      <w:r w:rsidRPr="004B7EF4">
        <w:t>b). Estimation Programs Interface Suite,™. for Microsoft® Windows, v</w:t>
      </w:r>
      <w:r>
        <w:t>4.0</w:t>
      </w:r>
      <w:r w:rsidRPr="004B7EF4">
        <w:t>0. United States Environmental Protection Agency, Washington, DC, USA. EPISuite (v</w:t>
      </w:r>
      <w:r>
        <w:t>4.0</w:t>
      </w:r>
      <w:r w:rsidRPr="004B7EF4">
        <w:t xml:space="preserve">0) data assessment for ethyl chloroformate (CAS 541-41-3) by BASF SE, Department for Product Safety, </w:t>
      </w:r>
      <w:r>
        <w:t>05</w:t>
      </w:r>
      <w:r w:rsidRPr="004B7EF4">
        <w:t>-Mar-20</w:t>
      </w:r>
      <w:r>
        <w:t>10</w:t>
      </w:r>
      <w:r w:rsidRPr="004B7EF4">
        <w:t>.</w:t>
      </w:r>
    </w:p>
    <w:p w:rsidR="001D41E2" w:rsidRPr="004B7EF4" w:rsidRDefault="001D41E2" w:rsidP="009266C5">
      <w:pPr>
        <w:tabs>
          <w:tab w:val="left" w:pos="1134"/>
        </w:tabs>
        <w:spacing w:after="240"/>
        <w:ind w:left="480" w:hanging="480"/>
        <w:jc w:val="both"/>
      </w:pPr>
      <w:r w:rsidRPr="004B7EF4">
        <w:t>US EPA (20</w:t>
      </w:r>
      <w:r>
        <w:t>10</w:t>
      </w:r>
      <w:r w:rsidRPr="004B7EF4">
        <w:t>c). Estimation Programs Interface Suite,™. for Microsoft® Windows, v</w:t>
      </w:r>
      <w:r>
        <w:t>4.0</w:t>
      </w:r>
      <w:r w:rsidRPr="004B7EF4">
        <w:t>0. United States Environmental Protection Agency, Washington, DC, USA. EPISuite (v</w:t>
      </w:r>
      <w:r>
        <w:t>4.0</w:t>
      </w:r>
      <w:r w:rsidRPr="004B7EF4">
        <w:t>0) data assessment for propyl chloroformate (CAS 109-61-5) by BASF SE, Department for Product Safety, 0</w:t>
      </w:r>
      <w:r>
        <w:t>5</w:t>
      </w:r>
      <w:r w:rsidRPr="004B7EF4">
        <w:t>-Mar-20</w:t>
      </w:r>
      <w:r>
        <w:t>10</w:t>
      </w:r>
      <w:r w:rsidRPr="004B7EF4">
        <w:t>.</w:t>
      </w:r>
    </w:p>
    <w:p w:rsidR="001D41E2" w:rsidRPr="004B7EF4" w:rsidRDefault="001D41E2" w:rsidP="009266C5">
      <w:pPr>
        <w:tabs>
          <w:tab w:val="left" w:pos="1134"/>
        </w:tabs>
        <w:spacing w:after="240"/>
        <w:ind w:left="480" w:hanging="480"/>
        <w:jc w:val="both"/>
      </w:pPr>
      <w:r w:rsidRPr="004B7EF4">
        <w:t>US EPA (20</w:t>
      </w:r>
      <w:r>
        <w:t>10</w:t>
      </w:r>
      <w:r w:rsidRPr="004B7EF4">
        <w:t>d). Estimation Programs Interface Suite,™. for Microsoft® Windows, v</w:t>
      </w:r>
      <w:r>
        <w:t>4.0</w:t>
      </w:r>
      <w:r w:rsidRPr="004B7EF4">
        <w:t>0. United States Environmental Protection Agency, Washington, DC, USA. EPISuite (v</w:t>
      </w:r>
      <w:r>
        <w:t>4.0</w:t>
      </w:r>
      <w:r w:rsidRPr="004B7EF4">
        <w:t>0) data assessment for isopropyl chloroformate (CAS 108-23-6) by BASF SE, Department for Product Safety, 0</w:t>
      </w:r>
      <w:r>
        <w:t>5</w:t>
      </w:r>
      <w:r w:rsidRPr="004B7EF4">
        <w:t>-Mar-20</w:t>
      </w:r>
      <w:r>
        <w:t>10</w:t>
      </w:r>
      <w:r w:rsidRPr="004B7EF4">
        <w:t>.</w:t>
      </w:r>
    </w:p>
    <w:p w:rsidR="001D41E2" w:rsidRDefault="001D41E2" w:rsidP="009266C5">
      <w:pPr>
        <w:tabs>
          <w:tab w:val="left" w:pos="1134"/>
        </w:tabs>
        <w:spacing w:after="240"/>
        <w:ind w:left="480" w:hanging="480"/>
        <w:jc w:val="both"/>
      </w:pPr>
      <w:r w:rsidRPr="004B7EF4">
        <w:t>US</w:t>
      </w:r>
      <w:r>
        <w:t xml:space="preserve"> EPA (2010e</w:t>
      </w:r>
      <w:r w:rsidRPr="004B7EF4">
        <w:t>). Estimation Programs Interface Suite,™. for Microsoft® Windows, v</w:t>
      </w:r>
      <w:r>
        <w:t>4.0</w:t>
      </w:r>
      <w:r w:rsidRPr="004B7EF4">
        <w:t>0. United States Environmental Protection Agency, Washington, DC, USA. EPISuite (v</w:t>
      </w:r>
      <w:r>
        <w:t>4.0</w:t>
      </w:r>
      <w:r w:rsidRPr="004B7EF4">
        <w:t>0) data assessment for sec-butyl chloroformate (CAS 17462-58-7) by BASF SE, Department for Product Safety, 0</w:t>
      </w:r>
      <w:r>
        <w:t>5</w:t>
      </w:r>
      <w:r w:rsidRPr="004B7EF4">
        <w:t>-Mar-20</w:t>
      </w:r>
      <w:r>
        <w:t>10</w:t>
      </w:r>
      <w:r w:rsidRPr="004B7EF4">
        <w:t>.</w:t>
      </w:r>
    </w:p>
    <w:p w:rsidR="001D41E2" w:rsidRPr="004B7EF4" w:rsidRDefault="001D41E2" w:rsidP="009266C5">
      <w:pPr>
        <w:tabs>
          <w:tab w:val="left" w:pos="1134"/>
        </w:tabs>
        <w:spacing w:after="240"/>
        <w:ind w:left="480" w:hanging="480"/>
        <w:jc w:val="both"/>
      </w:pPr>
      <w:r w:rsidRPr="004B7EF4">
        <w:t>US EPA (20</w:t>
      </w:r>
      <w:r>
        <w:t>10f</w:t>
      </w:r>
      <w:r w:rsidRPr="004B7EF4">
        <w:t>). Estimation Programs Interface Suite,™. for Microsoft® Windows, v</w:t>
      </w:r>
      <w:r>
        <w:t>4.0</w:t>
      </w:r>
      <w:r w:rsidRPr="004B7EF4">
        <w:t>0. United States Environmental Protection Agency, Washington, DC, USA. EPISuite (v</w:t>
      </w:r>
      <w:r>
        <w:t>4.0</w:t>
      </w:r>
      <w:r w:rsidRPr="004B7EF4">
        <w:t xml:space="preserve">0) data assessment for oxydiethylene bischloroformate (CAS 106-75-2) by BASF SE, Department for Product Safety, </w:t>
      </w:r>
      <w:r>
        <w:t>05</w:t>
      </w:r>
      <w:r w:rsidRPr="004B7EF4">
        <w:t>-Mar-20</w:t>
      </w:r>
      <w:r>
        <w:t>10</w:t>
      </w:r>
      <w:r w:rsidRPr="004B7EF4">
        <w:t>.</w:t>
      </w:r>
    </w:p>
    <w:p w:rsidR="001D41E2" w:rsidRPr="004B7EF4" w:rsidRDefault="001D41E2" w:rsidP="009266C5">
      <w:pPr>
        <w:tabs>
          <w:tab w:val="left" w:pos="1134"/>
        </w:tabs>
        <w:spacing w:after="240"/>
        <w:ind w:left="480" w:hanging="480"/>
        <w:jc w:val="both"/>
      </w:pPr>
      <w:r w:rsidRPr="004B7EF4">
        <w:t>US EPA (20</w:t>
      </w:r>
      <w:r>
        <w:t>10g</w:t>
      </w:r>
      <w:r w:rsidRPr="004B7EF4">
        <w:t>). Estimation Programs Interface Suite,™. for Microsoft® Windows, v</w:t>
      </w:r>
      <w:r>
        <w:t>4.0</w:t>
      </w:r>
      <w:r w:rsidRPr="004B7EF4">
        <w:t>0. United States Environmental Protection Agency, Washington, DC, USA. EPISuite (v</w:t>
      </w:r>
      <w:r>
        <w:t>4.0</w:t>
      </w:r>
      <w:r w:rsidRPr="004B7EF4">
        <w:t>0) data assessment for 2-ethylhexyl chloroformate (CAS 24468-13-1) by BASF SE, Department for Product Safety, 05-Mar-20</w:t>
      </w:r>
      <w:r>
        <w:t>10</w:t>
      </w:r>
      <w:r w:rsidRPr="004B7EF4">
        <w:t>.</w:t>
      </w:r>
    </w:p>
    <w:p w:rsidR="001D41E2" w:rsidRPr="00A50500" w:rsidRDefault="001D41E2" w:rsidP="009266C5">
      <w:pPr>
        <w:tabs>
          <w:tab w:val="left" w:pos="1134"/>
        </w:tabs>
        <w:spacing w:after="240"/>
        <w:ind w:left="480" w:hanging="480"/>
        <w:jc w:val="both"/>
      </w:pPr>
      <w:r w:rsidRPr="004B7EF4">
        <w:t>US EPA (20</w:t>
      </w:r>
      <w:r>
        <w:t>10h</w:t>
      </w:r>
      <w:r w:rsidRPr="004B7EF4">
        <w:t>). Estimation Programs Interface Suite,™. for Microsoft® Windows, v</w:t>
      </w:r>
      <w:r>
        <w:t>4.0</w:t>
      </w:r>
      <w:r w:rsidRPr="004B7EF4">
        <w:t>0. United States Environmental Protection Agency, Washington, DC, USA. EPISuite (v</w:t>
      </w:r>
      <w:r>
        <w:t>4.00</w:t>
      </w:r>
      <w:r w:rsidRPr="004B7EF4">
        <w:t xml:space="preserve">) data assessment for 2-ethylhexanol (CAS 104-76-7) by BASF SE, Department for Product Safety, </w:t>
      </w:r>
      <w:r w:rsidRPr="00A50500">
        <w:t>05 Mar 2010.</w:t>
      </w:r>
    </w:p>
    <w:p w:rsidR="001D41E2" w:rsidRDefault="001D41E2" w:rsidP="00304B70">
      <w:pPr>
        <w:spacing w:after="240"/>
        <w:ind w:left="480" w:hanging="480"/>
        <w:jc w:val="both"/>
      </w:pPr>
      <w:r w:rsidRPr="00A50500">
        <w:t>W</w:t>
      </w:r>
      <w:r w:rsidR="00193E92">
        <w:t>i</w:t>
      </w:r>
      <w:r w:rsidRPr="00A50500">
        <w:t>norowski G. (1991)</w:t>
      </w:r>
      <w:r w:rsidRPr="004B7EF4">
        <w:t xml:space="preserve"> DOT acute inhalation-limit test for DECF (diethylene glycol bis chloroformate).  Product safety labs Report Number T-887 PPG Industries Inc. Unpublished report dated 1991-07-01.</w:t>
      </w:r>
    </w:p>
    <w:sectPr w:rsidR="001D41E2" w:rsidSect="001D41E2">
      <w:pgSz w:w="11907" w:h="16840" w:code="9"/>
      <w:pgMar w:top="1418" w:right="1134" w:bottom="1134" w:left="1134" w:header="737" w:footer="73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Louis L'ARRIVEE" w:date="2012-08-02T09:58:00Z" w:initials="LPL">
    <w:p w:rsidR="00361759" w:rsidRDefault="00361759" w:rsidP="009D5214">
      <w:pPr>
        <w:pStyle w:val="CommentText"/>
      </w:pPr>
      <w:r>
        <w:rPr>
          <w:rStyle w:val="CommentReference"/>
        </w:rPr>
        <w:annotationRef/>
      </w:r>
      <w:r>
        <w:t xml:space="preserve">This website is basically the same as </w:t>
      </w:r>
      <w:hyperlink r:id="rId1" w:history="1">
        <w:r w:rsidRPr="00C76343">
          <w:rPr>
            <w:rFonts w:eastAsia="MS Mincho"/>
            <w:color w:val="0000FF"/>
            <w:u w:val="single"/>
            <w:lang w:eastAsia="ja-JP"/>
          </w:rPr>
          <w:t>http://webnet.oecd.org/hpv/ui/Search.aspx</w:t>
        </w:r>
      </w:hyperlink>
      <w:r>
        <w:rPr>
          <w:rFonts w:eastAsia="MS Mincho"/>
          <w:lang w:val="en-CA" w:eastAsia="ja-JP"/>
        </w:rPr>
        <w:t>, and perhaps the sentence should be removed.  The previous sentence could be stated as, “</w:t>
      </w:r>
      <w:r w:rsidRPr="00C76343">
        <w:t xml:space="preserve">Diethylene glycol is a member </w:t>
      </w:r>
      <w:r>
        <w:t>of the Ethylene Glycol category, which has been previously assessed and is available at the same website.”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759" w:rsidRDefault="00361759">
      <w:r>
        <w:separator/>
      </w:r>
    </w:p>
  </w:endnote>
  <w:endnote w:type="continuationSeparator" w:id="0">
    <w:p w:rsidR="00361759" w:rsidRDefault="00361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panose1 w:val="00000000000000000000"/>
    <w:charset w:val="00"/>
    <w:family w:val="roman"/>
    <w:notTrueType/>
    <w:pitch w:val="default"/>
    <w:sig w:usb0="00000003" w:usb1="00000000" w:usb2="00000000" w:usb3="00000000" w:csb0="00000001" w:csb1="00000000"/>
  </w:font>
  <w:font w:name="MS ??">
    <w:altName w:val="Arial Unicode MS"/>
    <w:panose1 w:val="00000000000000000000"/>
    <w:charset w:val="80"/>
    <w:family w:val="roman"/>
    <w:notTrueType/>
    <w:pitch w:val="fixed"/>
    <w:sig w:usb0="00000001" w:usb1="08070000" w:usb2="00000010" w:usb3="00000000" w:csb0="00020000"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AdvP0DE0">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4817"/>
      <w:docPartObj>
        <w:docPartGallery w:val="Page Numbers (Bottom of Page)"/>
        <w:docPartUnique/>
      </w:docPartObj>
    </w:sdtPr>
    <w:sdtContent>
      <w:p w:rsidR="00361759" w:rsidRDefault="00BB0749">
        <w:pPr>
          <w:pStyle w:val="Footer"/>
        </w:pPr>
        <w:r w:rsidRPr="00020DAA">
          <w:rPr>
            <w:sz w:val="24"/>
          </w:rPr>
          <w:fldChar w:fldCharType="begin"/>
        </w:r>
        <w:r w:rsidR="00361759" w:rsidRPr="00020DAA">
          <w:rPr>
            <w:sz w:val="24"/>
          </w:rPr>
          <w:instrText xml:space="preserve"> PAGE   \* MERGEFORMAT </w:instrText>
        </w:r>
        <w:r w:rsidRPr="00020DAA">
          <w:rPr>
            <w:sz w:val="24"/>
          </w:rPr>
          <w:fldChar w:fldCharType="separate"/>
        </w:r>
        <w:r w:rsidR="001130ED">
          <w:rPr>
            <w:sz w:val="24"/>
          </w:rPr>
          <w:t>56</w:t>
        </w:r>
        <w:r w:rsidRPr="00020DAA">
          <w:rPr>
            <w:sz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4813"/>
      <w:docPartObj>
        <w:docPartGallery w:val="Page Numbers (Bottom of Page)"/>
        <w:docPartUnique/>
      </w:docPartObj>
    </w:sdtPr>
    <w:sdtContent>
      <w:p w:rsidR="00361759" w:rsidRDefault="00BB0749">
        <w:pPr>
          <w:pStyle w:val="Footer"/>
          <w:jc w:val="right"/>
        </w:pPr>
        <w:r w:rsidRPr="00020DAA">
          <w:rPr>
            <w:sz w:val="24"/>
          </w:rPr>
          <w:fldChar w:fldCharType="begin"/>
        </w:r>
        <w:r w:rsidR="00361759" w:rsidRPr="00020DAA">
          <w:rPr>
            <w:sz w:val="24"/>
          </w:rPr>
          <w:instrText xml:space="preserve"> PAGE   \* MERGEFORMAT </w:instrText>
        </w:r>
        <w:r w:rsidRPr="00020DAA">
          <w:rPr>
            <w:sz w:val="24"/>
          </w:rPr>
          <w:fldChar w:fldCharType="separate"/>
        </w:r>
        <w:r w:rsidR="001130ED">
          <w:rPr>
            <w:sz w:val="24"/>
          </w:rPr>
          <w:t>9</w:t>
        </w:r>
        <w:r w:rsidRPr="00020DAA">
          <w:rPr>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59" w:rsidRPr="009D5BB4" w:rsidRDefault="00BB0749">
    <w:pPr>
      <w:pStyle w:val="Footer"/>
      <w:framePr w:wrap="auto" w:vAnchor="text" w:hAnchor="margin" w:xAlign="outside" w:y="1"/>
      <w:rPr>
        <w:rStyle w:val="PageNumber"/>
        <w:sz w:val="24"/>
      </w:rPr>
    </w:pPr>
    <w:r w:rsidRPr="009D5BB4">
      <w:rPr>
        <w:rStyle w:val="PageNumber"/>
        <w:sz w:val="24"/>
      </w:rPr>
      <w:fldChar w:fldCharType="begin"/>
    </w:r>
    <w:r w:rsidR="00361759" w:rsidRPr="009D5BB4">
      <w:rPr>
        <w:rStyle w:val="PageNumber"/>
        <w:sz w:val="24"/>
      </w:rPr>
      <w:instrText xml:space="preserve">PAGE  </w:instrText>
    </w:r>
    <w:r w:rsidRPr="009D5BB4">
      <w:rPr>
        <w:rStyle w:val="PageNumber"/>
        <w:sz w:val="24"/>
      </w:rPr>
      <w:fldChar w:fldCharType="separate"/>
    </w:r>
    <w:r w:rsidR="001130ED">
      <w:rPr>
        <w:rStyle w:val="PageNumber"/>
        <w:sz w:val="24"/>
      </w:rPr>
      <w:t>55</w:t>
    </w:r>
    <w:r w:rsidRPr="009D5BB4">
      <w:rPr>
        <w:rStyle w:val="PageNumber"/>
        <w:sz w:val="24"/>
      </w:rPr>
      <w:fldChar w:fldCharType="end"/>
    </w:r>
  </w:p>
  <w:p w:rsidR="00361759" w:rsidRDefault="00361759">
    <w:pPr>
      <w:pStyle w:val="Footer"/>
      <w:ind w:right="3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759" w:rsidRDefault="00361759">
      <w:r>
        <w:separator/>
      </w:r>
    </w:p>
  </w:footnote>
  <w:footnote w:type="continuationSeparator" w:id="0">
    <w:p w:rsidR="00361759" w:rsidRDefault="00361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59" w:rsidRDefault="00361759" w:rsidP="00020DAA">
    <w:pPr>
      <w:pStyle w:val="Header"/>
    </w:pPr>
    <w:r>
      <w:t>oecd sids</w:t>
    </w:r>
    <w:r>
      <w:tab/>
    </w:r>
    <w:r>
      <w:tab/>
    </w:r>
    <w:r w:rsidRPr="008316DD">
      <w:t>CHLOROFORMATES</w:t>
    </w:r>
    <w:r>
      <w:t xml:space="preserve"> CATEGORY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59" w:rsidRDefault="00361759">
    <w:pPr>
      <w:pStyle w:val="Header"/>
    </w:pPr>
    <w:r>
      <w:t>oecd sids</w:t>
    </w:r>
    <w:r>
      <w:tab/>
    </w:r>
    <w:r>
      <w:tab/>
    </w:r>
    <w:r w:rsidRPr="008316DD">
      <w:t>CHLOROFORMATES</w:t>
    </w:r>
    <w:r>
      <w:t xml:space="preserve"> CATEGORY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59" w:rsidRDefault="00361759">
    <w:pPr>
      <w:pStyle w:val="Header"/>
    </w:pPr>
    <w:r>
      <w:t>oecd sids</w:t>
    </w:r>
    <w:r>
      <w:tab/>
    </w:r>
    <w:r>
      <w:tab/>
    </w:r>
    <w:r w:rsidRPr="008316DD">
      <w:t>CHLOROFORMATES</w:t>
    </w:r>
    <w:r>
      <w:t xml:space="preserve"> category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67CFF98"/>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1A48806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881C3502"/>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140452FA"/>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5D8E9948"/>
    <w:lvl w:ilvl="0">
      <w:start w:val="1"/>
      <w:numFmt w:val="bullet"/>
      <w:lvlText w:val=""/>
      <w:lvlJc w:val="left"/>
      <w:pPr>
        <w:tabs>
          <w:tab w:val="num" w:pos="360"/>
        </w:tabs>
        <w:ind w:left="360" w:hanging="360"/>
      </w:pPr>
      <w:rPr>
        <w:rFonts w:ascii="Symbol" w:hAnsi="Symbol" w:hint="default"/>
      </w:rPr>
    </w:lvl>
  </w:abstractNum>
  <w:abstractNum w:abstractNumId="5">
    <w:nsid w:val="11411FE6"/>
    <w:multiLevelType w:val="hybridMultilevel"/>
    <w:tmpl w:val="C6F6598A"/>
    <w:lvl w:ilvl="0" w:tplc="04070017">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6">
    <w:nsid w:val="19ED608F"/>
    <w:multiLevelType w:val="multilevel"/>
    <w:tmpl w:val="3C9236FE"/>
    <w:lvl w:ilvl="0">
      <w:start w:val="1"/>
      <w:numFmt w:val="decimal"/>
      <w:lvlText w:val="%1"/>
      <w:lvlJc w:val="left"/>
      <w:pPr>
        <w:tabs>
          <w:tab w:val="num" w:pos="1077"/>
        </w:tabs>
        <w:ind w:left="1077" w:hanging="1077"/>
      </w:pPr>
      <w:rPr>
        <w:rFonts w:ascii="Times New Roman" w:hAnsi="Times New Roman" w:cs="Times New Roman" w:hint="default"/>
        <w:b/>
        <w:bCs/>
        <w:i w:val="0"/>
        <w:iCs w:val="0"/>
        <w:sz w:val="28"/>
        <w:szCs w:val="28"/>
      </w:rPr>
    </w:lvl>
    <w:lvl w:ilvl="1">
      <w:start w:val="1"/>
      <w:numFmt w:val="decimal"/>
      <w:lvlText w:val="%1.%2"/>
      <w:lvlJc w:val="left"/>
      <w:pPr>
        <w:tabs>
          <w:tab w:val="num" w:pos="1077"/>
        </w:tabs>
        <w:ind w:left="1077" w:hanging="1077"/>
      </w:pPr>
      <w:rPr>
        <w:rFonts w:ascii="Times New Roman" w:hAnsi="Times New Roman" w:cs="Times New Roman" w:hint="default"/>
        <w:b/>
        <w:bCs/>
        <w:i w:val="0"/>
        <w:iCs w:val="0"/>
        <w:sz w:val="24"/>
        <w:szCs w:val="24"/>
      </w:rPr>
    </w:lvl>
    <w:lvl w:ilvl="2">
      <w:start w:val="1"/>
      <w:numFmt w:val="decimal"/>
      <w:lvlText w:val="%1.%2.%3"/>
      <w:lvlJc w:val="left"/>
      <w:pPr>
        <w:tabs>
          <w:tab w:val="num" w:pos="1077"/>
        </w:tabs>
        <w:ind w:left="1077" w:hanging="1077"/>
      </w:pPr>
      <w:rPr>
        <w:rFonts w:ascii="Times New Roman" w:hAnsi="Times New Roman" w:cs="Times New Roman" w:hint="default"/>
        <w:b/>
        <w:bCs/>
        <w:i w:val="0"/>
        <w:iCs w:val="0"/>
        <w:sz w:val="24"/>
        <w:szCs w:val="24"/>
      </w:rPr>
    </w:lvl>
    <w:lvl w:ilvl="3">
      <w:start w:val="1"/>
      <w:numFmt w:val="decimal"/>
      <w:lvlText w:val="%1.%2.%3.%4"/>
      <w:lvlJc w:val="left"/>
      <w:pPr>
        <w:tabs>
          <w:tab w:val="num" w:pos="1077"/>
        </w:tabs>
        <w:ind w:left="1077" w:hanging="1077"/>
      </w:pPr>
      <w:rPr>
        <w:rFonts w:ascii="Times New Roman" w:hAnsi="Times New Roman" w:cs="Times New Roman" w:hint="default"/>
        <w:b/>
        <w:bCs/>
        <w:i w:val="0"/>
        <w:iCs w:val="0"/>
        <w:sz w:val="24"/>
        <w:szCs w:val="24"/>
      </w:rPr>
    </w:lvl>
    <w:lvl w:ilvl="4">
      <w:start w:val="1"/>
      <w:numFmt w:val="decimal"/>
      <w:lvlText w:val="%1.%2.%3.%4.%5"/>
      <w:lvlJc w:val="left"/>
      <w:pPr>
        <w:tabs>
          <w:tab w:val="num" w:pos="1843"/>
        </w:tabs>
        <w:ind w:left="1843" w:hanging="1843"/>
      </w:pPr>
      <w:rPr>
        <w:rFonts w:ascii="Times New Roman" w:hAnsi="Times New Roman" w:cs="Times New Roman" w:hint="default"/>
        <w:b/>
        <w:bCs/>
        <w:i w:val="0"/>
        <w:iCs w:val="0"/>
        <w:sz w:val="24"/>
        <w:szCs w:val="24"/>
      </w:rPr>
    </w:lvl>
    <w:lvl w:ilvl="5">
      <w:start w:val="1"/>
      <w:numFmt w:val="none"/>
      <w:lvlText w:val="%1.%2.%3.%4.%5.%61."/>
      <w:lvlJc w:val="left"/>
      <w:pPr>
        <w:tabs>
          <w:tab w:val="num" w:pos="1843"/>
        </w:tabs>
        <w:ind w:left="1843" w:hanging="1843"/>
      </w:pPr>
      <w:rPr>
        <w:rFonts w:cs="Times New Roman" w:hint="default"/>
        <w:b/>
        <w:bCs/>
        <w:i w:val="0"/>
        <w:iCs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25E029CE"/>
    <w:multiLevelType w:val="hybridMultilevel"/>
    <w:tmpl w:val="1A12893C"/>
    <w:lvl w:ilvl="0" w:tplc="343685B0">
      <w:numFmt w:val="bullet"/>
      <w:lvlText w:val="-"/>
      <w:lvlJc w:val="left"/>
      <w:pPr>
        <w:tabs>
          <w:tab w:val="num" w:pos="1080"/>
        </w:tabs>
        <w:ind w:left="1080" w:hanging="360"/>
      </w:pPr>
      <w:rPr>
        <w:rFonts w:ascii="Times New Roman" w:eastAsia="Times New Roman" w:hAnsi="Times New Roman" w:hint="default"/>
      </w:rPr>
    </w:lvl>
    <w:lvl w:ilvl="1" w:tplc="04070003">
      <w:start w:val="1"/>
      <w:numFmt w:val="bullet"/>
      <w:lvlText w:val="o"/>
      <w:lvlJc w:val="left"/>
      <w:pPr>
        <w:tabs>
          <w:tab w:val="num" w:pos="1800"/>
        </w:tabs>
        <w:ind w:left="1800" w:hanging="360"/>
      </w:pPr>
      <w:rPr>
        <w:rFonts w:ascii="Courier New" w:hAnsi="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hint="default"/>
      </w:rPr>
    </w:lvl>
    <w:lvl w:ilvl="8" w:tplc="04070005">
      <w:start w:val="1"/>
      <w:numFmt w:val="bullet"/>
      <w:lvlText w:val=""/>
      <w:lvlJc w:val="left"/>
      <w:pPr>
        <w:tabs>
          <w:tab w:val="num" w:pos="6840"/>
        </w:tabs>
        <w:ind w:left="6840" w:hanging="360"/>
      </w:pPr>
      <w:rPr>
        <w:rFonts w:ascii="Wingdings" w:hAnsi="Wingdings" w:hint="default"/>
      </w:rPr>
    </w:lvl>
  </w:abstractNum>
  <w:abstractNum w:abstractNumId="8">
    <w:nsid w:val="2A88671F"/>
    <w:multiLevelType w:val="hybridMultilevel"/>
    <w:tmpl w:val="C75474EC"/>
    <w:lvl w:ilvl="0" w:tplc="C1DCBEB4">
      <w:start w:val="1"/>
      <w:numFmt w:val="lowerLetter"/>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4264E7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1E27550"/>
    <w:multiLevelType w:val="hybridMultilevel"/>
    <w:tmpl w:val="EB5494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E723F9A"/>
    <w:multiLevelType w:val="hybridMultilevel"/>
    <w:tmpl w:val="E96093B4"/>
    <w:lvl w:ilvl="0" w:tplc="04EABD9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4"/>
  </w:num>
  <w:num w:numId="7">
    <w:abstractNumId w:val="3"/>
  </w:num>
  <w:num w:numId="8">
    <w:abstractNumId w:val="2"/>
  </w:num>
  <w:num w:numId="9">
    <w:abstractNumId w:val="1"/>
  </w:num>
  <w:num w:numId="10">
    <w:abstractNumId w:val="0"/>
  </w:num>
  <w:num w:numId="11">
    <w:abstractNumId w:val="4"/>
  </w:num>
  <w:num w:numId="12">
    <w:abstractNumId w:val="3"/>
  </w:num>
  <w:num w:numId="13">
    <w:abstractNumId w:val="2"/>
  </w:num>
  <w:num w:numId="14">
    <w:abstractNumId w:val="1"/>
  </w:num>
  <w:num w:numId="15">
    <w:abstractNumId w:val="0"/>
  </w:num>
  <w:num w:numId="16">
    <w:abstractNumId w:val="4"/>
  </w:num>
  <w:num w:numId="17">
    <w:abstractNumId w:val="3"/>
  </w:num>
  <w:num w:numId="18">
    <w:abstractNumId w:val="2"/>
  </w:num>
  <w:num w:numId="19">
    <w:abstractNumId w:val="1"/>
  </w:num>
  <w:num w:numId="20">
    <w:abstractNumId w:val="0"/>
  </w:num>
  <w:num w:numId="21">
    <w:abstractNumId w:val="4"/>
  </w:num>
  <w:num w:numId="22">
    <w:abstractNumId w:val="3"/>
  </w:num>
  <w:num w:numId="23">
    <w:abstractNumId w:val="2"/>
  </w:num>
  <w:num w:numId="24">
    <w:abstractNumId w:val="1"/>
  </w:num>
  <w:num w:numId="25">
    <w:abstractNumId w:val="0"/>
  </w:num>
  <w:num w:numId="26">
    <w:abstractNumId w:val="3"/>
  </w:num>
  <w:num w:numId="27">
    <w:abstractNumId w:val="8"/>
  </w:num>
  <w:num w:numId="28">
    <w:abstractNumId w:val="6"/>
  </w:num>
  <w:num w:numId="29">
    <w:abstractNumId w:val="6"/>
  </w:num>
  <w:num w:numId="30">
    <w:abstractNumId w:val="5"/>
  </w:num>
  <w:num w:numId="31">
    <w:abstractNumId w:val="7"/>
  </w:num>
  <w:num w:numId="32">
    <w:abstractNumId w:val="11"/>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defaultTabStop w:val="720"/>
  <w:hyphenationZone w:val="425"/>
  <w:doNotHyphenateCaps/>
  <w:evenAndOddHeader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A84B1F"/>
    <w:rsid w:val="000020DE"/>
    <w:rsid w:val="00002F5D"/>
    <w:rsid w:val="000035F6"/>
    <w:rsid w:val="00003B2D"/>
    <w:rsid w:val="0000500A"/>
    <w:rsid w:val="0000561A"/>
    <w:rsid w:val="000062D5"/>
    <w:rsid w:val="00006615"/>
    <w:rsid w:val="00006D5C"/>
    <w:rsid w:val="00007B08"/>
    <w:rsid w:val="00010B9B"/>
    <w:rsid w:val="00010F0F"/>
    <w:rsid w:val="000116D2"/>
    <w:rsid w:val="0001222C"/>
    <w:rsid w:val="00012B86"/>
    <w:rsid w:val="00014493"/>
    <w:rsid w:val="00014DC8"/>
    <w:rsid w:val="00015246"/>
    <w:rsid w:val="000176C3"/>
    <w:rsid w:val="000179C4"/>
    <w:rsid w:val="00020DAA"/>
    <w:rsid w:val="000226A6"/>
    <w:rsid w:val="00023851"/>
    <w:rsid w:val="00023CEB"/>
    <w:rsid w:val="000246CE"/>
    <w:rsid w:val="000250FD"/>
    <w:rsid w:val="000307C1"/>
    <w:rsid w:val="00030E5C"/>
    <w:rsid w:val="00031697"/>
    <w:rsid w:val="000326A5"/>
    <w:rsid w:val="000328F3"/>
    <w:rsid w:val="000338A4"/>
    <w:rsid w:val="00034FE4"/>
    <w:rsid w:val="00036C40"/>
    <w:rsid w:val="00036DD4"/>
    <w:rsid w:val="00036F66"/>
    <w:rsid w:val="000374E6"/>
    <w:rsid w:val="000412F4"/>
    <w:rsid w:val="00041428"/>
    <w:rsid w:val="0004211D"/>
    <w:rsid w:val="00042ACD"/>
    <w:rsid w:val="00042C37"/>
    <w:rsid w:val="000438FF"/>
    <w:rsid w:val="00043B9C"/>
    <w:rsid w:val="00044AF5"/>
    <w:rsid w:val="00044B9F"/>
    <w:rsid w:val="0004577E"/>
    <w:rsid w:val="00045C65"/>
    <w:rsid w:val="00046D3C"/>
    <w:rsid w:val="0004750B"/>
    <w:rsid w:val="00050B47"/>
    <w:rsid w:val="00051440"/>
    <w:rsid w:val="0005196A"/>
    <w:rsid w:val="00051C5A"/>
    <w:rsid w:val="00052639"/>
    <w:rsid w:val="00053CDA"/>
    <w:rsid w:val="0005451C"/>
    <w:rsid w:val="0005533D"/>
    <w:rsid w:val="00055707"/>
    <w:rsid w:val="000558A6"/>
    <w:rsid w:val="00055A30"/>
    <w:rsid w:val="00055EF0"/>
    <w:rsid w:val="00056581"/>
    <w:rsid w:val="00056D40"/>
    <w:rsid w:val="00056F6D"/>
    <w:rsid w:val="000573B8"/>
    <w:rsid w:val="000576BE"/>
    <w:rsid w:val="00060A2F"/>
    <w:rsid w:val="000613A4"/>
    <w:rsid w:val="000613F5"/>
    <w:rsid w:val="00061D88"/>
    <w:rsid w:val="00062DE0"/>
    <w:rsid w:val="00063CF1"/>
    <w:rsid w:val="0006475E"/>
    <w:rsid w:val="00065F5A"/>
    <w:rsid w:val="000668DA"/>
    <w:rsid w:val="00066E49"/>
    <w:rsid w:val="00071F90"/>
    <w:rsid w:val="00071FE0"/>
    <w:rsid w:val="000725EC"/>
    <w:rsid w:val="00073849"/>
    <w:rsid w:val="00074596"/>
    <w:rsid w:val="000748B6"/>
    <w:rsid w:val="00075CFD"/>
    <w:rsid w:val="00076608"/>
    <w:rsid w:val="0008004B"/>
    <w:rsid w:val="000802C9"/>
    <w:rsid w:val="00080D5C"/>
    <w:rsid w:val="0008201D"/>
    <w:rsid w:val="000826F8"/>
    <w:rsid w:val="00082CCE"/>
    <w:rsid w:val="000839F5"/>
    <w:rsid w:val="0008511B"/>
    <w:rsid w:val="00087715"/>
    <w:rsid w:val="00087883"/>
    <w:rsid w:val="00087AA2"/>
    <w:rsid w:val="00087BEA"/>
    <w:rsid w:val="00087F4B"/>
    <w:rsid w:val="00090029"/>
    <w:rsid w:val="0009119D"/>
    <w:rsid w:val="00094EE5"/>
    <w:rsid w:val="000952DC"/>
    <w:rsid w:val="000956A9"/>
    <w:rsid w:val="00097D92"/>
    <w:rsid w:val="000A119D"/>
    <w:rsid w:val="000A1C4D"/>
    <w:rsid w:val="000A32F7"/>
    <w:rsid w:val="000A4725"/>
    <w:rsid w:val="000A4CBC"/>
    <w:rsid w:val="000A6751"/>
    <w:rsid w:val="000A7A5A"/>
    <w:rsid w:val="000B06B1"/>
    <w:rsid w:val="000B15F7"/>
    <w:rsid w:val="000C0950"/>
    <w:rsid w:val="000C1AE4"/>
    <w:rsid w:val="000C1FF4"/>
    <w:rsid w:val="000C407E"/>
    <w:rsid w:val="000C51E6"/>
    <w:rsid w:val="000C60A2"/>
    <w:rsid w:val="000C6589"/>
    <w:rsid w:val="000C670C"/>
    <w:rsid w:val="000C6902"/>
    <w:rsid w:val="000C71FC"/>
    <w:rsid w:val="000C76C7"/>
    <w:rsid w:val="000C7A94"/>
    <w:rsid w:val="000D00E2"/>
    <w:rsid w:val="000D09B0"/>
    <w:rsid w:val="000D221A"/>
    <w:rsid w:val="000D2673"/>
    <w:rsid w:val="000D2920"/>
    <w:rsid w:val="000D2CA7"/>
    <w:rsid w:val="000D3760"/>
    <w:rsid w:val="000D46DA"/>
    <w:rsid w:val="000D46EA"/>
    <w:rsid w:val="000D48FC"/>
    <w:rsid w:val="000D5EB7"/>
    <w:rsid w:val="000D5F47"/>
    <w:rsid w:val="000D75AE"/>
    <w:rsid w:val="000D7E91"/>
    <w:rsid w:val="000E0950"/>
    <w:rsid w:val="000E14EA"/>
    <w:rsid w:val="000E16CF"/>
    <w:rsid w:val="000E2111"/>
    <w:rsid w:val="000E2C69"/>
    <w:rsid w:val="000E2D89"/>
    <w:rsid w:val="000E33A7"/>
    <w:rsid w:val="000E33BE"/>
    <w:rsid w:val="000E48FA"/>
    <w:rsid w:val="000E50F6"/>
    <w:rsid w:val="000E5BFA"/>
    <w:rsid w:val="000E5E99"/>
    <w:rsid w:val="000E6269"/>
    <w:rsid w:val="000E6500"/>
    <w:rsid w:val="000E67D5"/>
    <w:rsid w:val="000E6C9F"/>
    <w:rsid w:val="000E6E9B"/>
    <w:rsid w:val="000E7269"/>
    <w:rsid w:val="000E7403"/>
    <w:rsid w:val="000F1B32"/>
    <w:rsid w:val="000F1FF2"/>
    <w:rsid w:val="000F344D"/>
    <w:rsid w:val="000F3860"/>
    <w:rsid w:val="000F3B3D"/>
    <w:rsid w:val="000F4157"/>
    <w:rsid w:val="000F435D"/>
    <w:rsid w:val="000F441A"/>
    <w:rsid w:val="000F45B7"/>
    <w:rsid w:val="000F49E4"/>
    <w:rsid w:val="000F4A23"/>
    <w:rsid w:val="000F51EF"/>
    <w:rsid w:val="000F55FF"/>
    <w:rsid w:val="000F5CD0"/>
    <w:rsid w:val="000F644A"/>
    <w:rsid w:val="000F6760"/>
    <w:rsid w:val="000F6BBF"/>
    <w:rsid w:val="000F79D6"/>
    <w:rsid w:val="0010175B"/>
    <w:rsid w:val="0010244A"/>
    <w:rsid w:val="0010293C"/>
    <w:rsid w:val="0010317D"/>
    <w:rsid w:val="0010327A"/>
    <w:rsid w:val="0010342A"/>
    <w:rsid w:val="00103E85"/>
    <w:rsid w:val="00104E96"/>
    <w:rsid w:val="00106577"/>
    <w:rsid w:val="0010777E"/>
    <w:rsid w:val="00107B38"/>
    <w:rsid w:val="00107E3F"/>
    <w:rsid w:val="00107E91"/>
    <w:rsid w:val="00107F92"/>
    <w:rsid w:val="001107B5"/>
    <w:rsid w:val="00110FD5"/>
    <w:rsid w:val="00111085"/>
    <w:rsid w:val="001117A9"/>
    <w:rsid w:val="00111A9E"/>
    <w:rsid w:val="0011255D"/>
    <w:rsid w:val="00112A75"/>
    <w:rsid w:val="001130ED"/>
    <w:rsid w:val="001142D0"/>
    <w:rsid w:val="001146A5"/>
    <w:rsid w:val="00114DE6"/>
    <w:rsid w:val="0011544B"/>
    <w:rsid w:val="001157A2"/>
    <w:rsid w:val="001157EE"/>
    <w:rsid w:val="001203BC"/>
    <w:rsid w:val="00120B86"/>
    <w:rsid w:val="00120CA1"/>
    <w:rsid w:val="00122C0E"/>
    <w:rsid w:val="00122EB2"/>
    <w:rsid w:val="001248B3"/>
    <w:rsid w:val="00124B97"/>
    <w:rsid w:val="00126151"/>
    <w:rsid w:val="00126558"/>
    <w:rsid w:val="001272AC"/>
    <w:rsid w:val="00127A15"/>
    <w:rsid w:val="00130E50"/>
    <w:rsid w:val="0013211B"/>
    <w:rsid w:val="00132A1B"/>
    <w:rsid w:val="0013350C"/>
    <w:rsid w:val="00133E6E"/>
    <w:rsid w:val="001349F3"/>
    <w:rsid w:val="00134D4F"/>
    <w:rsid w:val="001358E8"/>
    <w:rsid w:val="00137545"/>
    <w:rsid w:val="00140712"/>
    <w:rsid w:val="00141110"/>
    <w:rsid w:val="00142E86"/>
    <w:rsid w:val="00145430"/>
    <w:rsid w:val="00145B19"/>
    <w:rsid w:val="00146A10"/>
    <w:rsid w:val="001472FE"/>
    <w:rsid w:val="00147733"/>
    <w:rsid w:val="00147C31"/>
    <w:rsid w:val="00151745"/>
    <w:rsid w:val="001554EC"/>
    <w:rsid w:val="00155755"/>
    <w:rsid w:val="0015594F"/>
    <w:rsid w:val="0015684B"/>
    <w:rsid w:val="00156D02"/>
    <w:rsid w:val="001572AA"/>
    <w:rsid w:val="00157BA2"/>
    <w:rsid w:val="00157EDE"/>
    <w:rsid w:val="00160CD3"/>
    <w:rsid w:val="00160D4B"/>
    <w:rsid w:val="00161071"/>
    <w:rsid w:val="0016230D"/>
    <w:rsid w:val="00163AD9"/>
    <w:rsid w:val="001640E6"/>
    <w:rsid w:val="00164672"/>
    <w:rsid w:val="00164C46"/>
    <w:rsid w:val="00165E9E"/>
    <w:rsid w:val="0016753D"/>
    <w:rsid w:val="00167DFA"/>
    <w:rsid w:val="0017040A"/>
    <w:rsid w:val="00170EAC"/>
    <w:rsid w:val="0017299B"/>
    <w:rsid w:val="0017308B"/>
    <w:rsid w:val="0017379B"/>
    <w:rsid w:val="00174596"/>
    <w:rsid w:val="0017461D"/>
    <w:rsid w:val="0017570A"/>
    <w:rsid w:val="0017688C"/>
    <w:rsid w:val="0018036C"/>
    <w:rsid w:val="00183620"/>
    <w:rsid w:val="001849DE"/>
    <w:rsid w:val="00184DC4"/>
    <w:rsid w:val="001861F2"/>
    <w:rsid w:val="0018669A"/>
    <w:rsid w:val="0018669C"/>
    <w:rsid w:val="001868B2"/>
    <w:rsid w:val="00187023"/>
    <w:rsid w:val="001874B5"/>
    <w:rsid w:val="0018776D"/>
    <w:rsid w:val="001877C2"/>
    <w:rsid w:val="001877D0"/>
    <w:rsid w:val="0019053B"/>
    <w:rsid w:val="001918C6"/>
    <w:rsid w:val="00191E35"/>
    <w:rsid w:val="001921E1"/>
    <w:rsid w:val="00192D54"/>
    <w:rsid w:val="00192E3D"/>
    <w:rsid w:val="00193220"/>
    <w:rsid w:val="0019373E"/>
    <w:rsid w:val="001938D2"/>
    <w:rsid w:val="00193D31"/>
    <w:rsid w:val="00193E92"/>
    <w:rsid w:val="00194103"/>
    <w:rsid w:val="00196FE2"/>
    <w:rsid w:val="00197336"/>
    <w:rsid w:val="001974BC"/>
    <w:rsid w:val="0019780B"/>
    <w:rsid w:val="001A0246"/>
    <w:rsid w:val="001A02FD"/>
    <w:rsid w:val="001A0A21"/>
    <w:rsid w:val="001A24B8"/>
    <w:rsid w:val="001A4696"/>
    <w:rsid w:val="001A4FDB"/>
    <w:rsid w:val="001A5546"/>
    <w:rsid w:val="001A5FB3"/>
    <w:rsid w:val="001A70F3"/>
    <w:rsid w:val="001A72E3"/>
    <w:rsid w:val="001A7609"/>
    <w:rsid w:val="001B13F8"/>
    <w:rsid w:val="001B2640"/>
    <w:rsid w:val="001B3AFA"/>
    <w:rsid w:val="001B4927"/>
    <w:rsid w:val="001B4CAA"/>
    <w:rsid w:val="001B55C0"/>
    <w:rsid w:val="001B561B"/>
    <w:rsid w:val="001B6EFA"/>
    <w:rsid w:val="001B7933"/>
    <w:rsid w:val="001C01F6"/>
    <w:rsid w:val="001C144C"/>
    <w:rsid w:val="001C2587"/>
    <w:rsid w:val="001C30B2"/>
    <w:rsid w:val="001C339C"/>
    <w:rsid w:val="001C3B9B"/>
    <w:rsid w:val="001C3F2A"/>
    <w:rsid w:val="001C4660"/>
    <w:rsid w:val="001C5594"/>
    <w:rsid w:val="001D08B1"/>
    <w:rsid w:val="001D1A38"/>
    <w:rsid w:val="001D1E32"/>
    <w:rsid w:val="001D22FF"/>
    <w:rsid w:val="001D379D"/>
    <w:rsid w:val="001D41E2"/>
    <w:rsid w:val="001D5121"/>
    <w:rsid w:val="001D5B41"/>
    <w:rsid w:val="001D5FD8"/>
    <w:rsid w:val="001D73FE"/>
    <w:rsid w:val="001D763B"/>
    <w:rsid w:val="001E0427"/>
    <w:rsid w:val="001E0F0C"/>
    <w:rsid w:val="001E0F84"/>
    <w:rsid w:val="001E1E52"/>
    <w:rsid w:val="001E1F0B"/>
    <w:rsid w:val="001E4699"/>
    <w:rsid w:val="001E5675"/>
    <w:rsid w:val="001E6043"/>
    <w:rsid w:val="001E67C7"/>
    <w:rsid w:val="001E7341"/>
    <w:rsid w:val="001F0175"/>
    <w:rsid w:val="001F2552"/>
    <w:rsid w:val="001F3705"/>
    <w:rsid w:val="001F44B9"/>
    <w:rsid w:val="001F5123"/>
    <w:rsid w:val="001F5A5E"/>
    <w:rsid w:val="001F5A7E"/>
    <w:rsid w:val="001F6018"/>
    <w:rsid w:val="001F610B"/>
    <w:rsid w:val="001F675C"/>
    <w:rsid w:val="001F6D9E"/>
    <w:rsid w:val="001F7E4B"/>
    <w:rsid w:val="00200FEA"/>
    <w:rsid w:val="0020121B"/>
    <w:rsid w:val="00201449"/>
    <w:rsid w:val="00201822"/>
    <w:rsid w:val="00201A40"/>
    <w:rsid w:val="00201A58"/>
    <w:rsid w:val="00202B8E"/>
    <w:rsid w:val="00203737"/>
    <w:rsid w:val="00203B2C"/>
    <w:rsid w:val="002041F5"/>
    <w:rsid w:val="002053E0"/>
    <w:rsid w:val="00205621"/>
    <w:rsid w:val="00205929"/>
    <w:rsid w:val="002101D4"/>
    <w:rsid w:val="002103EC"/>
    <w:rsid w:val="002158F3"/>
    <w:rsid w:val="002169D3"/>
    <w:rsid w:val="00216D9D"/>
    <w:rsid w:val="0021734E"/>
    <w:rsid w:val="002174D6"/>
    <w:rsid w:val="00220206"/>
    <w:rsid w:val="00220937"/>
    <w:rsid w:val="002215D5"/>
    <w:rsid w:val="0022260E"/>
    <w:rsid w:val="0022325C"/>
    <w:rsid w:val="002234D3"/>
    <w:rsid w:val="00223A51"/>
    <w:rsid w:val="00223FAF"/>
    <w:rsid w:val="0022401D"/>
    <w:rsid w:val="00224386"/>
    <w:rsid w:val="00225D44"/>
    <w:rsid w:val="0022607C"/>
    <w:rsid w:val="00226715"/>
    <w:rsid w:val="00227DFF"/>
    <w:rsid w:val="00231AAC"/>
    <w:rsid w:val="0023234C"/>
    <w:rsid w:val="00232741"/>
    <w:rsid w:val="00234C4C"/>
    <w:rsid w:val="00235E63"/>
    <w:rsid w:val="00236546"/>
    <w:rsid w:val="002366B1"/>
    <w:rsid w:val="00236D0B"/>
    <w:rsid w:val="00240093"/>
    <w:rsid w:val="00242455"/>
    <w:rsid w:val="00242670"/>
    <w:rsid w:val="00242D74"/>
    <w:rsid w:val="00244804"/>
    <w:rsid w:val="00244DEF"/>
    <w:rsid w:val="00245282"/>
    <w:rsid w:val="00245412"/>
    <w:rsid w:val="00251067"/>
    <w:rsid w:val="00251B6E"/>
    <w:rsid w:val="00252F4A"/>
    <w:rsid w:val="00253843"/>
    <w:rsid w:val="00253C93"/>
    <w:rsid w:val="0025429F"/>
    <w:rsid w:val="002547CB"/>
    <w:rsid w:val="00254B8F"/>
    <w:rsid w:val="0025657B"/>
    <w:rsid w:val="002605F4"/>
    <w:rsid w:val="0026227E"/>
    <w:rsid w:val="0026353C"/>
    <w:rsid w:val="002653A8"/>
    <w:rsid w:val="002656F5"/>
    <w:rsid w:val="002664EA"/>
    <w:rsid w:val="00266A44"/>
    <w:rsid w:val="00266A60"/>
    <w:rsid w:val="00267737"/>
    <w:rsid w:val="00267A56"/>
    <w:rsid w:val="00271235"/>
    <w:rsid w:val="00272319"/>
    <w:rsid w:val="002727EE"/>
    <w:rsid w:val="00272AAD"/>
    <w:rsid w:val="00272FCD"/>
    <w:rsid w:val="0027350D"/>
    <w:rsid w:val="00274AF9"/>
    <w:rsid w:val="002753A1"/>
    <w:rsid w:val="002759CA"/>
    <w:rsid w:val="0027729E"/>
    <w:rsid w:val="002772C7"/>
    <w:rsid w:val="0027747D"/>
    <w:rsid w:val="00277F9F"/>
    <w:rsid w:val="002810D0"/>
    <w:rsid w:val="002818F9"/>
    <w:rsid w:val="00281DA3"/>
    <w:rsid w:val="00281DDA"/>
    <w:rsid w:val="002831A8"/>
    <w:rsid w:val="002843BE"/>
    <w:rsid w:val="0028572C"/>
    <w:rsid w:val="0028594E"/>
    <w:rsid w:val="002859D6"/>
    <w:rsid w:val="00285C54"/>
    <w:rsid w:val="00285E87"/>
    <w:rsid w:val="002865F2"/>
    <w:rsid w:val="002876B0"/>
    <w:rsid w:val="00287794"/>
    <w:rsid w:val="00290B70"/>
    <w:rsid w:val="00291594"/>
    <w:rsid w:val="00292B65"/>
    <w:rsid w:val="00294AD0"/>
    <w:rsid w:val="00294FFC"/>
    <w:rsid w:val="00296211"/>
    <w:rsid w:val="00297505"/>
    <w:rsid w:val="00297A56"/>
    <w:rsid w:val="002A0A6B"/>
    <w:rsid w:val="002A21E8"/>
    <w:rsid w:val="002A3368"/>
    <w:rsid w:val="002A4ABE"/>
    <w:rsid w:val="002A515A"/>
    <w:rsid w:val="002A65C5"/>
    <w:rsid w:val="002A6FDD"/>
    <w:rsid w:val="002A7772"/>
    <w:rsid w:val="002B02D4"/>
    <w:rsid w:val="002B038F"/>
    <w:rsid w:val="002B070F"/>
    <w:rsid w:val="002B0CEA"/>
    <w:rsid w:val="002B0D12"/>
    <w:rsid w:val="002B173B"/>
    <w:rsid w:val="002B18B2"/>
    <w:rsid w:val="002B21E4"/>
    <w:rsid w:val="002B24EF"/>
    <w:rsid w:val="002B3A80"/>
    <w:rsid w:val="002B4B4D"/>
    <w:rsid w:val="002B5268"/>
    <w:rsid w:val="002B66E3"/>
    <w:rsid w:val="002C041F"/>
    <w:rsid w:val="002C0AC0"/>
    <w:rsid w:val="002C36DA"/>
    <w:rsid w:val="002C43F0"/>
    <w:rsid w:val="002C4C58"/>
    <w:rsid w:val="002C5407"/>
    <w:rsid w:val="002C7075"/>
    <w:rsid w:val="002C71BA"/>
    <w:rsid w:val="002C71EB"/>
    <w:rsid w:val="002C7DBC"/>
    <w:rsid w:val="002D01CC"/>
    <w:rsid w:val="002D04FC"/>
    <w:rsid w:val="002D0DED"/>
    <w:rsid w:val="002D0E67"/>
    <w:rsid w:val="002D1355"/>
    <w:rsid w:val="002D1672"/>
    <w:rsid w:val="002D22C6"/>
    <w:rsid w:val="002D271A"/>
    <w:rsid w:val="002D5571"/>
    <w:rsid w:val="002D5F07"/>
    <w:rsid w:val="002D6767"/>
    <w:rsid w:val="002D6E3C"/>
    <w:rsid w:val="002D7997"/>
    <w:rsid w:val="002D7BE7"/>
    <w:rsid w:val="002D7CC7"/>
    <w:rsid w:val="002E01D5"/>
    <w:rsid w:val="002E11EA"/>
    <w:rsid w:val="002E4793"/>
    <w:rsid w:val="002E4EC0"/>
    <w:rsid w:val="002E5741"/>
    <w:rsid w:val="002E6BA7"/>
    <w:rsid w:val="002F00C0"/>
    <w:rsid w:val="002F0162"/>
    <w:rsid w:val="002F0230"/>
    <w:rsid w:val="002F054D"/>
    <w:rsid w:val="002F0717"/>
    <w:rsid w:val="002F1CAE"/>
    <w:rsid w:val="002F23A1"/>
    <w:rsid w:val="002F2DF8"/>
    <w:rsid w:val="002F534F"/>
    <w:rsid w:val="002F5D9C"/>
    <w:rsid w:val="003019AA"/>
    <w:rsid w:val="00301DC2"/>
    <w:rsid w:val="00302114"/>
    <w:rsid w:val="0030272A"/>
    <w:rsid w:val="00302B0C"/>
    <w:rsid w:val="00303478"/>
    <w:rsid w:val="003035F5"/>
    <w:rsid w:val="00303FC7"/>
    <w:rsid w:val="003045FB"/>
    <w:rsid w:val="00304B70"/>
    <w:rsid w:val="003062B4"/>
    <w:rsid w:val="00307059"/>
    <w:rsid w:val="003076A6"/>
    <w:rsid w:val="00307F34"/>
    <w:rsid w:val="003107E8"/>
    <w:rsid w:val="003109FE"/>
    <w:rsid w:val="003115DD"/>
    <w:rsid w:val="003124A8"/>
    <w:rsid w:val="003125C7"/>
    <w:rsid w:val="00314655"/>
    <w:rsid w:val="00314893"/>
    <w:rsid w:val="00314BC9"/>
    <w:rsid w:val="00315243"/>
    <w:rsid w:val="00315E85"/>
    <w:rsid w:val="0031769E"/>
    <w:rsid w:val="003202A9"/>
    <w:rsid w:val="00320A37"/>
    <w:rsid w:val="00321590"/>
    <w:rsid w:val="00321F6C"/>
    <w:rsid w:val="00322971"/>
    <w:rsid w:val="00322C03"/>
    <w:rsid w:val="00322C38"/>
    <w:rsid w:val="00322FE5"/>
    <w:rsid w:val="00324E39"/>
    <w:rsid w:val="00325F69"/>
    <w:rsid w:val="0032757D"/>
    <w:rsid w:val="0033035E"/>
    <w:rsid w:val="0033134A"/>
    <w:rsid w:val="00332974"/>
    <w:rsid w:val="003329D5"/>
    <w:rsid w:val="00332A6A"/>
    <w:rsid w:val="00332EAD"/>
    <w:rsid w:val="00333BCE"/>
    <w:rsid w:val="00334B45"/>
    <w:rsid w:val="00334D76"/>
    <w:rsid w:val="00337150"/>
    <w:rsid w:val="00337A26"/>
    <w:rsid w:val="003401C4"/>
    <w:rsid w:val="00340941"/>
    <w:rsid w:val="0034130B"/>
    <w:rsid w:val="00343645"/>
    <w:rsid w:val="00344344"/>
    <w:rsid w:val="00345FBC"/>
    <w:rsid w:val="003465DC"/>
    <w:rsid w:val="00346D5C"/>
    <w:rsid w:val="00350566"/>
    <w:rsid w:val="00352352"/>
    <w:rsid w:val="00353396"/>
    <w:rsid w:val="003536A6"/>
    <w:rsid w:val="00354DA3"/>
    <w:rsid w:val="00355D57"/>
    <w:rsid w:val="00355F0D"/>
    <w:rsid w:val="00355FD8"/>
    <w:rsid w:val="00357B85"/>
    <w:rsid w:val="00360610"/>
    <w:rsid w:val="00360946"/>
    <w:rsid w:val="0036155E"/>
    <w:rsid w:val="00361759"/>
    <w:rsid w:val="003617A7"/>
    <w:rsid w:val="00362ED6"/>
    <w:rsid w:val="00363970"/>
    <w:rsid w:val="00364D14"/>
    <w:rsid w:val="003653A5"/>
    <w:rsid w:val="0036563D"/>
    <w:rsid w:val="003660EA"/>
    <w:rsid w:val="003662FE"/>
    <w:rsid w:val="0036650B"/>
    <w:rsid w:val="00367691"/>
    <w:rsid w:val="00367CF2"/>
    <w:rsid w:val="00370516"/>
    <w:rsid w:val="00370D49"/>
    <w:rsid w:val="0037148C"/>
    <w:rsid w:val="00373395"/>
    <w:rsid w:val="0037342F"/>
    <w:rsid w:val="003735D3"/>
    <w:rsid w:val="00374DF9"/>
    <w:rsid w:val="003750D3"/>
    <w:rsid w:val="00375274"/>
    <w:rsid w:val="00375928"/>
    <w:rsid w:val="00375B66"/>
    <w:rsid w:val="0038179E"/>
    <w:rsid w:val="00381E42"/>
    <w:rsid w:val="0038242A"/>
    <w:rsid w:val="00382F13"/>
    <w:rsid w:val="00383896"/>
    <w:rsid w:val="003845D1"/>
    <w:rsid w:val="0038472D"/>
    <w:rsid w:val="00385B61"/>
    <w:rsid w:val="0038610C"/>
    <w:rsid w:val="00386862"/>
    <w:rsid w:val="00386CE6"/>
    <w:rsid w:val="00386D20"/>
    <w:rsid w:val="0038771D"/>
    <w:rsid w:val="003913F6"/>
    <w:rsid w:val="0039166B"/>
    <w:rsid w:val="00391CF4"/>
    <w:rsid w:val="00391D09"/>
    <w:rsid w:val="003920E3"/>
    <w:rsid w:val="00392C0E"/>
    <w:rsid w:val="00394516"/>
    <w:rsid w:val="00394796"/>
    <w:rsid w:val="00394BB5"/>
    <w:rsid w:val="00394CAF"/>
    <w:rsid w:val="00395231"/>
    <w:rsid w:val="0039529D"/>
    <w:rsid w:val="003959AD"/>
    <w:rsid w:val="0039635D"/>
    <w:rsid w:val="00396720"/>
    <w:rsid w:val="00396D12"/>
    <w:rsid w:val="003971EB"/>
    <w:rsid w:val="00397708"/>
    <w:rsid w:val="0039786E"/>
    <w:rsid w:val="00397C81"/>
    <w:rsid w:val="003A0393"/>
    <w:rsid w:val="003A12E9"/>
    <w:rsid w:val="003A13DD"/>
    <w:rsid w:val="003A33C2"/>
    <w:rsid w:val="003A3416"/>
    <w:rsid w:val="003A5C16"/>
    <w:rsid w:val="003A7DA4"/>
    <w:rsid w:val="003B00E5"/>
    <w:rsid w:val="003B01B0"/>
    <w:rsid w:val="003B0A94"/>
    <w:rsid w:val="003B1C37"/>
    <w:rsid w:val="003B1C88"/>
    <w:rsid w:val="003B2865"/>
    <w:rsid w:val="003B47FC"/>
    <w:rsid w:val="003B4968"/>
    <w:rsid w:val="003B6195"/>
    <w:rsid w:val="003B6BD4"/>
    <w:rsid w:val="003B6EF8"/>
    <w:rsid w:val="003B795E"/>
    <w:rsid w:val="003B7E87"/>
    <w:rsid w:val="003C0D73"/>
    <w:rsid w:val="003C1176"/>
    <w:rsid w:val="003C33C7"/>
    <w:rsid w:val="003C3452"/>
    <w:rsid w:val="003C4D17"/>
    <w:rsid w:val="003C4EE7"/>
    <w:rsid w:val="003C522B"/>
    <w:rsid w:val="003C5791"/>
    <w:rsid w:val="003C5C74"/>
    <w:rsid w:val="003C5F7D"/>
    <w:rsid w:val="003C7379"/>
    <w:rsid w:val="003C7599"/>
    <w:rsid w:val="003D04FD"/>
    <w:rsid w:val="003D1791"/>
    <w:rsid w:val="003D27DF"/>
    <w:rsid w:val="003D476C"/>
    <w:rsid w:val="003D4B03"/>
    <w:rsid w:val="003D5A6D"/>
    <w:rsid w:val="003D5AD5"/>
    <w:rsid w:val="003D5C5F"/>
    <w:rsid w:val="003D69F0"/>
    <w:rsid w:val="003D7919"/>
    <w:rsid w:val="003E08D5"/>
    <w:rsid w:val="003E1F8D"/>
    <w:rsid w:val="003E2F07"/>
    <w:rsid w:val="003E3557"/>
    <w:rsid w:val="003E4FD6"/>
    <w:rsid w:val="003E52F2"/>
    <w:rsid w:val="003E543C"/>
    <w:rsid w:val="003E651C"/>
    <w:rsid w:val="003E6813"/>
    <w:rsid w:val="003E739C"/>
    <w:rsid w:val="003F16D4"/>
    <w:rsid w:val="003F19E9"/>
    <w:rsid w:val="003F26A3"/>
    <w:rsid w:val="003F331F"/>
    <w:rsid w:val="003F456B"/>
    <w:rsid w:val="003F493F"/>
    <w:rsid w:val="003F4FB2"/>
    <w:rsid w:val="0040145A"/>
    <w:rsid w:val="00401B5A"/>
    <w:rsid w:val="00401B70"/>
    <w:rsid w:val="00401EE4"/>
    <w:rsid w:val="00403993"/>
    <w:rsid w:val="0040476A"/>
    <w:rsid w:val="00404C3D"/>
    <w:rsid w:val="0040502B"/>
    <w:rsid w:val="00407E2D"/>
    <w:rsid w:val="00410A6E"/>
    <w:rsid w:val="00410C5A"/>
    <w:rsid w:val="00412766"/>
    <w:rsid w:val="0041323F"/>
    <w:rsid w:val="00413426"/>
    <w:rsid w:val="00414FC9"/>
    <w:rsid w:val="00415636"/>
    <w:rsid w:val="00416075"/>
    <w:rsid w:val="004160AF"/>
    <w:rsid w:val="00417A25"/>
    <w:rsid w:val="00417D25"/>
    <w:rsid w:val="00421D21"/>
    <w:rsid w:val="00423262"/>
    <w:rsid w:val="004232B1"/>
    <w:rsid w:val="004234B9"/>
    <w:rsid w:val="004234E0"/>
    <w:rsid w:val="00423BE6"/>
    <w:rsid w:val="00425952"/>
    <w:rsid w:val="004262ED"/>
    <w:rsid w:val="0042631E"/>
    <w:rsid w:val="0042636C"/>
    <w:rsid w:val="0042703F"/>
    <w:rsid w:val="00427765"/>
    <w:rsid w:val="00427B34"/>
    <w:rsid w:val="004307D6"/>
    <w:rsid w:val="00431F4C"/>
    <w:rsid w:val="00431F82"/>
    <w:rsid w:val="00433DBB"/>
    <w:rsid w:val="00436632"/>
    <w:rsid w:val="00436C98"/>
    <w:rsid w:val="00440188"/>
    <w:rsid w:val="00442267"/>
    <w:rsid w:val="00443598"/>
    <w:rsid w:val="00444395"/>
    <w:rsid w:val="00444F7C"/>
    <w:rsid w:val="00445357"/>
    <w:rsid w:val="00445D16"/>
    <w:rsid w:val="00446876"/>
    <w:rsid w:val="00447BF9"/>
    <w:rsid w:val="00447DC7"/>
    <w:rsid w:val="00450873"/>
    <w:rsid w:val="0045208E"/>
    <w:rsid w:val="0045210D"/>
    <w:rsid w:val="0045261D"/>
    <w:rsid w:val="004549DB"/>
    <w:rsid w:val="0045627E"/>
    <w:rsid w:val="004570E5"/>
    <w:rsid w:val="004571F6"/>
    <w:rsid w:val="00457488"/>
    <w:rsid w:val="00457949"/>
    <w:rsid w:val="00460D8C"/>
    <w:rsid w:val="0046175C"/>
    <w:rsid w:val="004639D2"/>
    <w:rsid w:val="0046440E"/>
    <w:rsid w:val="00465DAF"/>
    <w:rsid w:val="00466B92"/>
    <w:rsid w:val="00467F80"/>
    <w:rsid w:val="004711EF"/>
    <w:rsid w:val="00471699"/>
    <w:rsid w:val="0047204E"/>
    <w:rsid w:val="004744AC"/>
    <w:rsid w:val="004748A4"/>
    <w:rsid w:val="0047572E"/>
    <w:rsid w:val="00476694"/>
    <w:rsid w:val="00476858"/>
    <w:rsid w:val="004773AB"/>
    <w:rsid w:val="00477462"/>
    <w:rsid w:val="004778E6"/>
    <w:rsid w:val="00477D75"/>
    <w:rsid w:val="00477DC0"/>
    <w:rsid w:val="004803D7"/>
    <w:rsid w:val="0048067D"/>
    <w:rsid w:val="004814F0"/>
    <w:rsid w:val="00481BE3"/>
    <w:rsid w:val="0048476F"/>
    <w:rsid w:val="00486DB7"/>
    <w:rsid w:val="00487088"/>
    <w:rsid w:val="00487A5B"/>
    <w:rsid w:val="00490570"/>
    <w:rsid w:val="00490EC7"/>
    <w:rsid w:val="004921CE"/>
    <w:rsid w:val="00492880"/>
    <w:rsid w:val="004929B1"/>
    <w:rsid w:val="0049327B"/>
    <w:rsid w:val="00494027"/>
    <w:rsid w:val="00494612"/>
    <w:rsid w:val="0049483E"/>
    <w:rsid w:val="0049577E"/>
    <w:rsid w:val="00496F0B"/>
    <w:rsid w:val="0049702F"/>
    <w:rsid w:val="0049719F"/>
    <w:rsid w:val="004976B3"/>
    <w:rsid w:val="004A0524"/>
    <w:rsid w:val="004A197E"/>
    <w:rsid w:val="004A1FA5"/>
    <w:rsid w:val="004A2F17"/>
    <w:rsid w:val="004A473F"/>
    <w:rsid w:val="004A4869"/>
    <w:rsid w:val="004A6677"/>
    <w:rsid w:val="004A74DD"/>
    <w:rsid w:val="004A770D"/>
    <w:rsid w:val="004A7B5E"/>
    <w:rsid w:val="004A7B8F"/>
    <w:rsid w:val="004B0DAC"/>
    <w:rsid w:val="004B0E71"/>
    <w:rsid w:val="004B0EFA"/>
    <w:rsid w:val="004B1871"/>
    <w:rsid w:val="004B20B5"/>
    <w:rsid w:val="004B2A62"/>
    <w:rsid w:val="004B2D7D"/>
    <w:rsid w:val="004B2E50"/>
    <w:rsid w:val="004B361D"/>
    <w:rsid w:val="004B3D3D"/>
    <w:rsid w:val="004B4230"/>
    <w:rsid w:val="004B46BA"/>
    <w:rsid w:val="004B5E08"/>
    <w:rsid w:val="004B6444"/>
    <w:rsid w:val="004B7EB5"/>
    <w:rsid w:val="004B7EF4"/>
    <w:rsid w:val="004C0E01"/>
    <w:rsid w:val="004C15BB"/>
    <w:rsid w:val="004C1C2C"/>
    <w:rsid w:val="004C2CEE"/>
    <w:rsid w:val="004C34D7"/>
    <w:rsid w:val="004C4173"/>
    <w:rsid w:val="004C43A2"/>
    <w:rsid w:val="004C4CFF"/>
    <w:rsid w:val="004C54BB"/>
    <w:rsid w:val="004C6B72"/>
    <w:rsid w:val="004C7944"/>
    <w:rsid w:val="004C7CA6"/>
    <w:rsid w:val="004D0CA8"/>
    <w:rsid w:val="004D124A"/>
    <w:rsid w:val="004D16C9"/>
    <w:rsid w:val="004D2099"/>
    <w:rsid w:val="004D2B23"/>
    <w:rsid w:val="004D2BF3"/>
    <w:rsid w:val="004D38D4"/>
    <w:rsid w:val="004D3CC0"/>
    <w:rsid w:val="004D4D8C"/>
    <w:rsid w:val="004D5312"/>
    <w:rsid w:val="004D5335"/>
    <w:rsid w:val="004D63FE"/>
    <w:rsid w:val="004D6772"/>
    <w:rsid w:val="004D73B5"/>
    <w:rsid w:val="004D7CB5"/>
    <w:rsid w:val="004E044E"/>
    <w:rsid w:val="004E157B"/>
    <w:rsid w:val="004E16AE"/>
    <w:rsid w:val="004E17D6"/>
    <w:rsid w:val="004E3203"/>
    <w:rsid w:val="004E4A2C"/>
    <w:rsid w:val="004E4F51"/>
    <w:rsid w:val="004E55E5"/>
    <w:rsid w:val="004E6374"/>
    <w:rsid w:val="004F03C7"/>
    <w:rsid w:val="004F1B99"/>
    <w:rsid w:val="004F28B0"/>
    <w:rsid w:val="004F2A95"/>
    <w:rsid w:val="004F3B12"/>
    <w:rsid w:val="004F7798"/>
    <w:rsid w:val="004F7929"/>
    <w:rsid w:val="00500305"/>
    <w:rsid w:val="0050134A"/>
    <w:rsid w:val="005014AE"/>
    <w:rsid w:val="0050211C"/>
    <w:rsid w:val="00503422"/>
    <w:rsid w:val="00503C7F"/>
    <w:rsid w:val="00505876"/>
    <w:rsid w:val="00505F39"/>
    <w:rsid w:val="0050611D"/>
    <w:rsid w:val="00507533"/>
    <w:rsid w:val="005078C9"/>
    <w:rsid w:val="00510F75"/>
    <w:rsid w:val="005118A3"/>
    <w:rsid w:val="00511959"/>
    <w:rsid w:val="00511AB1"/>
    <w:rsid w:val="00512D66"/>
    <w:rsid w:val="00512DB1"/>
    <w:rsid w:val="005136A6"/>
    <w:rsid w:val="00515589"/>
    <w:rsid w:val="00515899"/>
    <w:rsid w:val="00516BFC"/>
    <w:rsid w:val="00522256"/>
    <w:rsid w:val="00523CB9"/>
    <w:rsid w:val="005240D8"/>
    <w:rsid w:val="00525CB5"/>
    <w:rsid w:val="00527F7B"/>
    <w:rsid w:val="00530FBE"/>
    <w:rsid w:val="005316BB"/>
    <w:rsid w:val="00532662"/>
    <w:rsid w:val="0053297C"/>
    <w:rsid w:val="00532C5E"/>
    <w:rsid w:val="00533602"/>
    <w:rsid w:val="00534493"/>
    <w:rsid w:val="005346CF"/>
    <w:rsid w:val="00534B75"/>
    <w:rsid w:val="005357F5"/>
    <w:rsid w:val="00535AFD"/>
    <w:rsid w:val="005370A4"/>
    <w:rsid w:val="005401AE"/>
    <w:rsid w:val="00540216"/>
    <w:rsid w:val="005405A1"/>
    <w:rsid w:val="00540ACD"/>
    <w:rsid w:val="00541917"/>
    <w:rsid w:val="0054215A"/>
    <w:rsid w:val="00543A18"/>
    <w:rsid w:val="005458C4"/>
    <w:rsid w:val="00551CE4"/>
    <w:rsid w:val="00551FD6"/>
    <w:rsid w:val="00552836"/>
    <w:rsid w:val="00552D72"/>
    <w:rsid w:val="00553CDA"/>
    <w:rsid w:val="0055420B"/>
    <w:rsid w:val="00555A0B"/>
    <w:rsid w:val="00555B90"/>
    <w:rsid w:val="00555C54"/>
    <w:rsid w:val="005574C9"/>
    <w:rsid w:val="00560426"/>
    <w:rsid w:val="005605B5"/>
    <w:rsid w:val="00560720"/>
    <w:rsid w:val="00562FA3"/>
    <w:rsid w:val="00564CAF"/>
    <w:rsid w:val="00564DD7"/>
    <w:rsid w:val="00565BF4"/>
    <w:rsid w:val="005669ED"/>
    <w:rsid w:val="00566AA3"/>
    <w:rsid w:val="00566BCC"/>
    <w:rsid w:val="00567DC3"/>
    <w:rsid w:val="00571E2A"/>
    <w:rsid w:val="00571E89"/>
    <w:rsid w:val="00571EFE"/>
    <w:rsid w:val="005722F6"/>
    <w:rsid w:val="00573423"/>
    <w:rsid w:val="0057372A"/>
    <w:rsid w:val="00573E20"/>
    <w:rsid w:val="005743D8"/>
    <w:rsid w:val="00574ACD"/>
    <w:rsid w:val="00576B24"/>
    <w:rsid w:val="00580A60"/>
    <w:rsid w:val="00581F75"/>
    <w:rsid w:val="00582DE5"/>
    <w:rsid w:val="0058343A"/>
    <w:rsid w:val="0058427B"/>
    <w:rsid w:val="0058431C"/>
    <w:rsid w:val="00584853"/>
    <w:rsid w:val="005856B1"/>
    <w:rsid w:val="00587B23"/>
    <w:rsid w:val="00590097"/>
    <w:rsid w:val="0059086E"/>
    <w:rsid w:val="005912D1"/>
    <w:rsid w:val="00592E37"/>
    <w:rsid w:val="00593BBE"/>
    <w:rsid w:val="00594134"/>
    <w:rsid w:val="00594936"/>
    <w:rsid w:val="00594B39"/>
    <w:rsid w:val="00594E80"/>
    <w:rsid w:val="00595169"/>
    <w:rsid w:val="005956A8"/>
    <w:rsid w:val="005956B6"/>
    <w:rsid w:val="00595D32"/>
    <w:rsid w:val="005963CF"/>
    <w:rsid w:val="00596FA1"/>
    <w:rsid w:val="005A0821"/>
    <w:rsid w:val="005A0957"/>
    <w:rsid w:val="005A146D"/>
    <w:rsid w:val="005A2E86"/>
    <w:rsid w:val="005A2FEA"/>
    <w:rsid w:val="005A3357"/>
    <w:rsid w:val="005A3A31"/>
    <w:rsid w:val="005A42B7"/>
    <w:rsid w:val="005A4361"/>
    <w:rsid w:val="005A45AA"/>
    <w:rsid w:val="005A593A"/>
    <w:rsid w:val="005A740E"/>
    <w:rsid w:val="005A7522"/>
    <w:rsid w:val="005A7B9B"/>
    <w:rsid w:val="005B0A0F"/>
    <w:rsid w:val="005B1D79"/>
    <w:rsid w:val="005B1E65"/>
    <w:rsid w:val="005B280E"/>
    <w:rsid w:val="005B2F23"/>
    <w:rsid w:val="005B4D6B"/>
    <w:rsid w:val="005B5765"/>
    <w:rsid w:val="005B5C08"/>
    <w:rsid w:val="005B6022"/>
    <w:rsid w:val="005B6456"/>
    <w:rsid w:val="005C0585"/>
    <w:rsid w:val="005C0CD3"/>
    <w:rsid w:val="005C3F40"/>
    <w:rsid w:val="005C4DBF"/>
    <w:rsid w:val="005C50F8"/>
    <w:rsid w:val="005C6130"/>
    <w:rsid w:val="005C6BDC"/>
    <w:rsid w:val="005C6C56"/>
    <w:rsid w:val="005C74D2"/>
    <w:rsid w:val="005C7CD3"/>
    <w:rsid w:val="005D02A7"/>
    <w:rsid w:val="005D052C"/>
    <w:rsid w:val="005D1C21"/>
    <w:rsid w:val="005D202C"/>
    <w:rsid w:val="005D33DF"/>
    <w:rsid w:val="005D3652"/>
    <w:rsid w:val="005D4AF1"/>
    <w:rsid w:val="005D4E3A"/>
    <w:rsid w:val="005D5B3B"/>
    <w:rsid w:val="005D6BA4"/>
    <w:rsid w:val="005D7434"/>
    <w:rsid w:val="005E0845"/>
    <w:rsid w:val="005E0C3F"/>
    <w:rsid w:val="005E1F6D"/>
    <w:rsid w:val="005E21C9"/>
    <w:rsid w:val="005E2B21"/>
    <w:rsid w:val="005E39C8"/>
    <w:rsid w:val="005E3A20"/>
    <w:rsid w:val="005E411D"/>
    <w:rsid w:val="005E459F"/>
    <w:rsid w:val="005E4C5D"/>
    <w:rsid w:val="005E5144"/>
    <w:rsid w:val="005E5D4E"/>
    <w:rsid w:val="005E5F6C"/>
    <w:rsid w:val="005E6D6B"/>
    <w:rsid w:val="005E7D9B"/>
    <w:rsid w:val="005E7E03"/>
    <w:rsid w:val="005F0361"/>
    <w:rsid w:val="005F10AC"/>
    <w:rsid w:val="005F134A"/>
    <w:rsid w:val="005F3317"/>
    <w:rsid w:val="005F3420"/>
    <w:rsid w:val="005F393B"/>
    <w:rsid w:val="005F3DBF"/>
    <w:rsid w:val="005F3F50"/>
    <w:rsid w:val="005F5EF6"/>
    <w:rsid w:val="005F6A2D"/>
    <w:rsid w:val="005F706C"/>
    <w:rsid w:val="005F7342"/>
    <w:rsid w:val="005F7D8C"/>
    <w:rsid w:val="00600C2C"/>
    <w:rsid w:val="00600F31"/>
    <w:rsid w:val="00601B80"/>
    <w:rsid w:val="00602EBB"/>
    <w:rsid w:val="006063A7"/>
    <w:rsid w:val="006065B2"/>
    <w:rsid w:val="006072FB"/>
    <w:rsid w:val="00607A44"/>
    <w:rsid w:val="006102AE"/>
    <w:rsid w:val="00611B47"/>
    <w:rsid w:val="00611C33"/>
    <w:rsid w:val="006130FB"/>
    <w:rsid w:val="006135D1"/>
    <w:rsid w:val="00614693"/>
    <w:rsid w:val="0061687C"/>
    <w:rsid w:val="00616ABA"/>
    <w:rsid w:val="00617F99"/>
    <w:rsid w:val="006205CB"/>
    <w:rsid w:val="00621B0B"/>
    <w:rsid w:val="0062301D"/>
    <w:rsid w:val="00623B68"/>
    <w:rsid w:val="00623E03"/>
    <w:rsid w:val="0062489C"/>
    <w:rsid w:val="00624E8D"/>
    <w:rsid w:val="006252A2"/>
    <w:rsid w:val="006257AC"/>
    <w:rsid w:val="00626809"/>
    <w:rsid w:val="00626A6D"/>
    <w:rsid w:val="00627AE8"/>
    <w:rsid w:val="0063018D"/>
    <w:rsid w:val="006303B5"/>
    <w:rsid w:val="006309E2"/>
    <w:rsid w:val="00631D39"/>
    <w:rsid w:val="0063267D"/>
    <w:rsid w:val="00632E13"/>
    <w:rsid w:val="0063414C"/>
    <w:rsid w:val="0063418A"/>
    <w:rsid w:val="00634F39"/>
    <w:rsid w:val="00635618"/>
    <w:rsid w:val="006357AB"/>
    <w:rsid w:val="00636111"/>
    <w:rsid w:val="00636996"/>
    <w:rsid w:val="006378EA"/>
    <w:rsid w:val="0064100C"/>
    <w:rsid w:val="006411CD"/>
    <w:rsid w:val="006417C1"/>
    <w:rsid w:val="00641F19"/>
    <w:rsid w:val="00642578"/>
    <w:rsid w:val="006429CB"/>
    <w:rsid w:val="00643A98"/>
    <w:rsid w:val="00643F7A"/>
    <w:rsid w:val="00644816"/>
    <w:rsid w:val="00644EA9"/>
    <w:rsid w:val="006450E9"/>
    <w:rsid w:val="00646EC4"/>
    <w:rsid w:val="00646FAE"/>
    <w:rsid w:val="006477AF"/>
    <w:rsid w:val="00647ACC"/>
    <w:rsid w:val="00647E53"/>
    <w:rsid w:val="00650983"/>
    <w:rsid w:val="00650D02"/>
    <w:rsid w:val="00651A35"/>
    <w:rsid w:val="0065271E"/>
    <w:rsid w:val="00652B73"/>
    <w:rsid w:val="00652CBE"/>
    <w:rsid w:val="006545CE"/>
    <w:rsid w:val="006556AF"/>
    <w:rsid w:val="00655C70"/>
    <w:rsid w:val="0065676A"/>
    <w:rsid w:val="00657148"/>
    <w:rsid w:val="0065717B"/>
    <w:rsid w:val="0065738F"/>
    <w:rsid w:val="0065760F"/>
    <w:rsid w:val="00660956"/>
    <w:rsid w:val="00661792"/>
    <w:rsid w:val="006619DD"/>
    <w:rsid w:val="006627AA"/>
    <w:rsid w:val="00662A33"/>
    <w:rsid w:val="00663B47"/>
    <w:rsid w:val="006642A6"/>
    <w:rsid w:val="00664BDF"/>
    <w:rsid w:val="00664D5E"/>
    <w:rsid w:val="0066512B"/>
    <w:rsid w:val="00666527"/>
    <w:rsid w:val="00666E46"/>
    <w:rsid w:val="0066757F"/>
    <w:rsid w:val="00670588"/>
    <w:rsid w:val="00672446"/>
    <w:rsid w:val="0067615A"/>
    <w:rsid w:val="006769B3"/>
    <w:rsid w:val="00676D3C"/>
    <w:rsid w:val="00676E21"/>
    <w:rsid w:val="00680C0A"/>
    <w:rsid w:val="00680D89"/>
    <w:rsid w:val="00681074"/>
    <w:rsid w:val="006811C8"/>
    <w:rsid w:val="0068154B"/>
    <w:rsid w:val="00681851"/>
    <w:rsid w:val="00681D04"/>
    <w:rsid w:val="006826B2"/>
    <w:rsid w:val="00682CCE"/>
    <w:rsid w:val="00685752"/>
    <w:rsid w:val="00685BAC"/>
    <w:rsid w:val="00685C34"/>
    <w:rsid w:val="0068764F"/>
    <w:rsid w:val="00687DC7"/>
    <w:rsid w:val="00690872"/>
    <w:rsid w:val="00691918"/>
    <w:rsid w:val="00691ECE"/>
    <w:rsid w:val="006924DB"/>
    <w:rsid w:val="0069281E"/>
    <w:rsid w:val="00693454"/>
    <w:rsid w:val="00693CA0"/>
    <w:rsid w:val="006942E8"/>
    <w:rsid w:val="00694D43"/>
    <w:rsid w:val="0069542C"/>
    <w:rsid w:val="00695612"/>
    <w:rsid w:val="00695959"/>
    <w:rsid w:val="00695B9A"/>
    <w:rsid w:val="0069617F"/>
    <w:rsid w:val="00696E02"/>
    <w:rsid w:val="006971C9"/>
    <w:rsid w:val="00697517"/>
    <w:rsid w:val="00697AC4"/>
    <w:rsid w:val="006A21CB"/>
    <w:rsid w:val="006A22BB"/>
    <w:rsid w:val="006A3F8A"/>
    <w:rsid w:val="006A4014"/>
    <w:rsid w:val="006A41DD"/>
    <w:rsid w:val="006A451B"/>
    <w:rsid w:val="006A52C3"/>
    <w:rsid w:val="006A5499"/>
    <w:rsid w:val="006A5B5F"/>
    <w:rsid w:val="006A7AEF"/>
    <w:rsid w:val="006A7EA3"/>
    <w:rsid w:val="006A7EBE"/>
    <w:rsid w:val="006B00CB"/>
    <w:rsid w:val="006B0F4D"/>
    <w:rsid w:val="006B1B84"/>
    <w:rsid w:val="006B1F88"/>
    <w:rsid w:val="006B2735"/>
    <w:rsid w:val="006B3323"/>
    <w:rsid w:val="006B3C4D"/>
    <w:rsid w:val="006B3F6A"/>
    <w:rsid w:val="006B42B3"/>
    <w:rsid w:val="006B44B1"/>
    <w:rsid w:val="006B4561"/>
    <w:rsid w:val="006B50CC"/>
    <w:rsid w:val="006C0144"/>
    <w:rsid w:val="006C063B"/>
    <w:rsid w:val="006C06EB"/>
    <w:rsid w:val="006C0B0A"/>
    <w:rsid w:val="006C0EA1"/>
    <w:rsid w:val="006C1399"/>
    <w:rsid w:val="006C15BF"/>
    <w:rsid w:val="006C3DF1"/>
    <w:rsid w:val="006C4D04"/>
    <w:rsid w:val="006C615F"/>
    <w:rsid w:val="006C6925"/>
    <w:rsid w:val="006C6E6D"/>
    <w:rsid w:val="006C71FF"/>
    <w:rsid w:val="006C781B"/>
    <w:rsid w:val="006D1955"/>
    <w:rsid w:val="006D229A"/>
    <w:rsid w:val="006D335A"/>
    <w:rsid w:val="006D3394"/>
    <w:rsid w:val="006D59C8"/>
    <w:rsid w:val="006D602D"/>
    <w:rsid w:val="006D658E"/>
    <w:rsid w:val="006E04E3"/>
    <w:rsid w:val="006E101E"/>
    <w:rsid w:val="006E23C4"/>
    <w:rsid w:val="006E3C14"/>
    <w:rsid w:val="006E535A"/>
    <w:rsid w:val="006E647F"/>
    <w:rsid w:val="006E6816"/>
    <w:rsid w:val="006E6950"/>
    <w:rsid w:val="006E7A92"/>
    <w:rsid w:val="006F09F4"/>
    <w:rsid w:val="006F11DF"/>
    <w:rsid w:val="006F1902"/>
    <w:rsid w:val="006F24D0"/>
    <w:rsid w:val="006F26FC"/>
    <w:rsid w:val="006F2D02"/>
    <w:rsid w:val="006F3E64"/>
    <w:rsid w:val="006F4825"/>
    <w:rsid w:val="006F5975"/>
    <w:rsid w:val="006F738F"/>
    <w:rsid w:val="006F788C"/>
    <w:rsid w:val="006F7DDF"/>
    <w:rsid w:val="00700C27"/>
    <w:rsid w:val="00700C61"/>
    <w:rsid w:val="00701D13"/>
    <w:rsid w:val="00702D71"/>
    <w:rsid w:val="00703613"/>
    <w:rsid w:val="00704B71"/>
    <w:rsid w:val="0070549D"/>
    <w:rsid w:val="0070607B"/>
    <w:rsid w:val="00706568"/>
    <w:rsid w:val="0070758D"/>
    <w:rsid w:val="00707919"/>
    <w:rsid w:val="00707C64"/>
    <w:rsid w:val="00710441"/>
    <w:rsid w:val="0071055A"/>
    <w:rsid w:val="00711215"/>
    <w:rsid w:val="00711B42"/>
    <w:rsid w:val="00712C32"/>
    <w:rsid w:val="00712C4D"/>
    <w:rsid w:val="00712EC8"/>
    <w:rsid w:val="0071506A"/>
    <w:rsid w:val="007153DB"/>
    <w:rsid w:val="007171F0"/>
    <w:rsid w:val="007202DF"/>
    <w:rsid w:val="007206A1"/>
    <w:rsid w:val="00722B97"/>
    <w:rsid w:val="007233C9"/>
    <w:rsid w:val="00723716"/>
    <w:rsid w:val="00723800"/>
    <w:rsid w:val="00724754"/>
    <w:rsid w:val="00724B0D"/>
    <w:rsid w:val="00724E1A"/>
    <w:rsid w:val="007254AE"/>
    <w:rsid w:val="0072554E"/>
    <w:rsid w:val="00725925"/>
    <w:rsid w:val="00726446"/>
    <w:rsid w:val="00726727"/>
    <w:rsid w:val="007267EE"/>
    <w:rsid w:val="00726B6E"/>
    <w:rsid w:val="007276B9"/>
    <w:rsid w:val="00727C99"/>
    <w:rsid w:val="007309F2"/>
    <w:rsid w:val="00730D7D"/>
    <w:rsid w:val="00731210"/>
    <w:rsid w:val="00731B3C"/>
    <w:rsid w:val="00731E00"/>
    <w:rsid w:val="00733166"/>
    <w:rsid w:val="007348F3"/>
    <w:rsid w:val="0073529E"/>
    <w:rsid w:val="0073581D"/>
    <w:rsid w:val="0073583A"/>
    <w:rsid w:val="00735898"/>
    <w:rsid w:val="00736B01"/>
    <w:rsid w:val="00736C0F"/>
    <w:rsid w:val="00736C8A"/>
    <w:rsid w:val="00736FEC"/>
    <w:rsid w:val="007403A5"/>
    <w:rsid w:val="00741252"/>
    <w:rsid w:val="00741B40"/>
    <w:rsid w:val="00742423"/>
    <w:rsid w:val="00742B34"/>
    <w:rsid w:val="007457FD"/>
    <w:rsid w:val="00745EB3"/>
    <w:rsid w:val="00750125"/>
    <w:rsid w:val="00751D11"/>
    <w:rsid w:val="007523BA"/>
    <w:rsid w:val="007523F2"/>
    <w:rsid w:val="0075265A"/>
    <w:rsid w:val="00752753"/>
    <w:rsid w:val="007534B2"/>
    <w:rsid w:val="00753878"/>
    <w:rsid w:val="007539AE"/>
    <w:rsid w:val="00753C63"/>
    <w:rsid w:val="00753DCB"/>
    <w:rsid w:val="00753F2E"/>
    <w:rsid w:val="00755195"/>
    <w:rsid w:val="007562AA"/>
    <w:rsid w:val="00757339"/>
    <w:rsid w:val="007616C9"/>
    <w:rsid w:val="00761ADB"/>
    <w:rsid w:val="00762637"/>
    <w:rsid w:val="00762953"/>
    <w:rsid w:val="007635C0"/>
    <w:rsid w:val="0076508E"/>
    <w:rsid w:val="00765263"/>
    <w:rsid w:val="0076612E"/>
    <w:rsid w:val="007661CB"/>
    <w:rsid w:val="0077031E"/>
    <w:rsid w:val="007706AE"/>
    <w:rsid w:val="00772180"/>
    <w:rsid w:val="00773530"/>
    <w:rsid w:val="00773BAB"/>
    <w:rsid w:val="007760BC"/>
    <w:rsid w:val="007762DF"/>
    <w:rsid w:val="00777335"/>
    <w:rsid w:val="00777447"/>
    <w:rsid w:val="0077775D"/>
    <w:rsid w:val="0078083B"/>
    <w:rsid w:val="0078168B"/>
    <w:rsid w:val="007817B3"/>
    <w:rsid w:val="00781C89"/>
    <w:rsid w:val="00783502"/>
    <w:rsid w:val="00783856"/>
    <w:rsid w:val="007839EA"/>
    <w:rsid w:val="00783C71"/>
    <w:rsid w:val="0078476D"/>
    <w:rsid w:val="00785CAE"/>
    <w:rsid w:val="0078673C"/>
    <w:rsid w:val="00786A1F"/>
    <w:rsid w:val="007874E5"/>
    <w:rsid w:val="007900D5"/>
    <w:rsid w:val="00790F17"/>
    <w:rsid w:val="00791002"/>
    <w:rsid w:val="0079180D"/>
    <w:rsid w:val="0079254A"/>
    <w:rsid w:val="007927E8"/>
    <w:rsid w:val="00793F89"/>
    <w:rsid w:val="0079416F"/>
    <w:rsid w:val="00794D0A"/>
    <w:rsid w:val="00795D00"/>
    <w:rsid w:val="00795F3B"/>
    <w:rsid w:val="00796384"/>
    <w:rsid w:val="00796C0B"/>
    <w:rsid w:val="00796D89"/>
    <w:rsid w:val="007977BA"/>
    <w:rsid w:val="00797AA7"/>
    <w:rsid w:val="007A0C63"/>
    <w:rsid w:val="007A0ECB"/>
    <w:rsid w:val="007A157C"/>
    <w:rsid w:val="007A17D0"/>
    <w:rsid w:val="007A1CA5"/>
    <w:rsid w:val="007A368E"/>
    <w:rsid w:val="007A399D"/>
    <w:rsid w:val="007A3C99"/>
    <w:rsid w:val="007A3D9A"/>
    <w:rsid w:val="007A4106"/>
    <w:rsid w:val="007A5664"/>
    <w:rsid w:val="007B07D0"/>
    <w:rsid w:val="007B3265"/>
    <w:rsid w:val="007B359D"/>
    <w:rsid w:val="007B35CD"/>
    <w:rsid w:val="007B4907"/>
    <w:rsid w:val="007B4B4B"/>
    <w:rsid w:val="007B4B88"/>
    <w:rsid w:val="007B665F"/>
    <w:rsid w:val="007B6663"/>
    <w:rsid w:val="007C037A"/>
    <w:rsid w:val="007C0E6A"/>
    <w:rsid w:val="007C154E"/>
    <w:rsid w:val="007C1676"/>
    <w:rsid w:val="007C1E17"/>
    <w:rsid w:val="007C24F9"/>
    <w:rsid w:val="007C2AB6"/>
    <w:rsid w:val="007C3FAF"/>
    <w:rsid w:val="007C595F"/>
    <w:rsid w:val="007C5AD2"/>
    <w:rsid w:val="007C6B64"/>
    <w:rsid w:val="007C6CE4"/>
    <w:rsid w:val="007C7344"/>
    <w:rsid w:val="007C7BCC"/>
    <w:rsid w:val="007C7C44"/>
    <w:rsid w:val="007C7F9F"/>
    <w:rsid w:val="007D143E"/>
    <w:rsid w:val="007D14AE"/>
    <w:rsid w:val="007D18BB"/>
    <w:rsid w:val="007D2FC3"/>
    <w:rsid w:val="007D3E3E"/>
    <w:rsid w:val="007D404C"/>
    <w:rsid w:val="007D4E7B"/>
    <w:rsid w:val="007D4ECB"/>
    <w:rsid w:val="007D60C5"/>
    <w:rsid w:val="007E06FA"/>
    <w:rsid w:val="007E131F"/>
    <w:rsid w:val="007E15E9"/>
    <w:rsid w:val="007E29C3"/>
    <w:rsid w:val="007E3379"/>
    <w:rsid w:val="007E4FA2"/>
    <w:rsid w:val="007E5161"/>
    <w:rsid w:val="007E5D16"/>
    <w:rsid w:val="007E5E09"/>
    <w:rsid w:val="007F06D9"/>
    <w:rsid w:val="007F0A4D"/>
    <w:rsid w:val="007F2133"/>
    <w:rsid w:val="007F2FE2"/>
    <w:rsid w:val="007F367D"/>
    <w:rsid w:val="007F3681"/>
    <w:rsid w:val="007F397B"/>
    <w:rsid w:val="007F3C4C"/>
    <w:rsid w:val="007F488D"/>
    <w:rsid w:val="007F4EE4"/>
    <w:rsid w:val="007F5D84"/>
    <w:rsid w:val="007F6C89"/>
    <w:rsid w:val="007F6CC9"/>
    <w:rsid w:val="007F6F58"/>
    <w:rsid w:val="007F7617"/>
    <w:rsid w:val="007F78E8"/>
    <w:rsid w:val="0080066C"/>
    <w:rsid w:val="0080107C"/>
    <w:rsid w:val="0080150F"/>
    <w:rsid w:val="008019DE"/>
    <w:rsid w:val="00801AE5"/>
    <w:rsid w:val="00801CD5"/>
    <w:rsid w:val="00802877"/>
    <w:rsid w:val="0080295D"/>
    <w:rsid w:val="00802C94"/>
    <w:rsid w:val="008034A9"/>
    <w:rsid w:val="00804477"/>
    <w:rsid w:val="00804640"/>
    <w:rsid w:val="00804909"/>
    <w:rsid w:val="00805045"/>
    <w:rsid w:val="00805BFD"/>
    <w:rsid w:val="008064B6"/>
    <w:rsid w:val="008068D3"/>
    <w:rsid w:val="00810502"/>
    <w:rsid w:val="008106DC"/>
    <w:rsid w:val="00811D0D"/>
    <w:rsid w:val="00811F08"/>
    <w:rsid w:val="00812E06"/>
    <w:rsid w:val="00812F79"/>
    <w:rsid w:val="0081375D"/>
    <w:rsid w:val="00813B1B"/>
    <w:rsid w:val="008141E8"/>
    <w:rsid w:val="00814DAF"/>
    <w:rsid w:val="0081528F"/>
    <w:rsid w:val="008154DC"/>
    <w:rsid w:val="00815697"/>
    <w:rsid w:val="00816912"/>
    <w:rsid w:val="00816C73"/>
    <w:rsid w:val="00817174"/>
    <w:rsid w:val="008173EF"/>
    <w:rsid w:val="00817A2C"/>
    <w:rsid w:val="008206E8"/>
    <w:rsid w:val="00826132"/>
    <w:rsid w:val="00826C3F"/>
    <w:rsid w:val="00830B00"/>
    <w:rsid w:val="00831020"/>
    <w:rsid w:val="008316DD"/>
    <w:rsid w:val="00831884"/>
    <w:rsid w:val="00831C1A"/>
    <w:rsid w:val="00831D77"/>
    <w:rsid w:val="008322AF"/>
    <w:rsid w:val="00833198"/>
    <w:rsid w:val="0083339F"/>
    <w:rsid w:val="00836336"/>
    <w:rsid w:val="0083718E"/>
    <w:rsid w:val="008373E9"/>
    <w:rsid w:val="008374C4"/>
    <w:rsid w:val="008402CE"/>
    <w:rsid w:val="008406BF"/>
    <w:rsid w:val="008407D8"/>
    <w:rsid w:val="00841906"/>
    <w:rsid w:val="00841A91"/>
    <w:rsid w:val="00842439"/>
    <w:rsid w:val="00843CEC"/>
    <w:rsid w:val="00843EBF"/>
    <w:rsid w:val="008440DE"/>
    <w:rsid w:val="0084533F"/>
    <w:rsid w:val="00846592"/>
    <w:rsid w:val="00847B28"/>
    <w:rsid w:val="00847E13"/>
    <w:rsid w:val="00850CA4"/>
    <w:rsid w:val="00850DEB"/>
    <w:rsid w:val="00851152"/>
    <w:rsid w:val="00851CE5"/>
    <w:rsid w:val="00853BBD"/>
    <w:rsid w:val="00854C62"/>
    <w:rsid w:val="008551F6"/>
    <w:rsid w:val="00856E62"/>
    <w:rsid w:val="00857150"/>
    <w:rsid w:val="00857B4E"/>
    <w:rsid w:val="00860A08"/>
    <w:rsid w:val="00861A52"/>
    <w:rsid w:val="00861BFD"/>
    <w:rsid w:val="00861E71"/>
    <w:rsid w:val="0086269A"/>
    <w:rsid w:val="00862B51"/>
    <w:rsid w:val="00863E2D"/>
    <w:rsid w:val="00864366"/>
    <w:rsid w:val="0086587B"/>
    <w:rsid w:val="008670B4"/>
    <w:rsid w:val="008672CB"/>
    <w:rsid w:val="008748DD"/>
    <w:rsid w:val="00874F6F"/>
    <w:rsid w:val="008776DE"/>
    <w:rsid w:val="00880253"/>
    <w:rsid w:val="00880DA7"/>
    <w:rsid w:val="00881290"/>
    <w:rsid w:val="008834A4"/>
    <w:rsid w:val="008839EA"/>
    <w:rsid w:val="00883CB9"/>
    <w:rsid w:val="00883E80"/>
    <w:rsid w:val="0088536B"/>
    <w:rsid w:val="00886640"/>
    <w:rsid w:val="00886966"/>
    <w:rsid w:val="0088754A"/>
    <w:rsid w:val="00891870"/>
    <w:rsid w:val="00891FA8"/>
    <w:rsid w:val="00892F68"/>
    <w:rsid w:val="00894971"/>
    <w:rsid w:val="00895350"/>
    <w:rsid w:val="008957D3"/>
    <w:rsid w:val="00896C50"/>
    <w:rsid w:val="008973C0"/>
    <w:rsid w:val="008A1CBA"/>
    <w:rsid w:val="008A3D9F"/>
    <w:rsid w:val="008A42C4"/>
    <w:rsid w:val="008A451E"/>
    <w:rsid w:val="008A4B1F"/>
    <w:rsid w:val="008A4CD7"/>
    <w:rsid w:val="008A4F5F"/>
    <w:rsid w:val="008A51C2"/>
    <w:rsid w:val="008A695B"/>
    <w:rsid w:val="008A7DFF"/>
    <w:rsid w:val="008B000A"/>
    <w:rsid w:val="008B04F2"/>
    <w:rsid w:val="008B08CF"/>
    <w:rsid w:val="008B1063"/>
    <w:rsid w:val="008B1C03"/>
    <w:rsid w:val="008B2929"/>
    <w:rsid w:val="008B2EDC"/>
    <w:rsid w:val="008B31EB"/>
    <w:rsid w:val="008B3BFB"/>
    <w:rsid w:val="008B521D"/>
    <w:rsid w:val="008B58BE"/>
    <w:rsid w:val="008B6BB0"/>
    <w:rsid w:val="008B7309"/>
    <w:rsid w:val="008B73E3"/>
    <w:rsid w:val="008C1DE0"/>
    <w:rsid w:val="008C1F7C"/>
    <w:rsid w:val="008C4591"/>
    <w:rsid w:val="008C4902"/>
    <w:rsid w:val="008C55AA"/>
    <w:rsid w:val="008C6049"/>
    <w:rsid w:val="008C6216"/>
    <w:rsid w:val="008C6264"/>
    <w:rsid w:val="008D067F"/>
    <w:rsid w:val="008D1B1A"/>
    <w:rsid w:val="008D1BEC"/>
    <w:rsid w:val="008D229B"/>
    <w:rsid w:val="008D253D"/>
    <w:rsid w:val="008D2C3D"/>
    <w:rsid w:val="008D37A3"/>
    <w:rsid w:val="008D3C17"/>
    <w:rsid w:val="008D3C80"/>
    <w:rsid w:val="008D4D03"/>
    <w:rsid w:val="008D4F18"/>
    <w:rsid w:val="008D518F"/>
    <w:rsid w:val="008D6957"/>
    <w:rsid w:val="008D6E83"/>
    <w:rsid w:val="008D7483"/>
    <w:rsid w:val="008E04C8"/>
    <w:rsid w:val="008E0991"/>
    <w:rsid w:val="008E2217"/>
    <w:rsid w:val="008E5B98"/>
    <w:rsid w:val="008E5D76"/>
    <w:rsid w:val="008F0031"/>
    <w:rsid w:val="008F0B45"/>
    <w:rsid w:val="008F36FA"/>
    <w:rsid w:val="008F45AE"/>
    <w:rsid w:val="008F4A6F"/>
    <w:rsid w:val="008F538D"/>
    <w:rsid w:val="008F5525"/>
    <w:rsid w:val="008F6A5D"/>
    <w:rsid w:val="008F6FEC"/>
    <w:rsid w:val="008F76BD"/>
    <w:rsid w:val="00900959"/>
    <w:rsid w:val="00900C99"/>
    <w:rsid w:val="00901CF1"/>
    <w:rsid w:val="00902879"/>
    <w:rsid w:val="00902FC7"/>
    <w:rsid w:val="00903CB2"/>
    <w:rsid w:val="00904005"/>
    <w:rsid w:val="00905A4E"/>
    <w:rsid w:val="00905A69"/>
    <w:rsid w:val="00905E3D"/>
    <w:rsid w:val="00906335"/>
    <w:rsid w:val="0091105A"/>
    <w:rsid w:val="0091191B"/>
    <w:rsid w:val="00912373"/>
    <w:rsid w:val="00914CC0"/>
    <w:rsid w:val="0091546A"/>
    <w:rsid w:val="009162DF"/>
    <w:rsid w:val="00917774"/>
    <w:rsid w:val="00921129"/>
    <w:rsid w:val="00922938"/>
    <w:rsid w:val="009248A2"/>
    <w:rsid w:val="009266C5"/>
    <w:rsid w:val="00927EAA"/>
    <w:rsid w:val="00930A3B"/>
    <w:rsid w:val="00930ABF"/>
    <w:rsid w:val="00931683"/>
    <w:rsid w:val="00932B76"/>
    <w:rsid w:val="009338AA"/>
    <w:rsid w:val="00934941"/>
    <w:rsid w:val="00934B66"/>
    <w:rsid w:val="00936E1A"/>
    <w:rsid w:val="00936F05"/>
    <w:rsid w:val="0093733A"/>
    <w:rsid w:val="00937889"/>
    <w:rsid w:val="0094003A"/>
    <w:rsid w:val="00940452"/>
    <w:rsid w:val="00940DAC"/>
    <w:rsid w:val="00941020"/>
    <w:rsid w:val="00941A08"/>
    <w:rsid w:val="00944387"/>
    <w:rsid w:val="0094474E"/>
    <w:rsid w:val="009449B7"/>
    <w:rsid w:val="00945535"/>
    <w:rsid w:val="009463C4"/>
    <w:rsid w:val="00947511"/>
    <w:rsid w:val="009475AE"/>
    <w:rsid w:val="00950C37"/>
    <w:rsid w:val="00951B55"/>
    <w:rsid w:val="00953895"/>
    <w:rsid w:val="009542B9"/>
    <w:rsid w:val="009551F1"/>
    <w:rsid w:val="00955938"/>
    <w:rsid w:val="00955D12"/>
    <w:rsid w:val="0095615B"/>
    <w:rsid w:val="00956294"/>
    <w:rsid w:val="0095648D"/>
    <w:rsid w:val="0095690E"/>
    <w:rsid w:val="00956920"/>
    <w:rsid w:val="009570B4"/>
    <w:rsid w:val="00960867"/>
    <w:rsid w:val="00961204"/>
    <w:rsid w:val="009623BC"/>
    <w:rsid w:val="0096262C"/>
    <w:rsid w:val="009639D4"/>
    <w:rsid w:val="009649AA"/>
    <w:rsid w:val="00964A2D"/>
    <w:rsid w:val="00966936"/>
    <w:rsid w:val="009677E1"/>
    <w:rsid w:val="00971306"/>
    <w:rsid w:val="009713F5"/>
    <w:rsid w:val="009714AD"/>
    <w:rsid w:val="009716CE"/>
    <w:rsid w:val="009734B9"/>
    <w:rsid w:val="00973EAA"/>
    <w:rsid w:val="009743B8"/>
    <w:rsid w:val="00974E54"/>
    <w:rsid w:val="00974FDC"/>
    <w:rsid w:val="00976265"/>
    <w:rsid w:val="0097626E"/>
    <w:rsid w:val="00976385"/>
    <w:rsid w:val="009766AC"/>
    <w:rsid w:val="00980DC9"/>
    <w:rsid w:val="009816CA"/>
    <w:rsid w:val="009824B7"/>
    <w:rsid w:val="0098348D"/>
    <w:rsid w:val="009847CD"/>
    <w:rsid w:val="009863B9"/>
    <w:rsid w:val="009863FD"/>
    <w:rsid w:val="00986438"/>
    <w:rsid w:val="00986C5A"/>
    <w:rsid w:val="0099027C"/>
    <w:rsid w:val="00991951"/>
    <w:rsid w:val="00993476"/>
    <w:rsid w:val="00995104"/>
    <w:rsid w:val="00995176"/>
    <w:rsid w:val="00997015"/>
    <w:rsid w:val="009A01FE"/>
    <w:rsid w:val="009A0302"/>
    <w:rsid w:val="009A04DD"/>
    <w:rsid w:val="009A063E"/>
    <w:rsid w:val="009A08A6"/>
    <w:rsid w:val="009A096D"/>
    <w:rsid w:val="009A1987"/>
    <w:rsid w:val="009A27C8"/>
    <w:rsid w:val="009A417E"/>
    <w:rsid w:val="009A4C29"/>
    <w:rsid w:val="009A50AD"/>
    <w:rsid w:val="009A52F7"/>
    <w:rsid w:val="009A5758"/>
    <w:rsid w:val="009A723A"/>
    <w:rsid w:val="009A72A4"/>
    <w:rsid w:val="009A7B78"/>
    <w:rsid w:val="009A7EB6"/>
    <w:rsid w:val="009B1233"/>
    <w:rsid w:val="009B192A"/>
    <w:rsid w:val="009B2328"/>
    <w:rsid w:val="009B29E1"/>
    <w:rsid w:val="009B540B"/>
    <w:rsid w:val="009B6059"/>
    <w:rsid w:val="009C0CEB"/>
    <w:rsid w:val="009C1275"/>
    <w:rsid w:val="009C1C44"/>
    <w:rsid w:val="009C1D80"/>
    <w:rsid w:val="009C3E3C"/>
    <w:rsid w:val="009C4680"/>
    <w:rsid w:val="009C479C"/>
    <w:rsid w:val="009C5355"/>
    <w:rsid w:val="009C6266"/>
    <w:rsid w:val="009D0581"/>
    <w:rsid w:val="009D104F"/>
    <w:rsid w:val="009D1099"/>
    <w:rsid w:val="009D1ECC"/>
    <w:rsid w:val="009D2643"/>
    <w:rsid w:val="009D26E0"/>
    <w:rsid w:val="009D27F9"/>
    <w:rsid w:val="009D2CD0"/>
    <w:rsid w:val="009D33C0"/>
    <w:rsid w:val="009D3D4E"/>
    <w:rsid w:val="009D46B4"/>
    <w:rsid w:val="009D5211"/>
    <w:rsid w:val="009D5214"/>
    <w:rsid w:val="009D5247"/>
    <w:rsid w:val="009D5939"/>
    <w:rsid w:val="009D5BB4"/>
    <w:rsid w:val="009D5CC7"/>
    <w:rsid w:val="009D7B8E"/>
    <w:rsid w:val="009E0C16"/>
    <w:rsid w:val="009E13E1"/>
    <w:rsid w:val="009E1495"/>
    <w:rsid w:val="009E1D81"/>
    <w:rsid w:val="009E1E87"/>
    <w:rsid w:val="009E24C9"/>
    <w:rsid w:val="009E2AA3"/>
    <w:rsid w:val="009E2BD5"/>
    <w:rsid w:val="009E30A1"/>
    <w:rsid w:val="009E33F0"/>
    <w:rsid w:val="009E3A0E"/>
    <w:rsid w:val="009E3A9B"/>
    <w:rsid w:val="009E3EB6"/>
    <w:rsid w:val="009E4A93"/>
    <w:rsid w:val="009E4FEB"/>
    <w:rsid w:val="009E5296"/>
    <w:rsid w:val="009E643F"/>
    <w:rsid w:val="009E7541"/>
    <w:rsid w:val="009F0E6B"/>
    <w:rsid w:val="009F17EE"/>
    <w:rsid w:val="009F1893"/>
    <w:rsid w:val="009F18B8"/>
    <w:rsid w:val="009F21FE"/>
    <w:rsid w:val="009F3219"/>
    <w:rsid w:val="009F3738"/>
    <w:rsid w:val="009F5F58"/>
    <w:rsid w:val="009F667A"/>
    <w:rsid w:val="009F6BA7"/>
    <w:rsid w:val="009F717C"/>
    <w:rsid w:val="009F7309"/>
    <w:rsid w:val="009F7AF2"/>
    <w:rsid w:val="00A00143"/>
    <w:rsid w:val="00A00262"/>
    <w:rsid w:val="00A00830"/>
    <w:rsid w:val="00A00DBD"/>
    <w:rsid w:val="00A01128"/>
    <w:rsid w:val="00A01328"/>
    <w:rsid w:val="00A01A1A"/>
    <w:rsid w:val="00A035CA"/>
    <w:rsid w:val="00A039C7"/>
    <w:rsid w:val="00A03A69"/>
    <w:rsid w:val="00A04820"/>
    <w:rsid w:val="00A05C2B"/>
    <w:rsid w:val="00A06C75"/>
    <w:rsid w:val="00A070E7"/>
    <w:rsid w:val="00A07A5D"/>
    <w:rsid w:val="00A100B7"/>
    <w:rsid w:val="00A10854"/>
    <w:rsid w:val="00A112DD"/>
    <w:rsid w:val="00A13599"/>
    <w:rsid w:val="00A156D3"/>
    <w:rsid w:val="00A16048"/>
    <w:rsid w:val="00A204A7"/>
    <w:rsid w:val="00A207A9"/>
    <w:rsid w:val="00A209EF"/>
    <w:rsid w:val="00A20C5D"/>
    <w:rsid w:val="00A20F9B"/>
    <w:rsid w:val="00A22F31"/>
    <w:rsid w:val="00A23228"/>
    <w:rsid w:val="00A23B2A"/>
    <w:rsid w:val="00A24147"/>
    <w:rsid w:val="00A2467B"/>
    <w:rsid w:val="00A24C93"/>
    <w:rsid w:val="00A2545F"/>
    <w:rsid w:val="00A26579"/>
    <w:rsid w:val="00A27996"/>
    <w:rsid w:val="00A3181C"/>
    <w:rsid w:val="00A318CD"/>
    <w:rsid w:val="00A33BF4"/>
    <w:rsid w:val="00A36787"/>
    <w:rsid w:val="00A369E6"/>
    <w:rsid w:val="00A3742A"/>
    <w:rsid w:val="00A3756F"/>
    <w:rsid w:val="00A37EDD"/>
    <w:rsid w:val="00A40A28"/>
    <w:rsid w:val="00A40A9C"/>
    <w:rsid w:val="00A40F60"/>
    <w:rsid w:val="00A41E91"/>
    <w:rsid w:val="00A4279C"/>
    <w:rsid w:val="00A42CD8"/>
    <w:rsid w:val="00A44DD4"/>
    <w:rsid w:val="00A4575C"/>
    <w:rsid w:val="00A45943"/>
    <w:rsid w:val="00A50500"/>
    <w:rsid w:val="00A508DE"/>
    <w:rsid w:val="00A514D2"/>
    <w:rsid w:val="00A52260"/>
    <w:rsid w:val="00A52533"/>
    <w:rsid w:val="00A52F34"/>
    <w:rsid w:val="00A54BBA"/>
    <w:rsid w:val="00A54C3F"/>
    <w:rsid w:val="00A557C0"/>
    <w:rsid w:val="00A55EF1"/>
    <w:rsid w:val="00A55F76"/>
    <w:rsid w:val="00A565E9"/>
    <w:rsid w:val="00A6049E"/>
    <w:rsid w:val="00A604CC"/>
    <w:rsid w:val="00A60828"/>
    <w:rsid w:val="00A609BB"/>
    <w:rsid w:val="00A60E5F"/>
    <w:rsid w:val="00A61764"/>
    <w:rsid w:val="00A61854"/>
    <w:rsid w:val="00A61C15"/>
    <w:rsid w:val="00A62D0C"/>
    <w:rsid w:val="00A6319E"/>
    <w:rsid w:val="00A632AF"/>
    <w:rsid w:val="00A63AAD"/>
    <w:rsid w:val="00A652A9"/>
    <w:rsid w:val="00A6567B"/>
    <w:rsid w:val="00A65ED4"/>
    <w:rsid w:val="00A67A4A"/>
    <w:rsid w:val="00A67A76"/>
    <w:rsid w:val="00A71860"/>
    <w:rsid w:val="00A72839"/>
    <w:rsid w:val="00A728E9"/>
    <w:rsid w:val="00A72CB7"/>
    <w:rsid w:val="00A73670"/>
    <w:rsid w:val="00A737B4"/>
    <w:rsid w:val="00A7558A"/>
    <w:rsid w:val="00A75AC1"/>
    <w:rsid w:val="00A77FF4"/>
    <w:rsid w:val="00A80AAB"/>
    <w:rsid w:val="00A81B64"/>
    <w:rsid w:val="00A836A1"/>
    <w:rsid w:val="00A83E1A"/>
    <w:rsid w:val="00A8419C"/>
    <w:rsid w:val="00A84549"/>
    <w:rsid w:val="00A84B1F"/>
    <w:rsid w:val="00A85EDB"/>
    <w:rsid w:val="00A87A82"/>
    <w:rsid w:val="00A87D9A"/>
    <w:rsid w:val="00A9090A"/>
    <w:rsid w:val="00A90C6E"/>
    <w:rsid w:val="00A9117C"/>
    <w:rsid w:val="00A9210B"/>
    <w:rsid w:val="00A92705"/>
    <w:rsid w:val="00A92996"/>
    <w:rsid w:val="00A939DB"/>
    <w:rsid w:val="00A941A5"/>
    <w:rsid w:val="00A94260"/>
    <w:rsid w:val="00A95F7E"/>
    <w:rsid w:val="00A963B4"/>
    <w:rsid w:val="00A97107"/>
    <w:rsid w:val="00A97170"/>
    <w:rsid w:val="00A97DF3"/>
    <w:rsid w:val="00AA10CC"/>
    <w:rsid w:val="00AA1B47"/>
    <w:rsid w:val="00AA1F41"/>
    <w:rsid w:val="00AA3FC2"/>
    <w:rsid w:val="00AA4010"/>
    <w:rsid w:val="00AA4794"/>
    <w:rsid w:val="00AA48A4"/>
    <w:rsid w:val="00AA49BB"/>
    <w:rsid w:val="00AA4CEC"/>
    <w:rsid w:val="00AA4EC2"/>
    <w:rsid w:val="00AA4F7C"/>
    <w:rsid w:val="00AA5898"/>
    <w:rsid w:val="00AA5D0E"/>
    <w:rsid w:val="00AA5F23"/>
    <w:rsid w:val="00AA6AA4"/>
    <w:rsid w:val="00AA77F0"/>
    <w:rsid w:val="00AA7821"/>
    <w:rsid w:val="00AA7E1C"/>
    <w:rsid w:val="00AB1570"/>
    <w:rsid w:val="00AB1DC4"/>
    <w:rsid w:val="00AB2CDA"/>
    <w:rsid w:val="00AB3224"/>
    <w:rsid w:val="00AB3C07"/>
    <w:rsid w:val="00AB474E"/>
    <w:rsid w:val="00AB48EC"/>
    <w:rsid w:val="00AB5D4D"/>
    <w:rsid w:val="00AB646C"/>
    <w:rsid w:val="00AB67E7"/>
    <w:rsid w:val="00AB6972"/>
    <w:rsid w:val="00AB711D"/>
    <w:rsid w:val="00AB7C0C"/>
    <w:rsid w:val="00AC077D"/>
    <w:rsid w:val="00AC0EDA"/>
    <w:rsid w:val="00AC1D7E"/>
    <w:rsid w:val="00AC2CE7"/>
    <w:rsid w:val="00AC36AF"/>
    <w:rsid w:val="00AC386A"/>
    <w:rsid w:val="00AC396A"/>
    <w:rsid w:val="00AC4C73"/>
    <w:rsid w:val="00AC6905"/>
    <w:rsid w:val="00AC6EEA"/>
    <w:rsid w:val="00AC7245"/>
    <w:rsid w:val="00AD0212"/>
    <w:rsid w:val="00AD0758"/>
    <w:rsid w:val="00AD0A0F"/>
    <w:rsid w:val="00AD0F16"/>
    <w:rsid w:val="00AD12DA"/>
    <w:rsid w:val="00AD31CC"/>
    <w:rsid w:val="00AD3473"/>
    <w:rsid w:val="00AD62CB"/>
    <w:rsid w:val="00AD65A7"/>
    <w:rsid w:val="00AD794B"/>
    <w:rsid w:val="00AE015D"/>
    <w:rsid w:val="00AE01D4"/>
    <w:rsid w:val="00AE10BE"/>
    <w:rsid w:val="00AE137A"/>
    <w:rsid w:val="00AE17E8"/>
    <w:rsid w:val="00AE1A4A"/>
    <w:rsid w:val="00AE1ABC"/>
    <w:rsid w:val="00AE2109"/>
    <w:rsid w:val="00AE2CB4"/>
    <w:rsid w:val="00AE2E29"/>
    <w:rsid w:val="00AE470C"/>
    <w:rsid w:val="00AE4870"/>
    <w:rsid w:val="00AE5A1B"/>
    <w:rsid w:val="00AE69C7"/>
    <w:rsid w:val="00AE6F59"/>
    <w:rsid w:val="00AF00E0"/>
    <w:rsid w:val="00AF04F8"/>
    <w:rsid w:val="00AF05DB"/>
    <w:rsid w:val="00AF0732"/>
    <w:rsid w:val="00AF2508"/>
    <w:rsid w:val="00AF364F"/>
    <w:rsid w:val="00AF412E"/>
    <w:rsid w:val="00AF4DD9"/>
    <w:rsid w:val="00AF53DD"/>
    <w:rsid w:val="00AF5579"/>
    <w:rsid w:val="00AF6A7D"/>
    <w:rsid w:val="00B00135"/>
    <w:rsid w:val="00B00FF9"/>
    <w:rsid w:val="00B01643"/>
    <w:rsid w:val="00B02E40"/>
    <w:rsid w:val="00B0361B"/>
    <w:rsid w:val="00B03981"/>
    <w:rsid w:val="00B0498F"/>
    <w:rsid w:val="00B04C22"/>
    <w:rsid w:val="00B05271"/>
    <w:rsid w:val="00B059DF"/>
    <w:rsid w:val="00B06161"/>
    <w:rsid w:val="00B06336"/>
    <w:rsid w:val="00B06B97"/>
    <w:rsid w:val="00B06ED1"/>
    <w:rsid w:val="00B07003"/>
    <w:rsid w:val="00B072E8"/>
    <w:rsid w:val="00B07D07"/>
    <w:rsid w:val="00B10B16"/>
    <w:rsid w:val="00B124E1"/>
    <w:rsid w:val="00B12F29"/>
    <w:rsid w:val="00B12F96"/>
    <w:rsid w:val="00B1539A"/>
    <w:rsid w:val="00B1626C"/>
    <w:rsid w:val="00B176D6"/>
    <w:rsid w:val="00B17FFC"/>
    <w:rsid w:val="00B2045F"/>
    <w:rsid w:val="00B23B6D"/>
    <w:rsid w:val="00B25E97"/>
    <w:rsid w:val="00B26293"/>
    <w:rsid w:val="00B263AD"/>
    <w:rsid w:val="00B26480"/>
    <w:rsid w:val="00B27762"/>
    <w:rsid w:val="00B3010D"/>
    <w:rsid w:val="00B3013A"/>
    <w:rsid w:val="00B3083D"/>
    <w:rsid w:val="00B310F6"/>
    <w:rsid w:val="00B32D06"/>
    <w:rsid w:val="00B32F88"/>
    <w:rsid w:val="00B33489"/>
    <w:rsid w:val="00B34002"/>
    <w:rsid w:val="00B358B6"/>
    <w:rsid w:val="00B35ACD"/>
    <w:rsid w:val="00B36553"/>
    <w:rsid w:val="00B3685C"/>
    <w:rsid w:val="00B36B27"/>
    <w:rsid w:val="00B37C83"/>
    <w:rsid w:val="00B40A44"/>
    <w:rsid w:val="00B418EC"/>
    <w:rsid w:val="00B439A6"/>
    <w:rsid w:val="00B45DB2"/>
    <w:rsid w:val="00B46AC8"/>
    <w:rsid w:val="00B50A80"/>
    <w:rsid w:val="00B52A53"/>
    <w:rsid w:val="00B52B2D"/>
    <w:rsid w:val="00B544B0"/>
    <w:rsid w:val="00B546BD"/>
    <w:rsid w:val="00B559DD"/>
    <w:rsid w:val="00B56233"/>
    <w:rsid w:val="00B5623B"/>
    <w:rsid w:val="00B566B2"/>
    <w:rsid w:val="00B56A20"/>
    <w:rsid w:val="00B56E26"/>
    <w:rsid w:val="00B606B1"/>
    <w:rsid w:val="00B606CE"/>
    <w:rsid w:val="00B60FB1"/>
    <w:rsid w:val="00B61B35"/>
    <w:rsid w:val="00B62AE9"/>
    <w:rsid w:val="00B62DBD"/>
    <w:rsid w:val="00B64012"/>
    <w:rsid w:val="00B65CB3"/>
    <w:rsid w:val="00B70025"/>
    <w:rsid w:val="00B70820"/>
    <w:rsid w:val="00B70964"/>
    <w:rsid w:val="00B712C8"/>
    <w:rsid w:val="00B720F0"/>
    <w:rsid w:val="00B72539"/>
    <w:rsid w:val="00B739C0"/>
    <w:rsid w:val="00B73F81"/>
    <w:rsid w:val="00B7502C"/>
    <w:rsid w:val="00B757F4"/>
    <w:rsid w:val="00B759DD"/>
    <w:rsid w:val="00B75CB7"/>
    <w:rsid w:val="00B766DE"/>
    <w:rsid w:val="00B76D3E"/>
    <w:rsid w:val="00B77E28"/>
    <w:rsid w:val="00B80375"/>
    <w:rsid w:val="00B80376"/>
    <w:rsid w:val="00B8079C"/>
    <w:rsid w:val="00B80B95"/>
    <w:rsid w:val="00B82D4D"/>
    <w:rsid w:val="00B831AC"/>
    <w:rsid w:val="00B83870"/>
    <w:rsid w:val="00B8394D"/>
    <w:rsid w:val="00B84BA5"/>
    <w:rsid w:val="00B85AF5"/>
    <w:rsid w:val="00B86433"/>
    <w:rsid w:val="00B87296"/>
    <w:rsid w:val="00B878B9"/>
    <w:rsid w:val="00B91AFF"/>
    <w:rsid w:val="00B92D32"/>
    <w:rsid w:val="00B9402A"/>
    <w:rsid w:val="00B941C7"/>
    <w:rsid w:val="00B949B0"/>
    <w:rsid w:val="00B95405"/>
    <w:rsid w:val="00B96725"/>
    <w:rsid w:val="00B96F9D"/>
    <w:rsid w:val="00B976E5"/>
    <w:rsid w:val="00B979A8"/>
    <w:rsid w:val="00BA0683"/>
    <w:rsid w:val="00BA39B2"/>
    <w:rsid w:val="00BA471F"/>
    <w:rsid w:val="00BA5CD0"/>
    <w:rsid w:val="00BA75BE"/>
    <w:rsid w:val="00BB0749"/>
    <w:rsid w:val="00BB190C"/>
    <w:rsid w:val="00BB439E"/>
    <w:rsid w:val="00BB4760"/>
    <w:rsid w:val="00BB4B14"/>
    <w:rsid w:val="00BB4BE5"/>
    <w:rsid w:val="00BB502C"/>
    <w:rsid w:val="00BB79D4"/>
    <w:rsid w:val="00BB7D97"/>
    <w:rsid w:val="00BC0770"/>
    <w:rsid w:val="00BC20B5"/>
    <w:rsid w:val="00BC2D31"/>
    <w:rsid w:val="00BC2F67"/>
    <w:rsid w:val="00BC368A"/>
    <w:rsid w:val="00BC3855"/>
    <w:rsid w:val="00BC3DC9"/>
    <w:rsid w:val="00BC42AB"/>
    <w:rsid w:val="00BC7506"/>
    <w:rsid w:val="00BD0184"/>
    <w:rsid w:val="00BD0B29"/>
    <w:rsid w:val="00BD19D2"/>
    <w:rsid w:val="00BD2D20"/>
    <w:rsid w:val="00BD5DE6"/>
    <w:rsid w:val="00BD7D38"/>
    <w:rsid w:val="00BE0671"/>
    <w:rsid w:val="00BE08A1"/>
    <w:rsid w:val="00BE0E9B"/>
    <w:rsid w:val="00BE300C"/>
    <w:rsid w:val="00BE3EC6"/>
    <w:rsid w:val="00BE4600"/>
    <w:rsid w:val="00BE4847"/>
    <w:rsid w:val="00BE597C"/>
    <w:rsid w:val="00BF001D"/>
    <w:rsid w:val="00BF21A9"/>
    <w:rsid w:val="00BF23E4"/>
    <w:rsid w:val="00BF259E"/>
    <w:rsid w:val="00BF4078"/>
    <w:rsid w:val="00BF4168"/>
    <w:rsid w:val="00BF41BD"/>
    <w:rsid w:val="00BF42C1"/>
    <w:rsid w:val="00BF46A1"/>
    <w:rsid w:val="00BF49C1"/>
    <w:rsid w:val="00BF5BCF"/>
    <w:rsid w:val="00BF7A06"/>
    <w:rsid w:val="00C00F3D"/>
    <w:rsid w:val="00C01223"/>
    <w:rsid w:val="00C01E96"/>
    <w:rsid w:val="00C03003"/>
    <w:rsid w:val="00C0328F"/>
    <w:rsid w:val="00C03C45"/>
    <w:rsid w:val="00C03FFF"/>
    <w:rsid w:val="00C0427A"/>
    <w:rsid w:val="00C05589"/>
    <w:rsid w:val="00C05C61"/>
    <w:rsid w:val="00C05E7D"/>
    <w:rsid w:val="00C060C5"/>
    <w:rsid w:val="00C06C17"/>
    <w:rsid w:val="00C077F0"/>
    <w:rsid w:val="00C07EAD"/>
    <w:rsid w:val="00C10500"/>
    <w:rsid w:val="00C120CB"/>
    <w:rsid w:val="00C125E9"/>
    <w:rsid w:val="00C12621"/>
    <w:rsid w:val="00C12DDC"/>
    <w:rsid w:val="00C13D9F"/>
    <w:rsid w:val="00C14C5A"/>
    <w:rsid w:val="00C15018"/>
    <w:rsid w:val="00C15E27"/>
    <w:rsid w:val="00C16B11"/>
    <w:rsid w:val="00C170E4"/>
    <w:rsid w:val="00C17A89"/>
    <w:rsid w:val="00C20013"/>
    <w:rsid w:val="00C2022C"/>
    <w:rsid w:val="00C207F1"/>
    <w:rsid w:val="00C215EB"/>
    <w:rsid w:val="00C222E8"/>
    <w:rsid w:val="00C22AB9"/>
    <w:rsid w:val="00C22F7F"/>
    <w:rsid w:val="00C231DB"/>
    <w:rsid w:val="00C2364E"/>
    <w:rsid w:val="00C2460E"/>
    <w:rsid w:val="00C252F9"/>
    <w:rsid w:val="00C26E48"/>
    <w:rsid w:val="00C27D19"/>
    <w:rsid w:val="00C30233"/>
    <w:rsid w:val="00C32315"/>
    <w:rsid w:val="00C336CC"/>
    <w:rsid w:val="00C33714"/>
    <w:rsid w:val="00C33770"/>
    <w:rsid w:val="00C35971"/>
    <w:rsid w:val="00C35F09"/>
    <w:rsid w:val="00C36846"/>
    <w:rsid w:val="00C3710B"/>
    <w:rsid w:val="00C37660"/>
    <w:rsid w:val="00C400FF"/>
    <w:rsid w:val="00C40582"/>
    <w:rsid w:val="00C40980"/>
    <w:rsid w:val="00C42DBB"/>
    <w:rsid w:val="00C43C8E"/>
    <w:rsid w:val="00C44146"/>
    <w:rsid w:val="00C441AE"/>
    <w:rsid w:val="00C44388"/>
    <w:rsid w:val="00C4597A"/>
    <w:rsid w:val="00C46088"/>
    <w:rsid w:val="00C4654F"/>
    <w:rsid w:val="00C46655"/>
    <w:rsid w:val="00C466D1"/>
    <w:rsid w:val="00C46A0B"/>
    <w:rsid w:val="00C46F1B"/>
    <w:rsid w:val="00C47AA8"/>
    <w:rsid w:val="00C47C88"/>
    <w:rsid w:val="00C47D91"/>
    <w:rsid w:val="00C51941"/>
    <w:rsid w:val="00C52254"/>
    <w:rsid w:val="00C52808"/>
    <w:rsid w:val="00C53B37"/>
    <w:rsid w:val="00C54A3C"/>
    <w:rsid w:val="00C57619"/>
    <w:rsid w:val="00C57BFB"/>
    <w:rsid w:val="00C610B4"/>
    <w:rsid w:val="00C61ACE"/>
    <w:rsid w:val="00C61C3E"/>
    <w:rsid w:val="00C64681"/>
    <w:rsid w:val="00C6554E"/>
    <w:rsid w:val="00C66505"/>
    <w:rsid w:val="00C6677E"/>
    <w:rsid w:val="00C66808"/>
    <w:rsid w:val="00C66FDD"/>
    <w:rsid w:val="00C6783A"/>
    <w:rsid w:val="00C67E30"/>
    <w:rsid w:val="00C70D8D"/>
    <w:rsid w:val="00C7103D"/>
    <w:rsid w:val="00C716B4"/>
    <w:rsid w:val="00C71CEC"/>
    <w:rsid w:val="00C72A82"/>
    <w:rsid w:val="00C73C93"/>
    <w:rsid w:val="00C74400"/>
    <w:rsid w:val="00C75540"/>
    <w:rsid w:val="00C7560F"/>
    <w:rsid w:val="00C75CC5"/>
    <w:rsid w:val="00C7635F"/>
    <w:rsid w:val="00C76C77"/>
    <w:rsid w:val="00C76D65"/>
    <w:rsid w:val="00C774BF"/>
    <w:rsid w:val="00C7791C"/>
    <w:rsid w:val="00C80947"/>
    <w:rsid w:val="00C80F6C"/>
    <w:rsid w:val="00C8105A"/>
    <w:rsid w:val="00C81145"/>
    <w:rsid w:val="00C81159"/>
    <w:rsid w:val="00C812F5"/>
    <w:rsid w:val="00C8138A"/>
    <w:rsid w:val="00C8172E"/>
    <w:rsid w:val="00C818D6"/>
    <w:rsid w:val="00C8213C"/>
    <w:rsid w:val="00C82669"/>
    <w:rsid w:val="00C83CEE"/>
    <w:rsid w:val="00C83FA4"/>
    <w:rsid w:val="00C8455D"/>
    <w:rsid w:val="00C85EB0"/>
    <w:rsid w:val="00C865EC"/>
    <w:rsid w:val="00C91198"/>
    <w:rsid w:val="00C91F23"/>
    <w:rsid w:val="00C92038"/>
    <w:rsid w:val="00C9294A"/>
    <w:rsid w:val="00C9399E"/>
    <w:rsid w:val="00C95455"/>
    <w:rsid w:val="00C959AE"/>
    <w:rsid w:val="00C95C21"/>
    <w:rsid w:val="00C96C34"/>
    <w:rsid w:val="00C97DEF"/>
    <w:rsid w:val="00CA180E"/>
    <w:rsid w:val="00CA18D6"/>
    <w:rsid w:val="00CA1FEF"/>
    <w:rsid w:val="00CA429C"/>
    <w:rsid w:val="00CA4423"/>
    <w:rsid w:val="00CA4CD3"/>
    <w:rsid w:val="00CA5411"/>
    <w:rsid w:val="00CA67F1"/>
    <w:rsid w:val="00CA77DB"/>
    <w:rsid w:val="00CB1328"/>
    <w:rsid w:val="00CB24D9"/>
    <w:rsid w:val="00CB2CD9"/>
    <w:rsid w:val="00CB3B51"/>
    <w:rsid w:val="00CB3CE6"/>
    <w:rsid w:val="00CB3F1A"/>
    <w:rsid w:val="00CB43F8"/>
    <w:rsid w:val="00CB4995"/>
    <w:rsid w:val="00CB4A5A"/>
    <w:rsid w:val="00CB55DD"/>
    <w:rsid w:val="00CB5D8F"/>
    <w:rsid w:val="00CB6692"/>
    <w:rsid w:val="00CB66AF"/>
    <w:rsid w:val="00CB6717"/>
    <w:rsid w:val="00CB6A3C"/>
    <w:rsid w:val="00CC039E"/>
    <w:rsid w:val="00CC0428"/>
    <w:rsid w:val="00CC1B8E"/>
    <w:rsid w:val="00CC2A98"/>
    <w:rsid w:val="00CC491B"/>
    <w:rsid w:val="00CC5624"/>
    <w:rsid w:val="00CC62E2"/>
    <w:rsid w:val="00CC76E3"/>
    <w:rsid w:val="00CC7A13"/>
    <w:rsid w:val="00CD04DD"/>
    <w:rsid w:val="00CD0672"/>
    <w:rsid w:val="00CD096C"/>
    <w:rsid w:val="00CD101C"/>
    <w:rsid w:val="00CD16EB"/>
    <w:rsid w:val="00CD21DE"/>
    <w:rsid w:val="00CD2283"/>
    <w:rsid w:val="00CD271E"/>
    <w:rsid w:val="00CD28BA"/>
    <w:rsid w:val="00CD29C9"/>
    <w:rsid w:val="00CD2BD2"/>
    <w:rsid w:val="00CD3998"/>
    <w:rsid w:val="00CD3D2B"/>
    <w:rsid w:val="00CD4E16"/>
    <w:rsid w:val="00CD6347"/>
    <w:rsid w:val="00CD696F"/>
    <w:rsid w:val="00CD7292"/>
    <w:rsid w:val="00CD79F1"/>
    <w:rsid w:val="00CE07F1"/>
    <w:rsid w:val="00CE19FF"/>
    <w:rsid w:val="00CE2086"/>
    <w:rsid w:val="00CE2B12"/>
    <w:rsid w:val="00CE483C"/>
    <w:rsid w:val="00CE7B69"/>
    <w:rsid w:val="00CF0FC9"/>
    <w:rsid w:val="00CF13E4"/>
    <w:rsid w:val="00CF3338"/>
    <w:rsid w:val="00CF5602"/>
    <w:rsid w:val="00CF672D"/>
    <w:rsid w:val="00CF6EBF"/>
    <w:rsid w:val="00D019C8"/>
    <w:rsid w:val="00D021F9"/>
    <w:rsid w:val="00D0379F"/>
    <w:rsid w:val="00D03852"/>
    <w:rsid w:val="00D038C9"/>
    <w:rsid w:val="00D03BA0"/>
    <w:rsid w:val="00D056EF"/>
    <w:rsid w:val="00D060D3"/>
    <w:rsid w:val="00D06B7F"/>
    <w:rsid w:val="00D07EB4"/>
    <w:rsid w:val="00D07EBE"/>
    <w:rsid w:val="00D108CF"/>
    <w:rsid w:val="00D1139E"/>
    <w:rsid w:val="00D12255"/>
    <w:rsid w:val="00D12530"/>
    <w:rsid w:val="00D12842"/>
    <w:rsid w:val="00D13BCC"/>
    <w:rsid w:val="00D14012"/>
    <w:rsid w:val="00D15277"/>
    <w:rsid w:val="00D1693C"/>
    <w:rsid w:val="00D16BDE"/>
    <w:rsid w:val="00D17F18"/>
    <w:rsid w:val="00D2068D"/>
    <w:rsid w:val="00D2079C"/>
    <w:rsid w:val="00D210DA"/>
    <w:rsid w:val="00D222EB"/>
    <w:rsid w:val="00D22996"/>
    <w:rsid w:val="00D2342E"/>
    <w:rsid w:val="00D24527"/>
    <w:rsid w:val="00D24962"/>
    <w:rsid w:val="00D24A79"/>
    <w:rsid w:val="00D25526"/>
    <w:rsid w:val="00D2554E"/>
    <w:rsid w:val="00D27215"/>
    <w:rsid w:val="00D27D1A"/>
    <w:rsid w:val="00D3066D"/>
    <w:rsid w:val="00D3089D"/>
    <w:rsid w:val="00D309B1"/>
    <w:rsid w:val="00D30D6F"/>
    <w:rsid w:val="00D31F1F"/>
    <w:rsid w:val="00D32269"/>
    <w:rsid w:val="00D33244"/>
    <w:rsid w:val="00D33A56"/>
    <w:rsid w:val="00D35A41"/>
    <w:rsid w:val="00D369EF"/>
    <w:rsid w:val="00D36F23"/>
    <w:rsid w:val="00D3745D"/>
    <w:rsid w:val="00D37B2E"/>
    <w:rsid w:val="00D4081F"/>
    <w:rsid w:val="00D40A0D"/>
    <w:rsid w:val="00D41077"/>
    <w:rsid w:val="00D41D4E"/>
    <w:rsid w:val="00D422FB"/>
    <w:rsid w:val="00D42367"/>
    <w:rsid w:val="00D43647"/>
    <w:rsid w:val="00D44995"/>
    <w:rsid w:val="00D44E0D"/>
    <w:rsid w:val="00D44E25"/>
    <w:rsid w:val="00D47335"/>
    <w:rsid w:val="00D4739C"/>
    <w:rsid w:val="00D47435"/>
    <w:rsid w:val="00D5039D"/>
    <w:rsid w:val="00D505D7"/>
    <w:rsid w:val="00D5111C"/>
    <w:rsid w:val="00D52301"/>
    <w:rsid w:val="00D52511"/>
    <w:rsid w:val="00D525B7"/>
    <w:rsid w:val="00D52A7A"/>
    <w:rsid w:val="00D550F9"/>
    <w:rsid w:val="00D571B1"/>
    <w:rsid w:val="00D57B54"/>
    <w:rsid w:val="00D60A16"/>
    <w:rsid w:val="00D61480"/>
    <w:rsid w:val="00D61814"/>
    <w:rsid w:val="00D61B97"/>
    <w:rsid w:val="00D62B84"/>
    <w:rsid w:val="00D6398E"/>
    <w:rsid w:val="00D64455"/>
    <w:rsid w:val="00D64834"/>
    <w:rsid w:val="00D64AFA"/>
    <w:rsid w:val="00D653A6"/>
    <w:rsid w:val="00D65B6E"/>
    <w:rsid w:val="00D66509"/>
    <w:rsid w:val="00D67594"/>
    <w:rsid w:val="00D675F2"/>
    <w:rsid w:val="00D702A8"/>
    <w:rsid w:val="00D709C2"/>
    <w:rsid w:val="00D71489"/>
    <w:rsid w:val="00D73AD6"/>
    <w:rsid w:val="00D7410A"/>
    <w:rsid w:val="00D74336"/>
    <w:rsid w:val="00D75170"/>
    <w:rsid w:val="00D7530B"/>
    <w:rsid w:val="00D76768"/>
    <w:rsid w:val="00D77705"/>
    <w:rsid w:val="00D77992"/>
    <w:rsid w:val="00D77AA0"/>
    <w:rsid w:val="00D77C59"/>
    <w:rsid w:val="00D77C7B"/>
    <w:rsid w:val="00D77E69"/>
    <w:rsid w:val="00D80149"/>
    <w:rsid w:val="00D81020"/>
    <w:rsid w:val="00D81378"/>
    <w:rsid w:val="00D82A02"/>
    <w:rsid w:val="00D83686"/>
    <w:rsid w:val="00D84603"/>
    <w:rsid w:val="00D84931"/>
    <w:rsid w:val="00D851C3"/>
    <w:rsid w:val="00D85D52"/>
    <w:rsid w:val="00D86CC4"/>
    <w:rsid w:val="00D871C7"/>
    <w:rsid w:val="00D9070D"/>
    <w:rsid w:val="00D90D87"/>
    <w:rsid w:val="00D9124B"/>
    <w:rsid w:val="00D91C65"/>
    <w:rsid w:val="00D92B3F"/>
    <w:rsid w:val="00D93195"/>
    <w:rsid w:val="00D93856"/>
    <w:rsid w:val="00D93B1B"/>
    <w:rsid w:val="00D93F4E"/>
    <w:rsid w:val="00D970C4"/>
    <w:rsid w:val="00D97FD7"/>
    <w:rsid w:val="00DA196D"/>
    <w:rsid w:val="00DA26D2"/>
    <w:rsid w:val="00DA3375"/>
    <w:rsid w:val="00DA7061"/>
    <w:rsid w:val="00DA7228"/>
    <w:rsid w:val="00DA7464"/>
    <w:rsid w:val="00DA7510"/>
    <w:rsid w:val="00DB045E"/>
    <w:rsid w:val="00DB0F81"/>
    <w:rsid w:val="00DB1060"/>
    <w:rsid w:val="00DB19CE"/>
    <w:rsid w:val="00DB1E6D"/>
    <w:rsid w:val="00DB78FD"/>
    <w:rsid w:val="00DC1C2A"/>
    <w:rsid w:val="00DC1F1D"/>
    <w:rsid w:val="00DC20F6"/>
    <w:rsid w:val="00DC27C9"/>
    <w:rsid w:val="00DC2B7F"/>
    <w:rsid w:val="00DC30FF"/>
    <w:rsid w:val="00DC3942"/>
    <w:rsid w:val="00DC3962"/>
    <w:rsid w:val="00DC3FA2"/>
    <w:rsid w:val="00DC450F"/>
    <w:rsid w:val="00DC5178"/>
    <w:rsid w:val="00DC5431"/>
    <w:rsid w:val="00DC5B41"/>
    <w:rsid w:val="00DC61C9"/>
    <w:rsid w:val="00DC79A3"/>
    <w:rsid w:val="00DC7C44"/>
    <w:rsid w:val="00DD0968"/>
    <w:rsid w:val="00DD19EB"/>
    <w:rsid w:val="00DD278E"/>
    <w:rsid w:val="00DD2F72"/>
    <w:rsid w:val="00DD3A74"/>
    <w:rsid w:val="00DD3ACD"/>
    <w:rsid w:val="00DD41BF"/>
    <w:rsid w:val="00DD57D0"/>
    <w:rsid w:val="00DD6C92"/>
    <w:rsid w:val="00DD6E0F"/>
    <w:rsid w:val="00DD6E99"/>
    <w:rsid w:val="00DD6FA2"/>
    <w:rsid w:val="00DD75E9"/>
    <w:rsid w:val="00DD7A40"/>
    <w:rsid w:val="00DE314D"/>
    <w:rsid w:val="00DE3310"/>
    <w:rsid w:val="00DE3654"/>
    <w:rsid w:val="00DE4735"/>
    <w:rsid w:val="00DE56B0"/>
    <w:rsid w:val="00DE5DD5"/>
    <w:rsid w:val="00DE687D"/>
    <w:rsid w:val="00DF09F6"/>
    <w:rsid w:val="00DF1510"/>
    <w:rsid w:val="00DF2C91"/>
    <w:rsid w:val="00DF36F5"/>
    <w:rsid w:val="00DF41C0"/>
    <w:rsid w:val="00DF4764"/>
    <w:rsid w:val="00DF51D2"/>
    <w:rsid w:val="00DF5B5D"/>
    <w:rsid w:val="00DF6FD3"/>
    <w:rsid w:val="00E03D84"/>
    <w:rsid w:val="00E03EAF"/>
    <w:rsid w:val="00E05322"/>
    <w:rsid w:val="00E06D3D"/>
    <w:rsid w:val="00E0745E"/>
    <w:rsid w:val="00E106AE"/>
    <w:rsid w:val="00E10703"/>
    <w:rsid w:val="00E107C2"/>
    <w:rsid w:val="00E116AC"/>
    <w:rsid w:val="00E11CAF"/>
    <w:rsid w:val="00E13E3B"/>
    <w:rsid w:val="00E148D4"/>
    <w:rsid w:val="00E14A18"/>
    <w:rsid w:val="00E14A85"/>
    <w:rsid w:val="00E15E36"/>
    <w:rsid w:val="00E15FC5"/>
    <w:rsid w:val="00E16157"/>
    <w:rsid w:val="00E162C5"/>
    <w:rsid w:val="00E165F7"/>
    <w:rsid w:val="00E1688D"/>
    <w:rsid w:val="00E202B3"/>
    <w:rsid w:val="00E21488"/>
    <w:rsid w:val="00E221F2"/>
    <w:rsid w:val="00E2294A"/>
    <w:rsid w:val="00E22983"/>
    <w:rsid w:val="00E235F6"/>
    <w:rsid w:val="00E242F2"/>
    <w:rsid w:val="00E2486B"/>
    <w:rsid w:val="00E24A2B"/>
    <w:rsid w:val="00E24A5A"/>
    <w:rsid w:val="00E24B5F"/>
    <w:rsid w:val="00E25FE9"/>
    <w:rsid w:val="00E26FBB"/>
    <w:rsid w:val="00E279E1"/>
    <w:rsid w:val="00E3060F"/>
    <w:rsid w:val="00E3081D"/>
    <w:rsid w:val="00E30A67"/>
    <w:rsid w:val="00E31539"/>
    <w:rsid w:val="00E32032"/>
    <w:rsid w:val="00E33074"/>
    <w:rsid w:val="00E334E3"/>
    <w:rsid w:val="00E33EBF"/>
    <w:rsid w:val="00E348A1"/>
    <w:rsid w:val="00E355BA"/>
    <w:rsid w:val="00E36FF6"/>
    <w:rsid w:val="00E40AB3"/>
    <w:rsid w:val="00E40BBE"/>
    <w:rsid w:val="00E435E9"/>
    <w:rsid w:val="00E43F4F"/>
    <w:rsid w:val="00E44268"/>
    <w:rsid w:val="00E44BC7"/>
    <w:rsid w:val="00E45D20"/>
    <w:rsid w:val="00E47123"/>
    <w:rsid w:val="00E473DD"/>
    <w:rsid w:val="00E557CB"/>
    <w:rsid w:val="00E558F9"/>
    <w:rsid w:val="00E566B0"/>
    <w:rsid w:val="00E56808"/>
    <w:rsid w:val="00E56D39"/>
    <w:rsid w:val="00E578F0"/>
    <w:rsid w:val="00E60A30"/>
    <w:rsid w:val="00E60EBA"/>
    <w:rsid w:val="00E617A0"/>
    <w:rsid w:val="00E6198A"/>
    <w:rsid w:val="00E61A5B"/>
    <w:rsid w:val="00E61DC0"/>
    <w:rsid w:val="00E62C79"/>
    <w:rsid w:val="00E6310A"/>
    <w:rsid w:val="00E63676"/>
    <w:rsid w:val="00E647EF"/>
    <w:rsid w:val="00E65218"/>
    <w:rsid w:val="00E65463"/>
    <w:rsid w:val="00E663AD"/>
    <w:rsid w:val="00E671B1"/>
    <w:rsid w:val="00E679B9"/>
    <w:rsid w:val="00E67C36"/>
    <w:rsid w:val="00E700E8"/>
    <w:rsid w:val="00E70510"/>
    <w:rsid w:val="00E709B2"/>
    <w:rsid w:val="00E70FEC"/>
    <w:rsid w:val="00E73EF1"/>
    <w:rsid w:val="00E743F1"/>
    <w:rsid w:val="00E7507B"/>
    <w:rsid w:val="00E75E06"/>
    <w:rsid w:val="00E77B54"/>
    <w:rsid w:val="00E80A48"/>
    <w:rsid w:val="00E8253A"/>
    <w:rsid w:val="00E8268D"/>
    <w:rsid w:val="00E82FE0"/>
    <w:rsid w:val="00E82FF1"/>
    <w:rsid w:val="00E83862"/>
    <w:rsid w:val="00E83A9F"/>
    <w:rsid w:val="00E83F30"/>
    <w:rsid w:val="00E84865"/>
    <w:rsid w:val="00E84CBE"/>
    <w:rsid w:val="00E8599E"/>
    <w:rsid w:val="00E9226A"/>
    <w:rsid w:val="00E93161"/>
    <w:rsid w:val="00E941F3"/>
    <w:rsid w:val="00E94345"/>
    <w:rsid w:val="00E94A5A"/>
    <w:rsid w:val="00E959CA"/>
    <w:rsid w:val="00E95A21"/>
    <w:rsid w:val="00E968F2"/>
    <w:rsid w:val="00E96C75"/>
    <w:rsid w:val="00EA06A4"/>
    <w:rsid w:val="00EA0E3F"/>
    <w:rsid w:val="00EA189C"/>
    <w:rsid w:val="00EA243E"/>
    <w:rsid w:val="00EA4D03"/>
    <w:rsid w:val="00EA4EC1"/>
    <w:rsid w:val="00EA522D"/>
    <w:rsid w:val="00EA6104"/>
    <w:rsid w:val="00EA74EE"/>
    <w:rsid w:val="00EA7893"/>
    <w:rsid w:val="00EB04C6"/>
    <w:rsid w:val="00EB0C20"/>
    <w:rsid w:val="00EB22E5"/>
    <w:rsid w:val="00EB23BC"/>
    <w:rsid w:val="00EB2592"/>
    <w:rsid w:val="00EB319C"/>
    <w:rsid w:val="00EB3963"/>
    <w:rsid w:val="00EB3C05"/>
    <w:rsid w:val="00EB3C9B"/>
    <w:rsid w:val="00EB4072"/>
    <w:rsid w:val="00EB4D58"/>
    <w:rsid w:val="00EB547C"/>
    <w:rsid w:val="00EB5C83"/>
    <w:rsid w:val="00EB64A8"/>
    <w:rsid w:val="00EB73D0"/>
    <w:rsid w:val="00EC0B7F"/>
    <w:rsid w:val="00EC1AFE"/>
    <w:rsid w:val="00EC21C9"/>
    <w:rsid w:val="00EC2DA0"/>
    <w:rsid w:val="00EC309D"/>
    <w:rsid w:val="00EC3365"/>
    <w:rsid w:val="00EC41A3"/>
    <w:rsid w:val="00EC4532"/>
    <w:rsid w:val="00EC6571"/>
    <w:rsid w:val="00EC7870"/>
    <w:rsid w:val="00EC79BD"/>
    <w:rsid w:val="00EC7C82"/>
    <w:rsid w:val="00EC7E4D"/>
    <w:rsid w:val="00ED14C6"/>
    <w:rsid w:val="00ED1770"/>
    <w:rsid w:val="00ED17FB"/>
    <w:rsid w:val="00ED37CA"/>
    <w:rsid w:val="00ED40B0"/>
    <w:rsid w:val="00ED4D62"/>
    <w:rsid w:val="00ED4EDC"/>
    <w:rsid w:val="00ED51CC"/>
    <w:rsid w:val="00ED5972"/>
    <w:rsid w:val="00ED74A9"/>
    <w:rsid w:val="00EE13E4"/>
    <w:rsid w:val="00EE19D6"/>
    <w:rsid w:val="00EE1C57"/>
    <w:rsid w:val="00EE239F"/>
    <w:rsid w:val="00EE2B89"/>
    <w:rsid w:val="00EE33F9"/>
    <w:rsid w:val="00EE398F"/>
    <w:rsid w:val="00EE4005"/>
    <w:rsid w:val="00EE4F29"/>
    <w:rsid w:val="00EE5BDB"/>
    <w:rsid w:val="00EE7029"/>
    <w:rsid w:val="00EF1B70"/>
    <w:rsid w:val="00EF25BE"/>
    <w:rsid w:val="00EF2A5D"/>
    <w:rsid w:val="00EF3845"/>
    <w:rsid w:val="00EF3E06"/>
    <w:rsid w:val="00EF5B97"/>
    <w:rsid w:val="00EF62C7"/>
    <w:rsid w:val="00F00224"/>
    <w:rsid w:val="00F02F10"/>
    <w:rsid w:val="00F045DD"/>
    <w:rsid w:val="00F0494F"/>
    <w:rsid w:val="00F049C7"/>
    <w:rsid w:val="00F04BF2"/>
    <w:rsid w:val="00F07533"/>
    <w:rsid w:val="00F07726"/>
    <w:rsid w:val="00F0780D"/>
    <w:rsid w:val="00F10264"/>
    <w:rsid w:val="00F108CC"/>
    <w:rsid w:val="00F12730"/>
    <w:rsid w:val="00F12EA7"/>
    <w:rsid w:val="00F1369A"/>
    <w:rsid w:val="00F143EA"/>
    <w:rsid w:val="00F14F45"/>
    <w:rsid w:val="00F15B4E"/>
    <w:rsid w:val="00F16346"/>
    <w:rsid w:val="00F16770"/>
    <w:rsid w:val="00F16B85"/>
    <w:rsid w:val="00F174E2"/>
    <w:rsid w:val="00F20F2D"/>
    <w:rsid w:val="00F21289"/>
    <w:rsid w:val="00F21337"/>
    <w:rsid w:val="00F2208B"/>
    <w:rsid w:val="00F22E56"/>
    <w:rsid w:val="00F23123"/>
    <w:rsid w:val="00F248DF"/>
    <w:rsid w:val="00F25314"/>
    <w:rsid w:val="00F25844"/>
    <w:rsid w:val="00F25AFB"/>
    <w:rsid w:val="00F262D5"/>
    <w:rsid w:val="00F264D9"/>
    <w:rsid w:val="00F3074A"/>
    <w:rsid w:val="00F308C5"/>
    <w:rsid w:val="00F3204A"/>
    <w:rsid w:val="00F321F0"/>
    <w:rsid w:val="00F322F4"/>
    <w:rsid w:val="00F324AA"/>
    <w:rsid w:val="00F32574"/>
    <w:rsid w:val="00F32FE8"/>
    <w:rsid w:val="00F3413A"/>
    <w:rsid w:val="00F35408"/>
    <w:rsid w:val="00F35456"/>
    <w:rsid w:val="00F357B8"/>
    <w:rsid w:val="00F36FC7"/>
    <w:rsid w:val="00F3773A"/>
    <w:rsid w:val="00F4149F"/>
    <w:rsid w:val="00F4160E"/>
    <w:rsid w:val="00F43528"/>
    <w:rsid w:val="00F435FB"/>
    <w:rsid w:val="00F4461A"/>
    <w:rsid w:val="00F44D6B"/>
    <w:rsid w:val="00F4687E"/>
    <w:rsid w:val="00F47868"/>
    <w:rsid w:val="00F47DB5"/>
    <w:rsid w:val="00F503B4"/>
    <w:rsid w:val="00F50D49"/>
    <w:rsid w:val="00F50F2D"/>
    <w:rsid w:val="00F51FD2"/>
    <w:rsid w:val="00F549B9"/>
    <w:rsid w:val="00F56209"/>
    <w:rsid w:val="00F56973"/>
    <w:rsid w:val="00F56FCD"/>
    <w:rsid w:val="00F56FD6"/>
    <w:rsid w:val="00F57704"/>
    <w:rsid w:val="00F6096B"/>
    <w:rsid w:val="00F61240"/>
    <w:rsid w:val="00F622BE"/>
    <w:rsid w:val="00F62A9E"/>
    <w:rsid w:val="00F62D5C"/>
    <w:rsid w:val="00F64AE8"/>
    <w:rsid w:val="00F65F38"/>
    <w:rsid w:val="00F66A29"/>
    <w:rsid w:val="00F67623"/>
    <w:rsid w:val="00F67DF7"/>
    <w:rsid w:val="00F701B3"/>
    <w:rsid w:val="00F706A7"/>
    <w:rsid w:val="00F71952"/>
    <w:rsid w:val="00F71955"/>
    <w:rsid w:val="00F719CE"/>
    <w:rsid w:val="00F72200"/>
    <w:rsid w:val="00F72A3E"/>
    <w:rsid w:val="00F75485"/>
    <w:rsid w:val="00F761CE"/>
    <w:rsid w:val="00F76DB6"/>
    <w:rsid w:val="00F76FDE"/>
    <w:rsid w:val="00F80675"/>
    <w:rsid w:val="00F815EF"/>
    <w:rsid w:val="00F81808"/>
    <w:rsid w:val="00F820AB"/>
    <w:rsid w:val="00F82B21"/>
    <w:rsid w:val="00F833EC"/>
    <w:rsid w:val="00F83C2F"/>
    <w:rsid w:val="00F83F11"/>
    <w:rsid w:val="00F8473B"/>
    <w:rsid w:val="00F84E97"/>
    <w:rsid w:val="00F85371"/>
    <w:rsid w:val="00F8593B"/>
    <w:rsid w:val="00F861EA"/>
    <w:rsid w:val="00F86938"/>
    <w:rsid w:val="00F90020"/>
    <w:rsid w:val="00F90E90"/>
    <w:rsid w:val="00F90F74"/>
    <w:rsid w:val="00F91B4E"/>
    <w:rsid w:val="00F92971"/>
    <w:rsid w:val="00F93861"/>
    <w:rsid w:val="00F93B71"/>
    <w:rsid w:val="00F94340"/>
    <w:rsid w:val="00F94DD2"/>
    <w:rsid w:val="00F9565D"/>
    <w:rsid w:val="00F96B29"/>
    <w:rsid w:val="00F96C04"/>
    <w:rsid w:val="00FA08E3"/>
    <w:rsid w:val="00FA0B85"/>
    <w:rsid w:val="00FA0F1E"/>
    <w:rsid w:val="00FA117F"/>
    <w:rsid w:val="00FA1219"/>
    <w:rsid w:val="00FA155D"/>
    <w:rsid w:val="00FA1C0B"/>
    <w:rsid w:val="00FA1C73"/>
    <w:rsid w:val="00FA1D07"/>
    <w:rsid w:val="00FA1D74"/>
    <w:rsid w:val="00FA228D"/>
    <w:rsid w:val="00FA24C2"/>
    <w:rsid w:val="00FA31D1"/>
    <w:rsid w:val="00FA3A09"/>
    <w:rsid w:val="00FA44BF"/>
    <w:rsid w:val="00FA46B4"/>
    <w:rsid w:val="00FA67D9"/>
    <w:rsid w:val="00FA69EB"/>
    <w:rsid w:val="00FA7552"/>
    <w:rsid w:val="00FB1560"/>
    <w:rsid w:val="00FB1725"/>
    <w:rsid w:val="00FB1A38"/>
    <w:rsid w:val="00FB29C3"/>
    <w:rsid w:val="00FB3255"/>
    <w:rsid w:val="00FB480B"/>
    <w:rsid w:val="00FB4AF2"/>
    <w:rsid w:val="00FB5C52"/>
    <w:rsid w:val="00FB66B1"/>
    <w:rsid w:val="00FB7BB9"/>
    <w:rsid w:val="00FC04FD"/>
    <w:rsid w:val="00FC1376"/>
    <w:rsid w:val="00FC1816"/>
    <w:rsid w:val="00FC1AED"/>
    <w:rsid w:val="00FC2F49"/>
    <w:rsid w:val="00FC3387"/>
    <w:rsid w:val="00FC37E8"/>
    <w:rsid w:val="00FC3F4E"/>
    <w:rsid w:val="00FC4338"/>
    <w:rsid w:val="00FC458E"/>
    <w:rsid w:val="00FC5657"/>
    <w:rsid w:val="00FC694A"/>
    <w:rsid w:val="00FC6EA4"/>
    <w:rsid w:val="00FC766F"/>
    <w:rsid w:val="00FD2C50"/>
    <w:rsid w:val="00FD38D2"/>
    <w:rsid w:val="00FD4E4E"/>
    <w:rsid w:val="00FD57DC"/>
    <w:rsid w:val="00FD5A44"/>
    <w:rsid w:val="00FD5AE4"/>
    <w:rsid w:val="00FD6CC5"/>
    <w:rsid w:val="00FD715D"/>
    <w:rsid w:val="00FE078E"/>
    <w:rsid w:val="00FE07CF"/>
    <w:rsid w:val="00FE1C61"/>
    <w:rsid w:val="00FE250C"/>
    <w:rsid w:val="00FE4CD6"/>
    <w:rsid w:val="00FE5EE4"/>
    <w:rsid w:val="00FF22BD"/>
    <w:rsid w:val="00FF2525"/>
    <w:rsid w:val="00FF396A"/>
    <w:rsid w:val="00FF492B"/>
    <w:rsid w:val="00FF55A4"/>
    <w:rsid w:val="00FF6A3E"/>
    <w:rsid w:val="00FF6D59"/>
    <w:rsid w:val="00FF776B"/>
    <w:rsid w:val="00FF7E4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iPriority="0"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iPriority="0" w:unhideWhenUsed="1"/>
    <w:lsdException w:name="line number" w:locked="1" w:unhideWhenUsed="1"/>
    <w:lsdException w:name="page number" w:locked="1" w:unhideWhenUsed="1"/>
    <w:lsdException w:name="endnote reference" w:locked="1" w:unhideWhenUsed="1"/>
    <w:lsdException w:name="endnote text" w:locked="1" w:uiPriority="0"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1A91"/>
    <w:rPr>
      <w:sz w:val="24"/>
      <w:szCs w:val="24"/>
    </w:rPr>
  </w:style>
  <w:style w:type="paragraph" w:styleId="Heading1">
    <w:name w:val="heading 1"/>
    <w:basedOn w:val="Normal"/>
    <w:next w:val="BodyText"/>
    <w:link w:val="Heading1Char"/>
    <w:uiPriority w:val="99"/>
    <w:qFormat/>
    <w:rsid w:val="00841A91"/>
    <w:pPr>
      <w:keepNext/>
      <w:tabs>
        <w:tab w:val="left" w:pos="839"/>
      </w:tabs>
      <w:spacing w:before="360" w:after="200"/>
      <w:ind w:left="839" w:hanging="839"/>
      <w:outlineLvl w:val="0"/>
    </w:pPr>
    <w:rPr>
      <w:rFonts w:ascii="Times New Roman Bold" w:hAnsi="Times New Roman Bold" w:cs="Times New Roman Bold"/>
      <w:b/>
      <w:bCs/>
      <w:caps/>
      <w:lang w:val="en-GB"/>
    </w:rPr>
  </w:style>
  <w:style w:type="paragraph" w:styleId="Heading2">
    <w:name w:val="heading 2"/>
    <w:basedOn w:val="Heading1"/>
    <w:next w:val="BodyText"/>
    <w:link w:val="Heading2Char"/>
    <w:uiPriority w:val="99"/>
    <w:qFormat/>
    <w:rsid w:val="00841A91"/>
    <w:pPr>
      <w:numPr>
        <w:ilvl w:val="1"/>
      </w:numPr>
      <w:tabs>
        <w:tab w:val="num" w:pos="1077"/>
        <w:tab w:val="num" w:pos="1440"/>
      </w:tabs>
      <w:ind w:left="1077" w:hanging="1077"/>
      <w:jc w:val="both"/>
      <w:outlineLvl w:val="1"/>
    </w:pPr>
    <w:rPr>
      <w:caps w:val="0"/>
    </w:rPr>
  </w:style>
  <w:style w:type="paragraph" w:styleId="Heading3">
    <w:name w:val="heading 3"/>
    <w:basedOn w:val="Heading2"/>
    <w:next w:val="BodyText"/>
    <w:link w:val="Heading3Char"/>
    <w:uiPriority w:val="99"/>
    <w:qFormat/>
    <w:rsid w:val="00841A91"/>
    <w:pPr>
      <w:numPr>
        <w:ilvl w:val="2"/>
      </w:numPr>
      <w:tabs>
        <w:tab w:val="num" w:pos="1077"/>
        <w:tab w:val="num" w:pos="2160"/>
      </w:tabs>
      <w:ind w:left="2160" w:hanging="180"/>
      <w:jc w:val="left"/>
      <w:outlineLvl w:val="2"/>
    </w:pPr>
  </w:style>
  <w:style w:type="paragraph" w:styleId="Heading4">
    <w:name w:val="heading 4"/>
    <w:basedOn w:val="Heading3"/>
    <w:next w:val="BodyText"/>
    <w:link w:val="Heading4Char"/>
    <w:uiPriority w:val="99"/>
    <w:qFormat/>
    <w:rsid w:val="00841A91"/>
    <w:pPr>
      <w:numPr>
        <w:ilvl w:val="3"/>
      </w:numPr>
      <w:tabs>
        <w:tab w:val="num" w:pos="1077"/>
        <w:tab w:val="num" w:pos="2880"/>
      </w:tabs>
      <w:ind w:left="2880" w:hanging="180"/>
      <w:outlineLvl w:val="3"/>
    </w:pPr>
  </w:style>
  <w:style w:type="paragraph" w:styleId="Heading5">
    <w:name w:val="heading 5"/>
    <w:basedOn w:val="Heading4"/>
    <w:next w:val="BodyText"/>
    <w:link w:val="Heading5Char"/>
    <w:uiPriority w:val="99"/>
    <w:qFormat/>
    <w:rsid w:val="00841A91"/>
    <w:pPr>
      <w:numPr>
        <w:ilvl w:val="4"/>
      </w:numPr>
      <w:tabs>
        <w:tab w:val="left" w:pos="1077"/>
        <w:tab w:val="num" w:pos="1843"/>
        <w:tab w:val="num" w:pos="3600"/>
      </w:tabs>
      <w:ind w:left="3600" w:hanging="180"/>
      <w:outlineLvl w:val="4"/>
    </w:pPr>
  </w:style>
  <w:style w:type="paragraph" w:styleId="Heading6">
    <w:name w:val="heading 6"/>
    <w:basedOn w:val="Normal"/>
    <w:next w:val="BodyText"/>
    <w:link w:val="Heading6Char"/>
    <w:uiPriority w:val="99"/>
    <w:qFormat/>
    <w:rsid w:val="00841A91"/>
    <w:pPr>
      <w:keepNext/>
      <w:spacing w:after="200"/>
      <w:outlineLvl w:val="5"/>
    </w:pPr>
    <w:rPr>
      <w:rFonts w:ascii="Times New Roman Bold" w:hAnsi="Times New Roman Bold" w:cs="Times New Roman Bold"/>
      <w:b/>
      <w:bCs/>
      <w:caps/>
      <w:lang w:val="en-GB"/>
    </w:rPr>
  </w:style>
  <w:style w:type="paragraph" w:styleId="Heading7">
    <w:name w:val="heading 7"/>
    <w:basedOn w:val="Normal"/>
    <w:next w:val="BodyText"/>
    <w:link w:val="Heading7Char"/>
    <w:uiPriority w:val="99"/>
    <w:qFormat/>
    <w:rsid w:val="00841A91"/>
    <w:pPr>
      <w:keepNext/>
      <w:spacing w:after="180"/>
      <w:outlineLvl w:val="6"/>
    </w:pPr>
    <w:rPr>
      <w:rFonts w:ascii="Times New Roman Bold" w:hAnsi="Times New Roman Bold" w:cs="Times New Roman Bold"/>
      <w:b/>
      <w:bCs/>
      <w:lang w:val="en-GB"/>
    </w:rPr>
  </w:style>
  <w:style w:type="paragraph" w:styleId="Heading8">
    <w:name w:val="heading 8"/>
    <w:basedOn w:val="Normal"/>
    <w:next w:val="BodyText"/>
    <w:link w:val="Heading8Char"/>
    <w:uiPriority w:val="99"/>
    <w:qFormat/>
    <w:rsid w:val="00841A91"/>
    <w:pPr>
      <w:keepNext/>
      <w:spacing w:after="180"/>
      <w:outlineLvl w:val="7"/>
    </w:pPr>
    <w:rPr>
      <w:u w:val="single"/>
      <w:lang w:val="en-GB"/>
    </w:rPr>
  </w:style>
  <w:style w:type="paragraph" w:styleId="Heading9">
    <w:name w:val="heading 9"/>
    <w:basedOn w:val="Normal"/>
    <w:next w:val="BodyText"/>
    <w:link w:val="Heading9Char"/>
    <w:uiPriority w:val="99"/>
    <w:qFormat/>
    <w:rsid w:val="00841A91"/>
    <w:pPr>
      <w:keepNext/>
      <w:spacing w:after="180"/>
      <w:outlineLvl w:val="8"/>
    </w:pPr>
    <w:rPr>
      <w:i/>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4680"/>
    <w:rPr>
      <w:rFonts w:ascii="Times New Roman Bold" w:hAnsi="Times New Roman Bold" w:cs="Times New Roman Bold"/>
      <w:b/>
      <w:bCs/>
      <w:caps/>
      <w:sz w:val="24"/>
      <w:szCs w:val="24"/>
      <w:lang w:val="en-GB" w:eastAsia="en-US"/>
    </w:rPr>
  </w:style>
  <w:style w:type="character" w:customStyle="1" w:styleId="Heading2Char">
    <w:name w:val="Heading 2 Char"/>
    <w:link w:val="Heading2"/>
    <w:uiPriority w:val="99"/>
    <w:locked/>
    <w:rsid w:val="009C4680"/>
    <w:rPr>
      <w:rFonts w:ascii="Times New Roman Bold" w:hAnsi="Times New Roman Bold" w:cs="Times New Roman Bold"/>
      <w:b/>
      <w:bCs/>
      <w:sz w:val="24"/>
      <w:szCs w:val="24"/>
      <w:lang w:val="en-GB" w:eastAsia="en-US" w:bidi="ar-SA"/>
    </w:rPr>
  </w:style>
  <w:style w:type="character" w:customStyle="1" w:styleId="Heading3Char">
    <w:name w:val="Heading 3 Char"/>
    <w:link w:val="Heading3"/>
    <w:uiPriority w:val="99"/>
    <w:locked/>
    <w:rsid w:val="009C4680"/>
    <w:rPr>
      <w:rFonts w:ascii="Times New Roman Bold" w:hAnsi="Times New Roman Bold" w:cs="Times New Roman Bold"/>
      <w:b/>
      <w:bCs/>
      <w:sz w:val="24"/>
      <w:szCs w:val="24"/>
      <w:lang w:val="en-GB" w:eastAsia="en-US" w:bidi="ar-SA"/>
    </w:rPr>
  </w:style>
  <w:style w:type="character" w:customStyle="1" w:styleId="Heading4Char">
    <w:name w:val="Heading 4 Char"/>
    <w:link w:val="Heading4"/>
    <w:uiPriority w:val="99"/>
    <w:locked/>
    <w:rsid w:val="009C4680"/>
    <w:rPr>
      <w:rFonts w:ascii="Times New Roman Bold" w:hAnsi="Times New Roman Bold" w:cs="Times New Roman Bold"/>
      <w:b/>
      <w:bCs/>
      <w:sz w:val="24"/>
      <w:szCs w:val="24"/>
      <w:lang w:val="en-GB" w:eastAsia="en-US" w:bidi="ar-SA"/>
    </w:rPr>
  </w:style>
  <w:style w:type="character" w:customStyle="1" w:styleId="Heading5Char">
    <w:name w:val="Heading 5 Char"/>
    <w:link w:val="Heading5"/>
    <w:uiPriority w:val="99"/>
    <w:locked/>
    <w:rsid w:val="009C4680"/>
    <w:rPr>
      <w:rFonts w:ascii="Times New Roman Bold" w:hAnsi="Times New Roman Bold" w:cs="Times New Roman Bold"/>
      <w:b/>
      <w:bCs/>
      <w:sz w:val="24"/>
      <w:szCs w:val="24"/>
      <w:lang w:val="en-GB" w:eastAsia="en-US" w:bidi="ar-SA"/>
    </w:rPr>
  </w:style>
  <w:style w:type="character" w:customStyle="1" w:styleId="Heading6Char">
    <w:name w:val="Heading 6 Char"/>
    <w:link w:val="Heading6"/>
    <w:uiPriority w:val="99"/>
    <w:locked/>
    <w:rsid w:val="009C4680"/>
    <w:rPr>
      <w:rFonts w:ascii="Times New Roman Bold" w:hAnsi="Times New Roman Bold" w:cs="Times New Roman Bold"/>
      <w:b/>
      <w:bCs/>
      <w:caps/>
      <w:sz w:val="24"/>
      <w:szCs w:val="24"/>
      <w:lang w:val="en-GB" w:eastAsia="en-US"/>
    </w:rPr>
  </w:style>
  <w:style w:type="character" w:customStyle="1" w:styleId="Heading7Char">
    <w:name w:val="Heading 7 Char"/>
    <w:link w:val="Heading7"/>
    <w:uiPriority w:val="99"/>
    <w:locked/>
    <w:rsid w:val="009C4680"/>
    <w:rPr>
      <w:rFonts w:ascii="Times New Roman Bold" w:hAnsi="Times New Roman Bold" w:cs="Times New Roman Bold"/>
      <w:b/>
      <w:bCs/>
      <w:sz w:val="24"/>
      <w:szCs w:val="24"/>
      <w:lang w:val="en-GB" w:eastAsia="en-US"/>
    </w:rPr>
  </w:style>
  <w:style w:type="character" w:customStyle="1" w:styleId="Heading8Char">
    <w:name w:val="Heading 8 Char"/>
    <w:link w:val="Heading8"/>
    <w:uiPriority w:val="99"/>
    <w:locked/>
    <w:rsid w:val="009C4680"/>
    <w:rPr>
      <w:rFonts w:cs="Times New Roman"/>
      <w:sz w:val="24"/>
      <w:szCs w:val="24"/>
      <w:u w:val="single"/>
      <w:lang w:val="en-GB" w:eastAsia="en-US"/>
    </w:rPr>
  </w:style>
  <w:style w:type="character" w:customStyle="1" w:styleId="Heading9Char">
    <w:name w:val="Heading 9 Char"/>
    <w:link w:val="Heading9"/>
    <w:uiPriority w:val="99"/>
    <w:locked/>
    <w:rsid w:val="009C4680"/>
    <w:rPr>
      <w:rFonts w:cs="Times New Roman"/>
      <w:i/>
      <w:iCs/>
      <w:sz w:val="24"/>
      <w:szCs w:val="24"/>
      <w:lang w:val="en-GB" w:eastAsia="en-US"/>
    </w:rPr>
  </w:style>
  <w:style w:type="paragraph" w:styleId="BodyText">
    <w:name w:val="Body Text"/>
    <w:aliases w:val="Body Text Char,Char Char Char,Char,Char Char Char Cha Char Char,Char Char Char Cha Char Char Char C,Char Char Char Cha,Char Char Char Cha Char,Char Char Char Cha Char Char Char C Char Char Char"/>
    <w:basedOn w:val="Normal"/>
    <w:link w:val="BodyTextChar2"/>
    <w:uiPriority w:val="99"/>
    <w:rsid w:val="00841A91"/>
    <w:pPr>
      <w:spacing w:after="180"/>
      <w:jc w:val="both"/>
    </w:pPr>
    <w:rPr>
      <w:szCs w:val="20"/>
      <w:lang w:val="en-GB"/>
    </w:rPr>
  </w:style>
  <w:style w:type="character" w:customStyle="1" w:styleId="BodyTextChar1">
    <w:name w:val="Body Text Char1"/>
    <w:aliases w:val="Body Text Char Char,Char Char Char Char,Char Char,Char Char Char Cha Char Char Char,Char Char Char Cha Char Char Char C Char,Char Char Char Cha Char1,Char Char Char Cha Char Char1,Char Char Char Cha Char Char Char C Char Char Char Char"/>
    <w:uiPriority w:val="99"/>
    <w:semiHidden/>
    <w:locked/>
    <w:rsid w:val="005C6C56"/>
    <w:rPr>
      <w:rFonts w:cs="Times New Roman"/>
      <w:sz w:val="24"/>
      <w:szCs w:val="24"/>
    </w:rPr>
  </w:style>
  <w:style w:type="character" w:customStyle="1" w:styleId="BodyTextChar2">
    <w:name w:val="Body Text Char2"/>
    <w:aliases w:val="Body Text Char Char1,Char Char Char Char1,Char Char1,Char Char Char Cha Char Char Char2,Char Char Char Cha Char Char Char C Char2,Char Char Char Cha Char2,Char Char Char Cha Char Char2"/>
    <w:link w:val="BodyText"/>
    <w:uiPriority w:val="99"/>
    <w:locked/>
    <w:rsid w:val="00934B66"/>
    <w:rPr>
      <w:sz w:val="24"/>
      <w:lang w:val="en-GB" w:eastAsia="en-US"/>
    </w:rPr>
  </w:style>
  <w:style w:type="paragraph" w:customStyle="1" w:styleId="Tabletitle">
    <w:name w:val="Table title"/>
    <w:basedOn w:val="Normal"/>
    <w:next w:val="Normal"/>
    <w:uiPriority w:val="99"/>
    <w:rsid w:val="00841A91"/>
  </w:style>
  <w:style w:type="paragraph" w:customStyle="1" w:styleId="Tabletext">
    <w:name w:val="Table text"/>
    <w:link w:val="TabletextChar"/>
    <w:rsid w:val="00841A91"/>
    <w:pPr>
      <w:keepNext/>
      <w:keepLines/>
      <w:spacing w:before="54" w:after="54"/>
    </w:pPr>
    <w:rPr>
      <w:lang w:eastAsia="da-DK"/>
    </w:rPr>
  </w:style>
  <w:style w:type="paragraph" w:styleId="TOC6">
    <w:name w:val="toc 6"/>
    <w:basedOn w:val="TOC1"/>
    <w:next w:val="Normal"/>
    <w:autoRedefine/>
    <w:uiPriority w:val="99"/>
    <w:semiHidden/>
    <w:rsid w:val="00841A91"/>
    <w:pPr>
      <w:tabs>
        <w:tab w:val="clear" w:pos="284"/>
      </w:tabs>
    </w:pPr>
  </w:style>
  <w:style w:type="paragraph" w:styleId="TOC1">
    <w:name w:val="toc 1"/>
    <w:basedOn w:val="Normal"/>
    <w:next w:val="BodyText"/>
    <w:autoRedefine/>
    <w:uiPriority w:val="99"/>
    <w:semiHidden/>
    <w:rsid w:val="00841A91"/>
    <w:pPr>
      <w:tabs>
        <w:tab w:val="left" w:pos="284"/>
        <w:tab w:val="left" w:leader="dot" w:pos="9214"/>
        <w:tab w:val="right" w:pos="9639"/>
      </w:tabs>
      <w:spacing w:before="240"/>
    </w:pPr>
    <w:rPr>
      <w:caps/>
      <w:noProof/>
      <w:sz w:val="20"/>
      <w:szCs w:val="20"/>
    </w:rPr>
  </w:style>
  <w:style w:type="paragraph" w:styleId="BlockText">
    <w:name w:val="Block Text"/>
    <w:basedOn w:val="BodyText"/>
    <w:next w:val="BodyText"/>
    <w:uiPriority w:val="99"/>
    <w:rsid w:val="00841A91"/>
    <w:pPr>
      <w:ind w:left="1440" w:right="1440"/>
    </w:pPr>
  </w:style>
  <w:style w:type="paragraph" w:styleId="BodyText2">
    <w:name w:val="Body Text 2"/>
    <w:basedOn w:val="BodyText"/>
    <w:link w:val="BodyText2Char"/>
    <w:uiPriority w:val="99"/>
    <w:rsid w:val="00841A91"/>
    <w:pPr>
      <w:suppressAutoHyphens/>
      <w:spacing w:after="0"/>
    </w:pPr>
  </w:style>
  <w:style w:type="character" w:customStyle="1" w:styleId="BodyText2Char">
    <w:name w:val="Body Text 2 Char"/>
    <w:link w:val="BodyText2"/>
    <w:uiPriority w:val="99"/>
    <w:locked/>
    <w:rsid w:val="009C4680"/>
    <w:rPr>
      <w:rFonts w:cs="Times New Roman"/>
      <w:sz w:val="24"/>
      <w:szCs w:val="24"/>
      <w:lang w:val="en-GB" w:eastAsia="en-US"/>
    </w:rPr>
  </w:style>
  <w:style w:type="paragraph" w:styleId="Caption">
    <w:name w:val="caption"/>
    <w:basedOn w:val="Normal"/>
    <w:next w:val="BodyText"/>
    <w:uiPriority w:val="99"/>
    <w:qFormat/>
    <w:rsid w:val="00841A91"/>
    <w:pPr>
      <w:keepNext/>
      <w:spacing w:before="360" w:after="90"/>
      <w:ind w:left="839"/>
    </w:pPr>
    <w:rPr>
      <w:rFonts w:ascii="Times New Roman Bold" w:hAnsi="Times New Roman Bold" w:cs="Times New Roman Bold"/>
      <w:b/>
      <w:bCs/>
    </w:rPr>
  </w:style>
  <w:style w:type="paragraph" w:styleId="Title">
    <w:name w:val="Title"/>
    <w:basedOn w:val="Normal"/>
    <w:next w:val="BodyText"/>
    <w:link w:val="TitleChar"/>
    <w:uiPriority w:val="99"/>
    <w:qFormat/>
    <w:rsid w:val="00841A91"/>
    <w:pPr>
      <w:spacing w:before="3120" w:after="320"/>
      <w:jc w:val="center"/>
      <w:outlineLvl w:val="0"/>
    </w:pPr>
    <w:rPr>
      <w:rFonts w:ascii="Algerian" w:hAnsi="Algerian" w:cs="Algerian"/>
      <w:b/>
      <w:bCs/>
      <w:i/>
      <w:iCs/>
      <w:kern w:val="28"/>
      <w:sz w:val="72"/>
      <w:szCs w:val="72"/>
      <w:lang w:val="en-GB"/>
    </w:rPr>
  </w:style>
  <w:style w:type="character" w:customStyle="1" w:styleId="TitleChar">
    <w:name w:val="Title Char"/>
    <w:link w:val="Title"/>
    <w:uiPriority w:val="99"/>
    <w:locked/>
    <w:rsid w:val="009C4680"/>
    <w:rPr>
      <w:rFonts w:ascii="Algerian" w:hAnsi="Algerian" w:cs="Algerian"/>
      <w:b/>
      <w:bCs/>
      <w:i/>
      <w:iCs/>
      <w:kern w:val="28"/>
      <w:sz w:val="32"/>
      <w:szCs w:val="32"/>
      <w:lang w:val="en-GB" w:eastAsia="en-US"/>
    </w:rPr>
  </w:style>
  <w:style w:type="paragraph" w:styleId="Subtitle">
    <w:name w:val="Subtitle"/>
    <w:basedOn w:val="Normal"/>
    <w:next w:val="BodyText"/>
    <w:link w:val="SubtitleChar"/>
    <w:uiPriority w:val="99"/>
    <w:qFormat/>
    <w:rsid w:val="00841A91"/>
    <w:pPr>
      <w:jc w:val="center"/>
      <w:outlineLvl w:val="1"/>
    </w:pPr>
    <w:rPr>
      <w:rFonts w:ascii="Algerian" w:hAnsi="Algerian" w:cs="Algerian"/>
      <w:b/>
      <w:bCs/>
      <w:i/>
      <w:iCs/>
      <w:sz w:val="40"/>
      <w:szCs w:val="40"/>
    </w:rPr>
  </w:style>
  <w:style w:type="character" w:customStyle="1" w:styleId="SubtitleChar">
    <w:name w:val="Subtitle Char"/>
    <w:link w:val="Subtitle"/>
    <w:uiPriority w:val="99"/>
    <w:locked/>
    <w:rsid w:val="009C4680"/>
    <w:rPr>
      <w:rFonts w:ascii="Algerian" w:hAnsi="Algerian" w:cs="Algerian"/>
      <w:b/>
      <w:bCs/>
      <w:i/>
      <w:iCs/>
      <w:sz w:val="40"/>
      <w:szCs w:val="40"/>
      <w:lang w:val="en-US" w:eastAsia="en-US"/>
    </w:rPr>
  </w:style>
  <w:style w:type="paragraph" w:styleId="BodyText3">
    <w:name w:val="Body Text 3"/>
    <w:basedOn w:val="BodyText"/>
    <w:link w:val="BodyText3Char"/>
    <w:uiPriority w:val="99"/>
    <w:rsid w:val="00841A91"/>
    <w:pPr>
      <w:spacing w:after="140"/>
    </w:pPr>
    <w:rPr>
      <w:sz w:val="20"/>
    </w:rPr>
  </w:style>
  <w:style w:type="character" w:customStyle="1" w:styleId="BodyText3Char">
    <w:name w:val="Body Text 3 Char"/>
    <w:link w:val="BodyText3"/>
    <w:uiPriority w:val="99"/>
    <w:locked/>
    <w:rsid w:val="009C4680"/>
    <w:rPr>
      <w:rFonts w:cs="Times New Roman"/>
      <w:lang w:val="en-GB" w:eastAsia="en-US"/>
    </w:rPr>
  </w:style>
  <w:style w:type="paragraph" w:styleId="TOC2">
    <w:name w:val="toc 2"/>
    <w:basedOn w:val="TOC1"/>
    <w:next w:val="BodyText"/>
    <w:autoRedefine/>
    <w:uiPriority w:val="99"/>
    <w:semiHidden/>
    <w:rsid w:val="00841A91"/>
    <w:pPr>
      <w:tabs>
        <w:tab w:val="clear" w:pos="284"/>
        <w:tab w:val="left" w:pos="709"/>
      </w:tabs>
      <w:ind w:left="709" w:hanging="425"/>
    </w:pPr>
    <w:rPr>
      <w:caps w:val="0"/>
    </w:rPr>
  </w:style>
  <w:style w:type="paragraph" w:styleId="TOC3">
    <w:name w:val="toc 3"/>
    <w:basedOn w:val="TOC2"/>
    <w:next w:val="BodyText"/>
    <w:autoRedefine/>
    <w:uiPriority w:val="99"/>
    <w:semiHidden/>
    <w:rsid w:val="00841A91"/>
    <w:pPr>
      <w:tabs>
        <w:tab w:val="clear" w:pos="709"/>
        <w:tab w:val="left" w:pos="1276"/>
      </w:tabs>
      <w:spacing w:before="0"/>
      <w:ind w:left="1276" w:hanging="567"/>
    </w:pPr>
  </w:style>
  <w:style w:type="paragraph" w:styleId="TOC4">
    <w:name w:val="toc 4"/>
    <w:basedOn w:val="TOC3"/>
    <w:next w:val="BodyText"/>
    <w:autoRedefine/>
    <w:uiPriority w:val="99"/>
    <w:semiHidden/>
    <w:rsid w:val="00841A91"/>
    <w:pPr>
      <w:tabs>
        <w:tab w:val="clear" w:pos="1276"/>
        <w:tab w:val="left" w:pos="1985"/>
      </w:tabs>
      <w:ind w:left="1985" w:hanging="709"/>
    </w:pPr>
  </w:style>
  <w:style w:type="paragraph" w:styleId="TOC5">
    <w:name w:val="toc 5"/>
    <w:basedOn w:val="TOC1"/>
    <w:next w:val="BodyText"/>
    <w:autoRedefine/>
    <w:uiPriority w:val="99"/>
    <w:semiHidden/>
    <w:rsid w:val="00841A91"/>
    <w:pPr>
      <w:tabs>
        <w:tab w:val="clear" w:pos="284"/>
      </w:tabs>
      <w:spacing w:before="0"/>
    </w:pPr>
    <w:rPr>
      <w:caps w:val="0"/>
      <w:lang w:val="en-GB"/>
    </w:rPr>
  </w:style>
  <w:style w:type="paragraph" w:styleId="TableofFigures">
    <w:name w:val="table of figures"/>
    <w:basedOn w:val="Normal"/>
    <w:next w:val="BodyText"/>
    <w:uiPriority w:val="99"/>
    <w:semiHidden/>
    <w:rsid w:val="00841A91"/>
    <w:pPr>
      <w:tabs>
        <w:tab w:val="left" w:leader="dot" w:pos="9214"/>
        <w:tab w:val="right" w:pos="9639"/>
      </w:tabs>
    </w:pPr>
    <w:rPr>
      <w:sz w:val="20"/>
      <w:szCs w:val="20"/>
    </w:rPr>
  </w:style>
  <w:style w:type="paragraph" w:customStyle="1" w:styleId="Tablenote">
    <w:name w:val="Table note"/>
    <w:next w:val="BodyText"/>
    <w:uiPriority w:val="99"/>
    <w:rsid w:val="00841A91"/>
    <w:pPr>
      <w:spacing w:before="90"/>
      <w:ind w:left="839"/>
      <w:jc w:val="both"/>
    </w:pPr>
    <w:rPr>
      <w:spacing w:val="-3"/>
    </w:rPr>
  </w:style>
  <w:style w:type="paragraph" w:styleId="Header">
    <w:name w:val="header"/>
    <w:basedOn w:val="Normal"/>
    <w:link w:val="HeaderChar"/>
    <w:uiPriority w:val="99"/>
    <w:rsid w:val="00841A91"/>
    <w:pPr>
      <w:widowControl w:val="0"/>
      <w:pBdr>
        <w:bottom w:val="single" w:sz="6" w:space="2" w:color="auto"/>
      </w:pBdr>
      <w:tabs>
        <w:tab w:val="center" w:pos="4820"/>
        <w:tab w:val="right" w:pos="9639"/>
      </w:tabs>
    </w:pPr>
    <w:rPr>
      <w:caps/>
      <w:noProof/>
    </w:rPr>
  </w:style>
  <w:style w:type="character" w:customStyle="1" w:styleId="HeaderChar">
    <w:name w:val="Header Char"/>
    <w:link w:val="Header"/>
    <w:uiPriority w:val="99"/>
    <w:locked/>
    <w:rsid w:val="009C4680"/>
    <w:rPr>
      <w:rFonts w:cs="Times New Roman"/>
      <w:caps/>
      <w:noProof/>
      <w:sz w:val="24"/>
      <w:szCs w:val="24"/>
      <w:lang w:val="en-US" w:eastAsia="en-US"/>
    </w:rPr>
  </w:style>
  <w:style w:type="paragraph" w:styleId="ListBullet">
    <w:name w:val="List Bullet"/>
    <w:basedOn w:val="Normal"/>
    <w:next w:val="BodyText"/>
    <w:uiPriority w:val="99"/>
    <w:rsid w:val="00841A91"/>
    <w:pPr>
      <w:tabs>
        <w:tab w:val="left" w:pos="357"/>
      </w:tabs>
      <w:ind w:left="357" w:hanging="357"/>
      <w:jc w:val="both"/>
    </w:pPr>
  </w:style>
  <w:style w:type="paragraph" w:styleId="ListNumber">
    <w:name w:val="List Number"/>
    <w:basedOn w:val="Normal"/>
    <w:next w:val="BodyText"/>
    <w:uiPriority w:val="99"/>
    <w:rsid w:val="00841A91"/>
    <w:pPr>
      <w:tabs>
        <w:tab w:val="left" w:pos="357"/>
      </w:tabs>
      <w:ind w:left="357" w:hanging="357"/>
      <w:jc w:val="both"/>
    </w:pPr>
  </w:style>
  <w:style w:type="paragraph" w:styleId="Footer">
    <w:name w:val="footer"/>
    <w:basedOn w:val="Header"/>
    <w:link w:val="FooterChar"/>
    <w:uiPriority w:val="99"/>
    <w:rsid w:val="00841A91"/>
    <w:pPr>
      <w:pBdr>
        <w:top w:val="single" w:sz="6" w:space="2" w:color="auto"/>
        <w:bottom w:val="none" w:sz="0" w:space="0" w:color="auto"/>
      </w:pBdr>
    </w:pPr>
    <w:rPr>
      <w:caps w:val="0"/>
      <w:sz w:val="20"/>
      <w:szCs w:val="20"/>
    </w:rPr>
  </w:style>
  <w:style w:type="character" w:customStyle="1" w:styleId="FooterChar">
    <w:name w:val="Footer Char"/>
    <w:link w:val="Footer"/>
    <w:uiPriority w:val="99"/>
    <w:locked/>
    <w:rsid w:val="009C4680"/>
    <w:rPr>
      <w:rFonts w:cs="Times New Roman"/>
      <w:noProof/>
      <w:lang w:val="en-US" w:eastAsia="en-US"/>
    </w:rPr>
  </w:style>
  <w:style w:type="character" w:styleId="PageNumber">
    <w:name w:val="page number"/>
    <w:uiPriority w:val="99"/>
    <w:rsid w:val="00841A91"/>
    <w:rPr>
      <w:rFonts w:ascii="Times New Roman" w:hAnsi="Times New Roman" w:cs="Times New Roman"/>
      <w:sz w:val="20"/>
      <w:szCs w:val="20"/>
    </w:rPr>
  </w:style>
  <w:style w:type="paragraph" w:styleId="TOC7">
    <w:name w:val="toc 7"/>
    <w:basedOn w:val="Normal"/>
    <w:next w:val="Normal"/>
    <w:autoRedefine/>
    <w:uiPriority w:val="99"/>
    <w:semiHidden/>
    <w:rsid w:val="00841A91"/>
    <w:pPr>
      <w:ind w:left="1440"/>
    </w:pPr>
  </w:style>
  <w:style w:type="paragraph" w:styleId="BodyTextFirstIndent">
    <w:name w:val="Body Text First Indent"/>
    <w:basedOn w:val="BodyText"/>
    <w:link w:val="BodyTextFirstIndentChar"/>
    <w:uiPriority w:val="99"/>
    <w:rsid w:val="00841A91"/>
    <w:pPr>
      <w:ind w:firstLine="210"/>
    </w:pPr>
  </w:style>
  <w:style w:type="character" w:customStyle="1" w:styleId="BodyTextFirstIndentChar">
    <w:name w:val="Body Text First Indent Char"/>
    <w:link w:val="BodyTextFirstIndent"/>
    <w:uiPriority w:val="99"/>
    <w:locked/>
    <w:rsid w:val="009C4680"/>
    <w:rPr>
      <w:rFonts w:cs="Times New Roman"/>
      <w:sz w:val="24"/>
      <w:szCs w:val="24"/>
      <w:lang w:val="en-GB" w:eastAsia="en-US"/>
    </w:rPr>
  </w:style>
  <w:style w:type="character" w:customStyle="1" w:styleId="BodyTextChar11">
    <w:name w:val="Body Text Char11"/>
    <w:aliases w:val="Body Text Char Char2,Char Char Char Char2,Char Char2,Char Char Char Cha Char Char Char1,Char Char Char Cha Char Char Char C Char1,Char Char Char Cha Char11,Char Char Char Cha Char Char11"/>
    <w:uiPriority w:val="99"/>
    <w:locked/>
    <w:rsid w:val="00E45D20"/>
    <w:rPr>
      <w:sz w:val="24"/>
      <w:lang w:val="en-GB" w:eastAsia="en-US"/>
    </w:rPr>
  </w:style>
  <w:style w:type="paragraph" w:styleId="BodyTextIndent">
    <w:name w:val="Body Text Indent"/>
    <w:basedOn w:val="Normal"/>
    <w:next w:val="BodyText"/>
    <w:link w:val="BodyTextIndentChar"/>
    <w:uiPriority w:val="99"/>
    <w:rsid w:val="00841A91"/>
    <w:pPr>
      <w:spacing w:after="180"/>
      <w:ind w:left="357"/>
      <w:jc w:val="both"/>
    </w:pPr>
    <w:rPr>
      <w:lang w:val="en-GB"/>
    </w:rPr>
  </w:style>
  <w:style w:type="character" w:customStyle="1" w:styleId="BodyTextIndentChar">
    <w:name w:val="Body Text Indent Char"/>
    <w:link w:val="BodyTextIndent"/>
    <w:uiPriority w:val="99"/>
    <w:locked/>
    <w:rsid w:val="009C4680"/>
    <w:rPr>
      <w:rFonts w:cs="Times New Roman"/>
      <w:sz w:val="24"/>
      <w:szCs w:val="24"/>
      <w:lang w:val="en-GB" w:eastAsia="en-US"/>
    </w:rPr>
  </w:style>
  <w:style w:type="paragraph" w:styleId="BodyTextFirstIndent2">
    <w:name w:val="Body Text First Indent 2"/>
    <w:basedOn w:val="BodyTextIndent"/>
    <w:link w:val="BodyTextFirstIndent2Char"/>
    <w:uiPriority w:val="99"/>
    <w:rsid w:val="00841A91"/>
    <w:pPr>
      <w:ind w:firstLine="210"/>
    </w:pPr>
  </w:style>
  <w:style w:type="character" w:customStyle="1" w:styleId="BodyTextFirstIndent2Char">
    <w:name w:val="Body Text First Indent 2 Char"/>
    <w:link w:val="BodyTextFirstIndent2"/>
    <w:uiPriority w:val="99"/>
    <w:locked/>
    <w:rsid w:val="009C4680"/>
    <w:rPr>
      <w:rFonts w:cs="Times New Roman"/>
      <w:sz w:val="24"/>
      <w:szCs w:val="24"/>
      <w:lang w:val="en-GB" w:eastAsia="en-US"/>
    </w:rPr>
  </w:style>
  <w:style w:type="paragraph" w:styleId="EndnoteText">
    <w:name w:val="endnote text"/>
    <w:basedOn w:val="Normal"/>
    <w:link w:val="EndnoteTextChar"/>
    <w:rsid w:val="00841A91"/>
    <w:rPr>
      <w:sz w:val="20"/>
      <w:szCs w:val="20"/>
      <w:lang w:val="en-GB"/>
    </w:rPr>
  </w:style>
  <w:style w:type="character" w:customStyle="1" w:styleId="EndnoteTextChar">
    <w:name w:val="Endnote Text Char"/>
    <w:link w:val="EndnoteText"/>
    <w:locked/>
    <w:rsid w:val="009C4680"/>
    <w:rPr>
      <w:rFonts w:cs="Times New Roman"/>
      <w:lang w:val="en-GB" w:eastAsia="en-US"/>
    </w:rPr>
  </w:style>
  <w:style w:type="paragraph" w:styleId="FootnoteText">
    <w:name w:val="footnote text"/>
    <w:basedOn w:val="BodyText3"/>
    <w:link w:val="FootnoteTextChar"/>
    <w:uiPriority w:val="99"/>
    <w:semiHidden/>
    <w:rsid w:val="00841A91"/>
  </w:style>
  <w:style w:type="character" w:customStyle="1" w:styleId="FootnoteTextChar">
    <w:name w:val="Footnote Text Char"/>
    <w:link w:val="FootnoteText"/>
    <w:uiPriority w:val="99"/>
    <w:semiHidden/>
    <w:locked/>
    <w:rsid w:val="009C4680"/>
    <w:rPr>
      <w:rFonts w:cs="Times New Roman"/>
      <w:lang w:val="en-GB" w:eastAsia="en-US"/>
    </w:rPr>
  </w:style>
  <w:style w:type="paragraph" w:styleId="Index2">
    <w:name w:val="index 2"/>
    <w:basedOn w:val="Normal"/>
    <w:next w:val="Normal"/>
    <w:autoRedefine/>
    <w:uiPriority w:val="99"/>
    <w:semiHidden/>
    <w:rsid w:val="00841A91"/>
    <w:pPr>
      <w:ind w:left="480" w:hanging="240"/>
    </w:pPr>
  </w:style>
  <w:style w:type="paragraph" w:customStyle="1" w:styleId="CoverTitle">
    <w:name w:val="Cover Title"/>
    <w:basedOn w:val="BodyText"/>
    <w:next w:val="BodyText"/>
    <w:uiPriority w:val="99"/>
    <w:rsid w:val="00841A91"/>
    <w:pPr>
      <w:spacing w:before="240" w:after="240"/>
      <w:jc w:val="center"/>
    </w:pPr>
    <w:rPr>
      <w:rFonts w:ascii="Times New Roman Bold" w:hAnsi="Times New Roman Bold" w:cs="Times New Roman Bold"/>
      <w:b/>
      <w:bCs/>
      <w:sz w:val="32"/>
      <w:szCs w:val="32"/>
    </w:rPr>
  </w:style>
  <w:style w:type="paragraph" w:styleId="ListBullet2">
    <w:name w:val="List Bullet 2"/>
    <w:basedOn w:val="Normal"/>
    <w:next w:val="BodyText"/>
    <w:uiPriority w:val="99"/>
    <w:rsid w:val="00841A91"/>
    <w:pPr>
      <w:tabs>
        <w:tab w:val="num" w:pos="720"/>
      </w:tabs>
      <w:ind w:left="714" w:hanging="357"/>
    </w:pPr>
  </w:style>
  <w:style w:type="paragraph" w:styleId="ListBullet3">
    <w:name w:val="List Bullet 3"/>
    <w:basedOn w:val="Normal"/>
    <w:next w:val="BodyText"/>
    <w:uiPriority w:val="99"/>
    <w:rsid w:val="00841A91"/>
    <w:pPr>
      <w:tabs>
        <w:tab w:val="left" w:pos="1077"/>
      </w:tabs>
      <w:ind w:left="1077" w:hanging="357"/>
    </w:pPr>
  </w:style>
  <w:style w:type="paragraph" w:styleId="ListNumber2">
    <w:name w:val="List Number 2"/>
    <w:basedOn w:val="Normal"/>
    <w:next w:val="BodyText"/>
    <w:uiPriority w:val="99"/>
    <w:rsid w:val="00841A91"/>
    <w:pPr>
      <w:tabs>
        <w:tab w:val="num" w:pos="720"/>
      </w:tabs>
      <w:ind w:left="720" w:hanging="360"/>
    </w:pPr>
    <w:rPr>
      <w:lang w:val="en-GB"/>
    </w:rPr>
  </w:style>
  <w:style w:type="paragraph" w:customStyle="1" w:styleId="Listalpha">
    <w:name w:val="List alpha"/>
    <w:basedOn w:val="ListNumber"/>
    <w:next w:val="BodyText"/>
    <w:uiPriority w:val="99"/>
    <w:rsid w:val="00841A91"/>
    <w:pPr>
      <w:tabs>
        <w:tab w:val="clear" w:pos="357"/>
        <w:tab w:val="num" w:pos="360"/>
      </w:tabs>
      <w:ind w:left="360" w:hanging="360"/>
    </w:pPr>
  </w:style>
  <w:style w:type="paragraph" w:styleId="TOC8">
    <w:name w:val="toc 8"/>
    <w:basedOn w:val="Normal"/>
    <w:next w:val="Normal"/>
    <w:autoRedefine/>
    <w:uiPriority w:val="99"/>
    <w:semiHidden/>
    <w:rsid w:val="00841A91"/>
    <w:pPr>
      <w:ind w:left="1680"/>
    </w:pPr>
  </w:style>
  <w:style w:type="paragraph" w:styleId="TOC9">
    <w:name w:val="toc 9"/>
    <w:basedOn w:val="Normal"/>
    <w:next w:val="Normal"/>
    <w:autoRedefine/>
    <w:uiPriority w:val="99"/>
    <w:semiHidden/>
    <w:rsid w:val="00841A91"/>
    <w:pPr>
      <w:ind w:left="1920"/>
    </w:pPr>
  </w:style>
  <w:style w:type="character" w:styleId="Hyperlink">
    <w:name w:val="Hyperlink"/>
    <w:uiPriority w:val="99"/>
    <w:rsid w:val="00841A91"/>
    <w:rPr>
      <w:rFonts w:ascii="Times New Roman" w:hAnsi="Times New Roman" w:cs="Times New Roman"/>
      <w:color w:val="0000FF"/>
      <w:sz w:val="20"/>
      <w:szCs w:val="20"/>
      <w:u w:val="single"/>
    </w:rPr>
  </w:style>
  <w:style w:type="character" w:styleId="FootnoteReference">
    <w:name w:val="footnote reference"/>
    <w:uiPriority w:val="99"/>
    <w:semiHidden/>
    <w:rsid w:val="00841A91"/>
    <w:rPr>
      <w:rFonts w:cs="Times New Roman"/>
      <w:position w:val="6"/>
      <w:sz w:val="16"/>
      <w:szCs w:val="16"/>
    </w:rPr>
  </w:style>
  <w:style w:type="paragraph" w:customStyle="1" w:styleId="Default">
    <w:name w:val="Default"/>
    <w:uiPriority w:val="99"/>
    <w:rsid w:val="00087AA2"/>
    <w:pPr>
      <w:autoSpaceDE w:val="0"/>
      <w:autoSpaceDN w:val="0"/>
      <w:adjustRightInd w:val="0"/>
    </w:pPr>
    <w:rPr>
      <w:color w:val="000000"/>
      <w:sz w:val="24"/>
      <w:szCs w:val="24"/>
      <w:lang w:val="de-DE" w:eastAsia="de-DE"/>
    </w:rPr>
  </w:style>
  <w:style w:type="character" w:styleId="FollowedHyperlink">
    <w:name w:val="FollowedHyperlink"/>
    <w:uiPriority w:val="99"/>
    <w:rsid w:val="00431F82"/>
    <w:rPr>
      <w:rFonts w:cs="Times New Roman"/>
      <w:color w:val="800080"/>
      <w:u w:val="single"/>
    </w:rPr>
  </w:style>
  <w:style w:type="paragraph" w:styleId="NormalWeb">
    <w:name w:val="Normal (Web)"/>
    <w:basedOn w:val="Normal"/>
    <w:rsid w:val="00C7635F"/>
    <w:pPr>
      <w:spacing w:before="100" w:beforeAutospacing="1" w:after="100" w:afterAutospacing="1"/>
    </w:pPr>
    <w:rPr>
      <w:lang w:val="de-DE" w:eastAsia="de-DE"/>
    </w:rPr>
  </w:style>
  <w:style w:type="paragraph" w:styleId="HTMLPreformatted">
    <w:name w:val="HTML Preformatted"/>
    <w:basedOn w:val="Normal"/>
    <w:link w:val="HTMLPreformattedChar"/>
    <w:uiPriority w:val="99"/>
    <w:rsid w:val="00F6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de-DE" w:eastAsia="de-DE"/>
    </w:rPr>
  </w:style>
  <w:style w:type="character" w:customStyle="1" w:styleId="HTMLPreformattedChar">
    <w:name w:val="HTML Preformatted Char"/>
    <w:link w:val="HTMLPreformatted"/>
    <w:uiPriority w:val="99"/>
    <w:locked/>
    <w:rsid w:val="009C4680"/>
    <w:rPr>
      <w:rFonts w:ascii="Courier New" w:hAnsi="Courier New" w:cs="Courier New"/>
      <w:lang w:val="de-DE" w:eastAsia="de-DE"/>
    </w:rPr>
  </w:style>
  <w:style w:type="paragraph" w:styleId="BalloonText">
    <w:name w:val="Balloon Text"/>
    <w:basedOn w:val="Normal"/>
    <w:link w:val="BalloonTextChar"/>
    <w:uiPriority w:val="99"/>
    <w:semiHidden/>
    <w:rsid w:val="00D14012"/>
    <w:rPr>
      <w:rFonts w:ascii="Tahoma" w:hAnsi="Tahoma" w:cs="Tahoma"/>
      <w:sz w:val="16"/>
      <w:szCs w:val="16"/>
    </w:rPr>
  </w:style>
  <w:style w:type="character" w:customStyle="1" w:styleId="BalloonTextChar">
    <w:name w:val="Balloon Text Char"/>
    <w:link w:val="BalloonText"/>
    <w:uiPriority w:val="99"/>
    <w:semiHidden/>
    <w:locked/>
    <w:rsid w:val="009C4680"/>
    <w:rPr>
      <w:rFonts w:ascii="Tahoma" w:hAnsi="Tahoma" w:cs="Tahoma"/>
      <w:sz w:val="16"/>
      <w:szCs w:val="16"/>
      <w:lang w:val="en-US" w:eastAsia="en-US"/>
    </w:rPr>
  </w:style>
  <w:style w:type="paragraph" w:customStyle="1" w:styleId="Text">
    <w:name w:val="Text"/>
    <w:basedOn w:val="Normal"/>
    <w:uiPriority w:val="99"/>
    <w:rsid w:val="007A399D"/>
    <w:pPr>
      <w:spacing w:before="240" w:line="300" w:lineRule="auto"/>
    </w:pPr>
  </w:style>
  <w:style w:type="character" w:customStyle="1" w:styleId="BodyTextCharZchnZchn">
    <w:name w:val="Body Text Char Zchn Zchn"/>
    <w:uiPriority w:val="99"/>
    <w:rsid w:val="00041428"/>
    <w:rPr>
      <w:sz w:val="24"/>
      <w:lang w:val="en-GB" w:eastAsia="en-US"/>
    </w:rPr>
  </w:style>
  <w:style w:type="paragraph" w:styleId="CommentText">
    <w:name w:val="annotation text"/>
    <w:basedOn w:val="Normal"/>
    <w:link w:val="CommentTextChar1"/>
    <w:semiHidden/>
    <w:rsid w:val="00F12EA7"/>
    <w:rPr>
      <w:sz w:val="20"/>
      <w:szCs w:val="20"/>
    </w:rPr>
  </w:style>
  <w:style w:type="character" w:customStyle="1" w:styleId="CommentTextChar">
    <w:name w:val="Comment Text Char"/>
    <w:uiPriority w:val="99"/>
    <w:locked/>
    <w:rsid w:val="00F20F2D"/>
    <w:rPr>
      <w:rFonts w:cs="Times New Roman"/>
      <w:lang w:val="en-US" w:eastAsia="en-US"/>
    </w:rPr>
  </w:style>
  <w:style w:type="character" w:customStyle="1" w:styleId="CommentTextChar1">
    <w:name w:val="Comment Text Char1"/>
    <w:link w:val="CommentText"/>
    <w:uiPriority w:val="99"/>
    <w:locked/>
    <w:rsid w:val="00F12EA7"/>
    <w:rPr>
      <w:lang w:val="en-US" w:eastAsia="en-US"/>
    </w:rPr>
  </w:style>
  <w:style w:type="paragraph" w:customStyle="1" w:styleId="MSDS-TZeile">
    <w:name w:val="MSDS-TZeile"/>
    <w:basedOn w:val="Normal"/>
    <w:next w:val="Normal"/>
    <w:uiPriority w:val="99"/>
    <w:rsid w:val="00A65ED4"/>
    <w:pPr>
      <w:autoSpaceDE w:val="0"/>
      <w:autoSpaceDN w:val="0"/>
      <w:ind w:left="57"/>
    </w:pPr>
    <w:rPr>
      <w:rFonts w:ascii="Arial" w:hAnsi="Arial" w:cs="Arial"/>
      <w:sz w:val="20"/>
      <w:szCs w:val="20"/>
      <w:lang w:val="de-DE"/>
    </w:rPr>
  </w:style>
  <w:style w:type="table" w:styleId="TableGrid">
    <w:name w:val="Table Grid"/>
    <w:basedOn w:val="TableNormal"/>
    <w:uiPriority w:val="99"/>
    <w:rsid w:val="00636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81528F"/>
    <w:rPr>
      <w:rFonts w:cs="Times New Roman"/>
      <w:sz w:val="16"/>
      <w:szCs w:val="16"/>
    </w:rPr>
  </w:style>
  <w:style w:type="paragraph" w:styleId="CommentSubject">
    <w:name w:val="annotation subject"/>
    <w:basedOn w:val="CommentText"/>
    <w:next w:val="CommentText"/>
    <w:link w:val="CommentSubjectChar"/>
    <w:uiPriority w:val="99"/>
    <w:semiHidden/>
    <w:rsid w:val="0081528F"/>
    <w:rPr>
      <w:b/>
      <w:bCs/>
    </w:rPr>
  </w:style>
  <w:style w:type="character" w:customStyle="1" w:styleId="CommentSubjectChar">
    <w:name w:val="Comment Subject Char"/>
    <w:link w:val="CommentSubject"/>
    <w:uiPriority w:val="99"/>
    <w:semiHidden/>
    <w:locked/>
    <w:rsid w:val="0081528F"/>
    <w:rPr>
      <w:rFonts w:cs="Times New Roman"/>
      <w:b/>
      <w:bCs/>
      <w:lang w:val="en-US" w:eastAsia="en-US"/>
    </w:rPr>
  </w:style>
  <w:style w:type="character" w:customStyle="1" w:styleId="name1">
    <w:name w:val="name1"/>
    <w:uiPriority w:val="99"/>
    <w:rsid w:val="00BD0B29"/>
    <w:rPr>
      <w:b/>
      <w:sz w:val="24"/>
    </w:rPr>
  </w:style>
  <w:style w:type="paragraph" w:styleId="Revision">
    <w:name w:val="Revision"/>
    <w:hidden/>
    <w:uiPriority w:val="99"/>
    <w:semiHidden/>
    <w:rsid w:val="008E04C8"/>
    <w:rPr>
      <w:sz w:val="24"/>
      <w:szCs w:val="24"/>
    </w:rPr>
  </w:style>
  <w:style w:type="character" w:customStyle="1" w:styleId="BodyTextChar1Char">
    <w:name w:val="Body Text Char1 Char"/>
    <w:aliases w:val="Char Char Char Char Char,Char Char Char1,Char Char Char Cha Char Char Char Char,Char Char Char Cha Char Char Char C Char Char,Char Char Char Cha Char1 Char,Char Char Char Cha Char Char1 Char"/>
    <w:basedOn w:val="DefaultParagraphFont"/>
    <w:uiPriority w:val="99"/>
    <w:rsid w:val="00B35ACD"/>
    <w:rPr>
      <w:sz w:val="24"/>
      <w:lang w:val="en-GB" w:eastAsia="en-US" w:bidi="ar-SA"/>
    </w:rPr>
  </w:style>
  <w:style w:type="paragraph" w:styleId="ListParagraph">
    <w:name w:val="List Paragraph"/>
    <w:basedOn w:val="Normal"/>
    <w:uiPriority w:val="34"/>
    <w:qFormat/>
    <w:rsid w:val="009D5214"/>
    <w:pPr>
      <w:ind w:left="720"/>
    </w:pPr>
    <w:rPr>
      <w:rFonts w:ascii="Calibri" w:eastAsia="Calibri" w:hAnsi="Calibri"/>
      <w:sz w:val="22"/>
      <w:szCs w:val="22"/>
    </w:rPr>
  </w:style>
  <w:style w:type="character" w:customStyle="1" w:styleId="TabletextChar">
    <w:name w:val="Table text Char"/>
    <w:link w:val="Tabletext"/>
    <w:rsid w:val="009D5214"/>
    <w:rPr>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1A91"/>
    <w:rPr>
      <w:sz w:val="24"/>
      <w:szCs w:val="24"/>
    </w:rPr>
  </w:style>
  <w:style w:type="paragraph" w:styleId="Heading1">
    <w:name w:val="heading 1"/>
    <w:basedOn w:val="Normal"/>
    <w:next w:val="BodyText"/>
    <w:link w:val="Heading1Char"/>
    <w:uiPriority w:val="99"/>
    <w:qFormat/>
    <w:rsid w:val="00841A91"/>
    <w:pPr>
      <w:keepNext/>
      <w:tabs>
        <w:tab w:val="left" w:pos="839"/>
      </w:tabs>
      <w:spacing w:before="360" w:after="200"/>
      <w:ind w:left="839" w:hanging="839"/>
      <w:outlineLvl w:val="0"/>
    </w:pPr>
    <w:rPr>
      <w:rFonts w:ascii="Times New Roman Bold" w:hAnsi="Times New Roman Bold" w:cs="Times New Roman Bold"/>
      <w:b/>
      <w:bCs/>
      <w:caps/>
      <w:lang w:val="en-GB"/>
    </w:rPr>
  </w:style>
  <w:style w:type="paragraph" w:styleId="Heading2">
    <w:name w:val="heading 2"/>
    <w:basedOn w:val="Heading1"/>
    <w:next w:val="BodyText"/>
    <w:link w:val="Heading2Char"/>
    <w:uiPriority w:val="99"/>
    <w:qFormat/>
    <w:rsid w:val="00841A91"/>
    <w:pPr>
      <w:numPr>
        <w:ilvl w:val="1"/>
      </w:numPr>
      <w:tabs>
        <w:tab w:val="num" w:pos="1077"/>
        <w:tab w:val="num" w:pos="1440"/>
      </w:tabs>
      <w:ind w:left="1077" w:hanging="1077"/>
      <w:jc w:val="both"/>
      <w:outlineLvl w:val="1"/>
    </w:pPr>
    <w:rPr>
      <w:caps w:val="0"/>
    </w:rPr>
  </w:style>
  <w:style w:type="paragraph" w:styleId="Heading3">
    <w:name w:val="heading 3"/>
    <w:basedOn w:val="Heading2"/>
    <w:next w:val="BodyText"/>
    <w:link w:val="Heading3Char"/>
    <w:uiPriority w:val="99"/>
    <w:qFormat/>
    <w:rsid w:val="00841A91"/>
    <w:pPr>
      <w:numPr>
        <w:ilvl w:val="2"/>
      </w:numPr>
      <w:tabs>
        <w:tab w:val="num" w:pos="1077"/>
        <w:tab w:val="num" w:pos="2160"/>
      </w:tabs>
      <w:ind w:left="2160" w:hanging="180"/>
      <w:jc w:val="left"/>
      <w:outlineLvl w:val="2"/>
    </w:pPr>
  </w:style>
  <w:style w:type="paragraph" w:styleId="Heading4">
    <w:name w:val="heading 4"/>
    <w:basedOn w:val="Heading3"/>
    <w:next w:val="BodyText"/>
    <w:link w:val="Heading4Char"/>
    <w:uiPriority w:val="99"/>
    <w:qFormat/>
    <w:rsid w:val="00841A91"/>
    <w:pPr>
      <w:numPr>
        <w:ilvl w:val="3"/>
      </w:numPr>
      <w:tabs>
        <w:tab w:val="num" w:pos="1077"/>
        <w:tab w:val="num" w:pos="2880"/>
      </w:tabs>
      <w:ind w:left="2880" w:hanging="180"/>
      <w:outlineLvl w:val="3"/>
    </w:pPr>
  </w:style>
  <w:style w:type="paragraph" w:styleId="Heading5">
    <w:name w:val="heading 5"/>
    <w:basedOn w:val="Heading4"/>
    <w:next w:val="BodyText"/>
    <w:link w:val="Heading5Char"/>
    <w:uiPriority w:val="99"/>
    <w:qFormat/>
    <w:rsid w:val="00841A91"/>
    <w:pPr>
      <w:numPr>
        <w:ilvl w:val="4"/>
      </w:numPr>
      <w:tabs>
        <w:tab w:val="left" w:pos="1077"/>
        <w:tab w:val="num" w:pos="1843"/>
        <w:tab w:val="num" w:pos="3600"/>
      </w:tabs>
      <w:ind w:left="3600" w:hanging="180"/>
      <w:outlineLvl w:val="4"/>
    </w:pPr>
  </w:style>
  <w:style w:type="paragraph" w:styleId="Heading6">
    <w:name w:val="heading 6"/>
    <w:basedOn w:val="Normal"/>
    <w:next w:val="BodyText"/>
    <w:link w:val="Heading6Char"/>
    <w:uiPriority w:val="99"/>
    <w:qFormat/>
    <w:rsid w:val="00841A91"/>
    <w:pPr>
      <w:keepNext/>
      <w:spacing w:after="200"/>
      <w:outlineLvl w:val="5"/>
    </w:pPr>
    <w:rPr>
      <w:rFonts w:ascii="Times New Roman Bold" w:hAnsi="Times New Roman Bold" w:cs="Times New Roman Bold"/>
      <w:b/>
      <w:bCs/>
      <w:caps/>
      <w:lang w:val="en-GB"/>
    </w:rPr>
  </w:style>
  <w:style w:type="paragraph" w:styleId="Heading7">
    <w:name w:val="heading 7"/>
    <w:basedOn w:val="Normal"/>
    <w:next w:val="BodyText"/>
    <w:link w:val="Heading7Char"/>
    <w:uiPriority w:val="99"/>
    <w:qFormat/>
    <w:rsid w:val="00841A91"/>
    <w:pPr>
      <w:keepNext/>
      <w:spacing w:after="180"/>
      <w:outlineLvl w:val="6"/>
    </w:pPr>
    <w:rPr>
      <w:rFonts w:ascii="Times New Roman Bold" w:hAnsi="Times New Roman Bold" w:cs="Times New Roman Bold"/>
      <w:b/>
      <w:bCs/>
      <w:lang w:val="en-GB"/>
    </w:rPr>
  </w:style>
  <w:style w:type="paragraph" w:styleId="Heading8">
    <w:name w:val="heading 8"/>
    <w:basedOn w:val="Normal"/>
    <w:next w:val="BodyText"/>
    <w:link w:val="Heading8Char"/>
    <w:uiPriority w:val="99"/>
    <w:qFormat/>
    <w:rsid w:val="00841A91"/>
    <w:pPr>
      <w:keepNext/>
      <w:spacing w:after="180"/>
      <w:outlineLvl w:val="7"/>
    </w:pPr>
    <w:rPr>
      <w:u w:val="single"/>
      <w:lang w:val="en-GB"/>
    </w:rPr>
  </w:style>
  <w:style w:type="paragraph" w:styleId="Heading9">
    <w:name w:val="heading 9"/>
    <w:basedOn w:val="Normal"/>
    <w:next w:val="BodyText"/>
    <w:link w:val="Heading9Char"/>
    <w:uiPriority w:val="99"/>
    <w:qFormat/>
    <w:rsid w:val="00841A91"/>
    <w:pPr>
      <w:keepNext/>
      <w:spacing w:after="180"/>
      <w:outlineLvl w:val="8"/>
    </w:pPr>
    <w:rPr>
      <w:i/>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4680"/>
    <w:rPr>
      <w:rFonts w:ascii="Times New Roman Bold" w:hAnsi="Times New Roman Bold" w:cs="Times New Roman Bold"/>
      <w:b/>
      <w:bCs/>
      <w:caps/>
      <w:sz w:val="24"/>
      <w:szCs w:val="24"/>
      <w:lang w:val="en-GB" w:eastAsia="en-US"/>
    </w:rPr>
  </w:style>
  <w:style w:type="character" w:customStyle="1" w:styleId="Heading2Char">
    <w:name w:val="Heading 2 Char"/>
    <w:link w:val="Heading2"/>
    <w:uiPriority w:val="99"/>
    <w:locked/>
    <w:rsid w:val="009C4680"/>
    <w:rPr>
      <w:rFonts w:ascii="Times New Roman Bold" w:hAnsi="Times New Roman Bold" w:cs="Times New Roman Bold"/>
      <w:b/>
      <w:bCs/>
      <w:sz w:val="24"/>
      <w:szCs w:val="24"/>
      <w:lang w:val="en-GB" w:eastAsia="en-US" w:bidi="ar-SA"/>
    </w:rPr>
  </w:style>
  <w:style w:type="character" w:customStyle="1" w:styleId="Heading3Char">
    <w:name w:val="Heading 3 Char"/>
    <w:link w:val="Heading3"/>
    <w:uiPriority w:val="99"/>
    <w:locked/>
    <w:rsid w:val="009C4680"/>
    <w:rPr>
      <w:rFonts w:ascii="Times New Roman Bold" w:hAnsi="Times New Roman Bold" w:cs="Times New Roman Bold"/>
      <w:b/>
      <w:bCs/>
      <w:sz w:val="24"/>
      <w:szCs w:val="24"/>
      <w:lang w:val="en-GB" w:eastAsia="en-US" w:bidi="ar-SA"/>
    </w:rPr>
  </w:style>
  <w:style w:type="character" w:customStyle="1" w:styleId="Heading4Char">
    <w:name w:val="Heading 4 Char"/>
    <w:link w:val="Heading4"/>
    <w:uiPriority w:val="99"/>
    <w:locked/>
    <w:rsid w:val="009C4680"/>
    <w:rPr>
      <w:rFonts w:ascii="Times New Roman Bold" w:hAnsi="Times New Roman Bold" w:cs="Times New Roman Bold"/>
      <w:b/>
      <w:bCs/>
      <w:sz w:val="24"/>
      <w:szCs w:val="24"/>
      <w:lang w:val="en-GB" w:eastAsia="en-US" w:bidi="ar-SA"/>
    </w:rPr>
  </w:style>
  <w:style w:type="character" w:customStyle="1" w:styleId="Heading5Char">
    <w:name w:val="Heading 5 Char"/>
    <w:link w:val="Heading5"/>
    <w:uiPriority w:val="99"/>
    <w:locked/>
    <w:rsid w:val="009C4680"/>
    <w:rPr>
      <w:rFonts w:ascii="Times New Roman Bold" w:hAnsi="Times New Roman Bold" w:cs="Times New Roman Bold"/>
      <w:b/>
      <w:bCs/>
      <w:sz w:val="24"/>
      <w:szCs w:val="24"/>
      <w:lang w:val="en-GB" w:eastAsia="en-US" w:bidi="ar-SA"/>
    </w:rPr>
  </w:style>
  <w:style w:type="character" w:customStyle="1" w:styleId="Heading6Char">
    <w:name w:val="Heading 6 Char"/>
    <w:link w:val="Heading6"/>
    <w:uiPriority w:val="99"/>
    <w:locked/>
    <w:rsid w:val="009C4680"/>
    <w:rPr>
      <w:rFonts w:ascii="Times New Roman Bold" w:hAnsi="Times New Roman Bold" w:cs="Times New Roman Bold"/>
      <w:b/>
      <w:bCs/>
      <w:caps/>
      <w:sz w:val="24"/>
      <w:szCs w:val="24"/>
      <w:lang w:val="en-GB" w:eastAsia="en-US"/>
    </w:rPr>
  </w:style>
  <w:style w:type="character" w:customStyle="1" w:styleId="Heading7Char">
    <w:name w:val="Heading 7 Char"/>
    <w:link w:val="Heading7"/>
    <w:uiPriority w:val="99"/>
    <w:locked/>
    <w:rsid w:val="009C4680"/>
    <w:rPr>
      <w:rFonts w:ascii="Times New Roman Bold" w:hAnsi="Times New Roman Bold" w:cs="Times New Roman Bold"/>
      <w:b/>
      <w:bCs/>
      <w:sz w:val="24"/>
      <w:szCs w:val="24"/>
      <w:lang w:val="en-GB" w:eastAsia="en-US"/>
    </w:rPr>
  </w:style>
  <w:style w:type="character" w:customStyle="1" w:styleId="Heading8Char">
    <w:name w:val="Heading 8 Char"/>
    <w:link w:val="Heading8"/>
    <w:uiPriority w:val="99"/>
    <w:locked/>
    <w:rsid w:val="009C4680"/>
    <w:rPr>
      <w:rFonts w:cs="Times New Roman"/>
      <w:sz w:val="24"/>
      <w:szCs w:val="24"/>
      <w:u w:val="single"/>
      <w:lang w:val="en-GB" w:eastAsia="en-US"/>
    </w:rPr>
  </w:style>
  <w:style w:type="character" w:customStyle="1" w:styleId="Heading9Char">
    <w:name w:val="Heading 9 Char"/>
    <w:link w:val="Heading9"/>
    <w:uiPriority w:val="99"/>
    <w:locked/>
    <w:rsid w:val="009C4680"/>
    <w:rPr>
      <w:rFonts w:cs="Times New Roman"/>
      <w:i/>
      <w:iCs/>
      <w:sz w:val="24"/>
      <w:szCs w:val="24"/>
      <w:lang w:val="en-GB" w:eastAsia="en-US"/>
    </w:rPr>
  </w:style>
  <w:style w:type="paragraph" w:styleId="BodyText">
    <w:name w:val="Body Text"/>
    <w:aliases w:val="Body Text Char,Char Char Char,Char,Char Char Char Cha Char Char,Char Char Char Cha Char Char Char C,Char Char Char Cha,Char Char Char Cha Char,Char Char Char Cha Char Char Char C Char Char Char"/>
    <w:basedOn w:val="Normal"/>
    <w:link w:val="BodyTextChar2"/>
    <w:uiPriority w:val="99"/>
    <w:rsid w:val="00841A91"/>
    <w:pPr>
      <w:spacing w:after="180"/>
      <w:jc w:val="both"/>
    </w:pPr>
    <w:rPr>
      <w:szCs w:val="20"/>
      <w:lang w:val="en-GB"/>
    </w:rPr>
  </w:style>
  <w:style w:type="character" w:customStyle="1" w:styleId="BodyTextChar1">
    <w:name w:val="Body Text Char1"/>
    <w:aliases w:val="Body Text Char Char,Char Char Char Char,Char Char,Char Char Char Cha Char Char Char,Char Char Char Cha Char Char Char C Char,Char Char Char Cha Char1,Char Char Char Cha Char Char1,Char Char Char Cha Char Char Char C Char Char Char Char"/>
    <w:uiPriority w:val="99"/>
    <w:semiHidden/>
    <w:locked/>
    <w:rsid w:val="005C6C56"/>
    <w:rPr>
      <w:rFonts w:cs="Times New Roman"/>
      <w:sz w:val="24"/>
      <w:szCs w:val="24"/>
    </w:rPr>
  </w:style>
  <w:style w:type="character" w:customStyle="1" w:styleId="BodyTextChar2">
    <w:name w:val="Body Text Char2"/>
    <w:aliases w:val="Body Text Char Char1,Char Char Char Char1,Char Char1,Char Char Char Cha Char Char Char2,Char Char Char Cha Char Char Char C Char2,Char Char Char Cha Char2,Char Char Char Cha Char Char2"/>
    <w:link w:val="BodyText"/>
    <w:uiPriority w:val="99"/>
    <w:locked/>
    <w:rsid w:val="00934B66"/>
    <w:rPr>
      <w:sz w:val="24"/>
      <w:lang w:val="en-GB" w:eastAsia="en-US"/>
    </w:rPr>
  </w:style>
  <w:style w:type="paragraph" w:customStyle="1" w:styleId="Tabletitle">
    <w:name w:val="Table title"/>
    <w:basedOn w:val="Normal"/>
    <w:next w:val="Normal"/>
    <w:uiPriority w:val="99"/>
    <w:rsid w:val="00841A91"/>
  </w:style>
  <w:style w:type="paragraph" w:customStyle="1" w:styleId="Tabletext">
    <w:name w:val="Table text"/>
    <w:uiPriority w:val="99"/>
    <w:rsid w:val="00841A91"/>
    <w:pPr>
      <w:keepNext/>
      <w:keepLines/>
      <w:spacing w:before="54" w:after="54"/>
    </w:pPr>
    <w:rPr>
      <w:lang w:eastAsia="da-DK"/>
    </w:rPr>
  </w:style>
  <w:style w:type="paragraph" w:styleId="TOC6">
    <w:name w:val="toc 6"/>
    <w:basedOn w:val="TOC1"/>
    <w:next w:val="Normal"/>
    <w:autoRedefine/>
    <w:uiPriority w:val="99"/>
    <w:semiHidden/>
    <w:rsid w:val="00841A91"/>
    <w:pPr>
      <w:tabs>
        <w:tab w:val="clear" w:pos="284"/>
      </w:tabs>
    </w:pPr>
  </w:style>
  <w:style w:type="paragraph" w:styleId="TOC1">
    <w:name w:val="toc 1"/>
    <w:basedOn w:val="Normal"/>
    <w:next w:val="BodyText"/>
    <w:autoRedefine/>
    <w:uiPriority w:val="99"/>
    <w:semiHidden/>
    <w:rsid w:val="00841A91"/>
    <w:pPr>
      <w:tabs>
        <w:tab w:val="left" w:pos="284"/>
        <w:tab w:val="left" w:leader="dot" w:pos="9214"/>
        <w:tab w:val="right" w:pos="9639"/>
      </w:tabs>
      <w:spacing w:before="240"/>
    </w:pPr>
    <w:rPr>
      <w:caps/>
      <w:noProof/>
      <w:sz w:val="20"/>
      <w:szCs w:val="20"/>
    </w:rPr>
  </w:style>
  <w:style w:type="paragraph" w:styleId="BlockText">
    <w:name w:val="Block Text"/>
    <w:basedOn w:val="BodyText"/>
    <w:next w:val="BodyText"/>
    <w:uiPriority w:val="99"/>
    <w:rsid w:val="00841A91"/>
    <w:pPr>
      <w:ind w:left="1440" w:right="1440"/>
    </w:pPr>
  </w:style>
  <w:style w:type="paragraph" w:styleId="BodyText2">
    <w:name w:val="Body Text 2"/>
    <w:basedOn w:val="BodyText"/>
    <w:link w:val="BodyText2Char"/>
    <w:uiPriority w:val="99"/>
    <w:rsid w:val="00841A91"/>
    <w:pPr>
      <w:suppressAutoHyphens/>
      <w:spacing w:after="0"/>
    </w:pPr>
  </w:style>
  <w:style w:type="character" w:customStyle="1" w:styleId="BodyText2Char">
    <w:name w:val="Body Text 2 Char"/>
    <w:link w:val="BodyText2"/>
    <w:uiPriority w:val="99"/>
    <w:locked/>
    <w:rsid w:val="009C4680"/>
    <w:rPr>
      <w:rFonts w:cs="Times New Roman"/>
      <w:sz w:val="24"/>
      <w:szCs w:val="24"/>
      <w:lang w:val="en-GB" w:eastAsia="en-US"/>
    </w:rPr>
  </w:style>
  <w:style w:type="paragraph" w:styleId="Caption">
    <w:name w:val="caption"/>
    <w:basedOn w:val="Normal"/>
    <w:next w:val="BodyText"/>
    <w:uiPriority w:val="99"/>
    <w:qFormat/>
    <w:rsid w:val="00841A91"/>
    <w:pPr>
      <w:keepNext/>
      <w:spacing w:before="360" w:after="90"/>
      <w:ind w:left="839"/>
    </w:pPr>
    <w:rPr>
      <w:rFonts w:ascii="Times New Roman Bold" w:hAnsi="Times New Roman Bold" w:cs="Times New Roman Bold"/>
      <w:b/>
      <w:bCs/>
    </w:rPr>
  </w:style>
  <w:style w:type="paragraph" w:styleId="Title">
    <w:name w:val="Title"/>
    <w:basedOn w:val="Normal"/>
    <w:next w:val="BodyText"/>
    <w:link w:val="TitleChar"/>
    <w:uiPriority w:val="99"/>
    <w:qFormat/>
    <w:rsid w:val="00841A91"/>
    <w:pPr>
      <w:spacing w:before="3120" w:after="320"/>
      <w:jc w:val="center"/>
      <w:outlineLvl w:val="0"/>
    </w:pPr>
    <w:rPr>
      <w:rFonts w:ascii="Algerian" w:hAnsi="Algerian" w:cs="Algerian"/>
      <w:b/>
      <w:bCs/>
      <w:i/>
      <w:iCs/>
      <w:kern w:val="28"/>
      <w:sz w:val="72"/>
      <w:szCs w:val="72"/>
      <w:lang w:val="en-GB"/>
    </w:rPr>
  </w:style>
  <w:style w:type="character" w:customStyle="1" w:styleId="TitleChar">
    <w:name w:val="Title Char"/>
    <w:link w:val="Title"/>
    <w:uiPriority w:val="99"/>
    <w:locked/>
    <w:rsid w:val="009C4680"/>
    <w:rPr>
      <w:rFonts w:ascii="Algerian" w:hAnsi="Algerian" w:cs="Algerian"/>
      <w:b/>
      <w:bCs/>
      <w:i/>
      <w:iCs/>
      <w:kern w:val="28"/>
      <w:sz w:val="32"/>
      <w:szCs w:val="32"/>
      <w:lang w:val="en-GB" w:eastAsia="en-US"/>
    </w:rPr>
  </w:style>
  <w:style w:type="paragraph" w:styleId="Subtitle">
    <w:name w:val="Subtitle"/>
    <w:basedOn w:val="Normal"/>
    <w:next w:val="BodyText"/>
    <w:link w:val="SubtitleChar"/>
    <w:uiPriority w:val="99"/>
    <w:qFormat/>
    <w:rsid w:val="00841A91"/>
    <w:pPr>
      <w:jc w:val="center"/>
      <w:outlineLvl w:val="1"/>
    </w:pPr>
    <w:rPr>
      <w:rFonts w:ascii="Algerian" w:hAnsi="Algerian" w:cs="Algerian"/>
      <w:b/>
      <w:bCs/>
      <w:i/>
      <w:iCs/>
      <w:sz w:val="40"/>
      <w:szCs w:val="40"/>
    </w:rPr>
  </w:style>
  <w:style w:type="character" w:customStyle="1" w:styleId="SubtitleChar">
    <w:name w:val="Subtitle Char"/>
    <w:link w:val="Subtitle"/>
    <w:uiPriority w:val="99"/>
    <w:locked/>
    <w:rsid w:val="009C4680"/>
    <w:rPr>
      <w:rFonts w:ascii="Algerian" w:hAnsi="Algerian" w:cs="Algerian"/>
      <w:b/>
      <w:bCs/>
      <w:i/>
      <w:iCs/>
      <w:sz w:val="40"/>
      <w:szCs w:val="40"/>
      <w:lang w:val="en-US" w:eastAsia="en-US"/>
    </w:rPr>
  </w:style>
  <w:style w:type="paragraph" w:styleId="BodyText3">
    <w:name w:val="Body Text 3"/>
    <w:basedOn w:val="BodyText"/>
    <w:link w:val="BodyText3Char"/>
    <w:uiPriority w:val="99"/>
    <w:rsid w:val="00841A91"/>
    <w:pPr>
      <w:spacing w:after="140"/>
    </w:pPr>
    <w:rPr>
      <w:sz w:val="20"/>
    </w:rPr>
  </w:style>
  <w:style w:type="character" w:customStyle="1" w:styleId="BodyText3Char">
    <w:name w:val="Body Text 3 Char"/>
    <w:link w:val="BodyText3"/>
    <w:uiPriority w:val="99"/>
    <w:locked/>
    <w:rsid w:val="009C4680"/>
    <w:rPr>
      <w:rFonts w:cs="Times New Roman"/>
      <w:lang w:val="en-GB" w:eastAsia="en-US"/>
    </w:rPr>
  </w:style>
  <w:style w:type="paragraph" w:styleId="TOC2">
    <w:name w:val="toc 2"/>
    <w:basedOn w:val="TOC1"/>
    <w:next w:val="BodyText"/>
    <w:autoRedefine/>
    <w:uiPriority w:val="99"/>
    <w:semiHidden/>
    <w:rsid w:val="00841A91"/>
    <w:pPr>
      <w:tabs>
        <w:tab w:val="clear" w:pos="284"/>
        <w:tab w:val="left" w:pos="709"/>
      </w:tabs>
      <w:ind w:left="709" w:hanging="425"/>
    </w:pPr>
    <w:rPr>
      <w:caps w:val="0"/>
    </w:rPr>
  </w:style>
  <w:style w:type="paragraph" w:styleId="TOC3">
    <w:name w:val="toc 3"/>
    <w:basedOn w:val="TOC2"/>
    <w:next w:val="BodyText"/>
    <w:autoRedefine/>
    <w:uiPriority w:val="99"/>
    <w:semiHidden/>
    <w:rsid w:val="00841A91"/>
    <w:pPr>
      <w:tabs>
        <w:tab w:val="clear" w:pos="709"/>
        <w:tab w:val="left" w:pos="1276"/>
      </w:tabs>
      <w:spacing w:before="0"/>
      <w:ind w:left="1276" w:hanging="567"/>
    </w:pPr>
  </w:style>
  <w:style w:type="paragraph" w:styleId="TOC4">
    <w:name w:val="toc 4"/>
    <w:basedOn w:val="TOC3"/>
    <w:next w:val="BodyText"/>
    <w:autoRedefine/>
    <w:uiPriority w:val="99"/>
    <w:semiHidden/>
    <w:rsid w:val="00841A91"/>
    <w:pPr>
      <w:tabs>
        <w:tab w:val="clear" w:pos="1276"/>
        <w:tab w:val="left" w:pos="1985"/>
      </w:tabs>
      <w:ind w:left="1985" w:hanging="709"/>
    </w:pPr>
  </w:style>
  <w:style w:type="paragraph" w:styleId="TOC5">
    <w:name w:val="toc 5"/>
    <w:basedOn w:val="TOC1"/>
    <w:next w:val="BodyText"/>
    <w:autoRedefine/>
    <w:uiPriority w:val="99"/>
    <w:semiHidden/>
    <w:rsid w:val="00841A91"/>
    <w:pPr>
      <w:tabs>
        <w:tab w:val="clear" w:pos="284"/>
      </w:tabs>
      <w:spacing w:before="0"/>
    </w:pPr>
    <w:rPr>
      <w:caps w:val="0"/>
      <w:lang w:val="en-GB"/>
    </w:rPr>
  </w:style>
  <w:style w:type="paragraph" w:styleId="TableofFigures">
    <w:name w:val="table of figures"/>
    <w:basedOn w:val="Normal"/>
    <w:next w:val="BodyText"/>
    <w:uiPriority w:val="99"/>
    <w:semiHidden/>
    <w:rsid w:val="00841A91"/>
    <w:pPr>
      <w:tabs>
        <w:tab w:val="left" w:leader="dot" w:pos="9214"/>
        <w:tab w:val="right" w:pos="9639"/>
      </w:tabs>
    </w:pPr>
    <w:rPr>
      <w:sz w:val="20"/>
      <w:szCs w:val="20"/>
    </w:rPr>
  </w:style>
  <w:style w:type="paragraph" w:customStyle="1" w:styleId="Tablenote">
    <w:name w:val="Table note"/>
    <w:next w:val="BodyText"/>
    <w:uiPriority w:val="99"/>
    <w:rsid w:val="00841A91"/>
    <w:pPr>
      <w:spacing w:before="90"/>
      <w:ind w:left="839"/>
      <w:jc w:val="both"/>
    </w:pPr>
    <w:rPr>
      <w:spacing w:val="-3"/>
    </w:rPr>
  </w:style>
  <w:style w:type="paragraph" w:styleId="Header">
    <w:name w:val="header"/>
    <w:basedOn w:val="Normal"/>
    <w:link w:val="HeaderChar"/>
    <w:uiPriority w:val="99"/>
    <w:rsid w:val="00841A91"/>
    <w:pPr>
      <w:widowControl w:val="0"/>
      <w:pBdr>
        <w:bottom w:val="single" w:sz="6" w:space="2" w:color="auto"/>
      </w:pBdr>
      <w:tabs>
        <w:tab w:val="center" w:pos="4820"/>
        <w:tab w:val="right" w:pos="9639"/>
      </w:tabs>
    </w:pPr>
    <w:rPr>
      <w:caps/>
      <w:noProof/>
    </w:rPr>
  </w:style>
  <w:style w:type="character" w:customStyle="1" w:styleId="HeaderChar">
    <w:name w:val="Header Char"/>
    <w:link w:val="Header"/>
    <w:uiPriority w:val="99"/>
    <w:locked/>
    <w:rsid w:val="009C4680"/>
    <w:rPr>
      <w:rFonts w:cs="Times New Roman"/>
      <w:caps/>
      <w:noProof/>
      <w:sz w:val="24"/>
      <w:szCs w:val="24"/>
      <w:lang w:val="en-US" w:eastAsia="en-US"/>
    </w:rPr>
  </w:style>
  <w:style w:type="paragraph" w:styleId="ListBullet">
    <w:name w:val="List Bullet"/>
    <w:basedOn w:val="Normal"/>
    <w:next w:val="BodyText"/>
    <w:uiPriority w:val="99"/>
    <w:rsid w:val="00841A91"/>
    <w:pPr>
      <w:tabs>
        <w:tab w:val="left" w:pos="357"/>
      </w:tabs>
      <w:ind w:left="357" w:hanging="357"/>
      <w:jc w:val="both"/>
    </w:pPr>
  </w:style>
  <w:style w:type="paragraph" w:styleId="ListNumber">
    <w:name w:val="List Number"/>
    <w:basedOn w:val="Normal"/>
    <w:next w:val="BodyText"/>
    <w:uiPriority w:val="99"/>
    <w:rsid w:val="00841A91"/>
    <w:pPr>
      <w:tabs>
        <w:tab w:val="left" w:pos="357"/>
      </w:tabs>
      <w:ind w:left="357" w:hanging="357"/>
      <w:jc w:val="both"/>
    </w:pPr>
  </w:style>
  <w:style w:type="paragraph" w:styleId="Footer">
    <w:name w:val="footer"/>
    <w:basedOn w:val="Header"/>
    <w:link w:val="FooterChar"/>
    <w:uiPriority w:val="99"/>
    <w:rsid w:val="00841A91"/>
    <w:pPr>
      <w:pBdr>
        <w:top w:val="single" w:sz="6" w:space="2" w:color="auto"/>
        <w:bottom w:val="none" w:sz="0" w:space="0" w:color="auto"/>
      </w:pBdr>
    </w:pPr>
    <w:rPr>
      <w:caps w:val="0"/>
      <w:sz w:val="20"/>
      <w:szCs w:val="20"/>
    </w:rPr>
  </w:style>
  <w:style w:type="character" w:customStyle="1" w:styleId="FooterChar">
    <w:name w:val="Footer Char"/>
    <w:link w:val="Footer"/>
    <w:uiPriority w:val="99"/>
    <w:locked/>
    <w:rsid w:val="009C4680"/>
    <w:rPr>
      <w:rFonts w:cs="Times New Roman"/>
      <w:noProof/>
      <w:lang w:val="en-US" w:eastAsia="en-US"/>
    </w:rPr>
  </w:style>
  <w:style w:type="character" w:styleId="PageNumber">
    <w:name w:val="page number"/>
    <w:uiPriority w:val="99"/>
    <w:rsid w:val="00841A91"/>
    <w:rPr>
      <w:rFonts w:ascii="Times New Roman" w:hAnsi="Times New Roman" w:cs="Times New Roman"/>
      <w:sz w:val="20"/>
      <w:szCs w:val="20"/>
    </w:rPr>
  </w:style>
  <w:style w:type="paragraph" w:styleId="TOC7">
    <w:name w:val="toc 7"/>
    <w:basedOn w:val="Normal"/>
    <w:next w:val="Normal"/>
    <w:autoRedefine/>
    <w:uiPriority w:val="99"/>
    <w:semiHidden/>
    <w:rsid w:val="00841A91"/>
    <w:pPr>
      <w:ind w:left="1440"/>
    </w:pPr>
  </w:style>
  <w:style w:type="paragraph" w:styleId="BodyTextFirstIndent">
    <w:name w:val="Body Text First Indent"/>
    <w:basedOn w:val="BodyText"/>
    <w:link w:val="BodyTextFirstIndentChar"/>
    <w:uiPriority w:val="99"/>
    <w:rsid w:val="00841A91"/>
    <w:pPr>
      <w:ind w:firstLine="210"/>
    </w:pPr>
  </w:style>
  <w:style w:type="character" w:customStyle="1" w:styleId="BodyTextFirstIndentChar">
    <w:name w:val="Body Text First Indent Char"/>
    <w:link w:val="BodyTextFirstIndent"/>
    <w:uiPriority w:val="99"/>
    <w:locked/>
    <w:rsid w:val="009C4680"/>
    <w:rPr>
      <w:rFonts w:cs="Times New Roman"/>
      <w:sz w:val="24"/>
      <w:szCs w:val="24"/>
      <w:lang w:val="en-GB" w:eastAsia="en-US"/>
    </w:rPr>
  </w:style>
  <w:style w:type="character" w:customStyle="1" w:styleId="BodyTextChar11">
    <w:name w:val="Body Text Char11"/>
    <w:aliases w:val="Body Text Char Char2,Char Char Char Char2,Char Char2,Char Char Char Cha Char Char Char1,Char Char Char Cha Char Char Char C Char1,Char Char Char Cha Char11,Char Char Char Cha Char Char11"/>
    <w:uiPriority w:val="99"/>
    <w:locked/>
    <w:rsid w:val="00E45D20"/>
    <w:rPr>
      <w:sz w:val="24"/>
      <w:lang w:val="en-GB" w:eastAsia="en-US"/>
    </w:rPr>
  </w:style>
  <w:style w:type="paragraph" w:styleId="BodyTextIndent">
    <w:name w:val="Body Text Indent"/>
    <w:basedOn w:val="Normal"/>
    <w:next w:val="BodyText"/>
    <w:link w:val="BodyTextIndentChar"/>
    <w:uiPriority w:val="99"/>
    <w:rsid w:val="00841A91"/>
    <w:pPr>
      <w:spacing w:after="180"/>
      <w:ind w:left="357"/>
      <w:jc w:val="both"/>
    </w:pPr>
    <w:rPr>
      <w:lang w:val="en-GB"/>
    </w:rPr>
  </w:style>
  <w:style w:type="character" w:customStyle="1" w:styleId="BodyTextIndentChar">
    <w:name w:val="Body Text Indent Char"/>
    <w:link w:val="BodyTextIndent"/>
    <w:uiPriority w:val="99"/>
    <w:locked/>
    <w:rsid w:val="009C4680"/>
    <w:rPr>
      <w:rFonts w:cs="Times New Roman"/>
      <w:sz w:val="24"/>
      <w:szCs w:val="24"/>
      <w:lang w:val="en-GB" w:eastAsia="en-US"/>
    </w:rPr>
  </w:style>
  <w:style w:type="paragraph" w:styleId="BodyTextFirstIndent2">
    <w:name w:val="Body Text First Indent 2"/>
    <w:basedOn w:val="BodyTextIndent"/>
    <w:link w:val="BodyTextFirstIndent2Char"/>
    <w:uiPriority w:val="99"/>
    <w:rsid w:val="00841A91"/>
    <w:pPr>
      <w:ind w:firstLine="210"/>
    </w:pPr>
  </w:style>
  <w:style w:type="character" w:customStyle="1" w:styleId="BodyTextFirstIndent2Char">
    <w:name w:val="Body Text First Indent 2 Char"/>
    <w:link w:val="BodyTextFirstIndent2"/>
    <w:uiPriority w:val="99"/>
    <w:locked/>
    <w:rsid w:val="009C4680"/>
    <w:rPr>
      <w:rFonts w:cs="Times New Roman"/>
      <w:sz w:val="24"/>
      <w:szCs w:val="24"/>
      <w:lang w:val="en-GB" w:eastAsia="en-US"/>
    </w:rPr>
  </w:style>
  <w:style w:type="paragraph" w:styleId="EndnoteText">
    <w:name w:val="endnote text"/>
    <w:basedOn w:val="Normal"/>
    <w:link w:val="EndnoteTextChar"/>
    <w:uiPriority w:val="99"/>
    <w:semiHidden/>
    <w:rsid w:val="00841A91"/>
    <w:rPr>
      <w:sz w:val="20"/>
      <w:szCs w:val="20"/>
      <w:lang w:val="en-GB"/>
    </w:rPr>
  </w:style>
  <w:style w:type="character" w:customStyle="1" w:styleId="EndnoteTextChar">
    <w:name w:val="Endnote Text Char"/>
    <w:link w:val="EndnoteText"/>
    <w:uiPriority w:val="99"/>
    <w:semiHidden/>
    <w:locked/>
    <w:rsid w:val="009C4680"/>
    <w:rPr>
      <w:rFonts w:cs="Times New Roman"/>
      <w:lang w:val="en-GB" w:eastAsia="en-US"/>
    </w:rPr>
  </w:style>
  <w:style w:type="paragraph" w:styleId="FootnoteText">
    <w:name w:val="footnote text"/>
    <w:basedOn w:val="BodyText3"/>
    <w:link w:val="FootnoteTextChar"/>
    <w:uiPriority w:val="99"/>
    <w:semiHidden/>
    <w:rsid w:val="00841A91"/>
  </w:style>
  <w:style w:type="character" w:customStyle="1" w:styleId="FootnoteTextChar">
    <w:name w:val="Footnote Text Char"/>
    <w:link w:val="FootnoteText"/>
    <w:uiPriority w:val="99"/>
    <w:semiHidden/>
    <w:locked/>
    <w:rsid w:val="009C4680"/>
    <w:rPr>
      <w:rFonts w:cs="Times New Roman"/>
      <w:lang w:val="en-GB" w:eastAsia="en-US"/>
    </w:rPr>
  </w:style>
  <w:style w:type="paragraph" w:styleId="Index2">
    <w:name w:val="index 2"/>
    <w:basedOn w:val="Normal"/>
    <w:next w:val="Normal"/>
    <w:autoRedefine/>
    <w:uiPriority w:val="99"/>
    <w:semiHidden/>
    <w:rsid w:val="00841A91"/>
    <w:pPr>
      <w:ind w:left="480" w:hanging="240"/>
    </w:pPr>
  </w:style>
  <w:style w:type="paragraph" w:customStyle="1" w:styleId="CoverTitle">
    <w:name w:val="Cover Title"/>
    <w:basedOn w:val="BodyText"/>
    <w:next w:val="BodyText"/>
    <w:uiPriority w:val="99"/>
    <w:rsid w:val="00841A91"/>
    <w:pPr>
      <w:spacing w:before="240" w:after="240"/>
      <w:jc w:val="center"/>
    </w:pPr>
    <w:rPr>
      <w:rFonts w:ascii="Times New Roman Bold" w:hAnsi="Times New Roman Bold" w:cs="Times New Roman Bold"/>
      <w:b/>
      <w:bCs/>
      <w:sz w:val="32"/>
      <w:szCs w:val="32"/>
    </w:rPr>
  </w:style>
  <w:style w:type="paragraph" w:styleId="ListBullet2">
    <w:name w:val="List Bullet 2"/>
    <w:basedOn w:val="Normal"/>
    <w:next w:val="BodyText"/>
    <w:uiPriority w:val="99"/>
    <w:rsid w:val="00841A91"/>
    <w:pPr>
      <w:tabs>
        <w:tab w:val="num" w:pos="720"/>
      </w:tabs>
      <w:ind w:left="714" w:hanging="357"/>
    </w:pPr>
  </w:style>
  <w:style w:type="paragraph" w:styleId="ListBullet3">
    <w:name w:val="List Bullet 3"/>
    <w:basedOn w:val="Normal"/>
    <w:next w:val="BodyText"/>
    <w:uiPriority w:val="99"/>
    <w:rsid w:val="00841A91"/>
    <w:pPr>
      <w:tabs>
        <w:tab w:val="left" w:pos="1077"/>
      </w:tabs>
      <w:ind w:left="1077" w:hanging="357"/>
    </w:pPr>
  </w:style>
  <w:style w:type="paragraph" w:styleId="ListNumber2">
    <w:name w:val="List Number 2"/>
    <w:basedOn w:val="Normal"/>
    <w:next w:val="BodyText"/>
    <w:uiPriority w:val="99"/>
    <w:rsid w:val="00841A91"/>
    <w:pPr>
      <w:tabs>
        <w:tab w:val="num" w:pos="720"/>
      </w:tabs>
      <w:ind w:left="720" w:hanging="360"/>
    </w:pPr>
    <w:rPr>
      <w:lang w:val="en-GB"/>
    </w:rPr>
  </w:style>
  <w:style w:type="paragraph" w:customStyle="1" w:styleId="Listalpha">
    <w:name w:val="List alpha"/>
    <w:basedOn w:val="ListNumber"/>
    <w:next w:val="BodyText"/>
    <w:uiPriority w:val="99"/>
    <w:rsid w:val="00841A91"/>
    <w:pPr>
      <w:tabs>
        <w:tab w:val="clear" w:pos="357"/>
        <w:tab w:val="num" w:pos="360"/>
      </w:tabs>
      <w:ind w:left="360" w:hanging="360"/>
    </w:pPr>
  </w:style>
  <w:style w:type="paragraph" w:styleId="TOC8">
    <w:name w:val="toc 8"/>
    <w:basedOn w:val="Normal"/>
    <w:next w:val="Normal"/>
    <w:autoRedefine/>
    <w:uiPriority w:val="99"/>
    <w:semiHidden/>
    <w:rsid w:val="00841A91"/>
    <w:pPr>
      <w:ind w:left="1680"/>
    </w:pPr>
  </w:style>
  <w:style w:type="paragraph" w:styleId="TOC9">
    <w:name w:val="toc 9"/>
    <w:basedOn w:val="Normal"/>
    <w:next w:val="Normal"/>
    <w:autoRedefine/>
    <w:uiPriority w:val="99"/>
    <w:semiHidden/>
    <w:rsid w:val="00841A91"/>
    <w:pPr>
      <w:ind w:left="1920"/>
    </w:pPr>
  </w:style>
  <w:style w:type="character" w:styleId="Hyperlink">
    <w:name w:val="Hyperlink"/>
    <w:uiPriority w:val="99"/>
    <w:rsid w:val="00841A91"/>
    <w:rPr>
      <w:rFonts w:ascii="Times New Roman" w:hAnsi="Times New Roman" w:cs="Times New Roman"/>
      <w:color w:val="0000FF"/>
      <w:sz w:val="20"/>
      <w:szCs w:val="20"/>
      <w:u w:val="single"/>
    </w:rPr>
  </w:style>
  <w:style w:type="character" w:styleId="FootnoteReference">
    <w:name w:val="footnote reference"/>
    <w:uiPriority w:val="99"/>
    <w:semiHidden/>
    <w:rsid w:val="00841A91"/>
    <w:rPr>
      <w:rFonts w:cs="Times New Roman"/>
      <w:position w:val="6"/>
      <w:sz w:val="16"/>
      <w:szCs w:val="16"/>
    </w:rPr>
  </w:style>
  <w:style w:type="paragraph" w:customStyle="1" w:styleId="Default">
    <w:name w:val="Default"/>
    <w:uiPriority w:val="99"/>
    <w:rsid w:val="00087AA2"/>
    <w:pPr>
      <w:autoSpaceDE w:val="0"/>
      <w:autoSpaceDN w:val="0"/>
      <w:adjustRightInd w:val="0"/>
    </w:pPr>
    <w:rPr>
      <w:color w:val="000000"/>
      <w:sz w:val="24"/>
      <w:szCs w:val="24"/>
      <w:lang w:val="de-DE" w:eastAsia="de-DE"/>
    </w:rPr>
  </w:style>
  <w:style w:type="character" w:styleId="FollowedHyperlink">
    <w:name w:val="FollowedHyperlink"/>
    <w:uiPriority w:val="99"/>
    <w:rsid w:val="00431F82"/>
    <w:rPr>
      <w:rFonts w:cs="Times New Roman"/>
      <w:color w:val="800080"/>
      <w:u w:val="single"/>
    </w:rPr>
  </w:style>
  <w:style w:type="paragraph" w:styleId="NormalWeb">
    <w:name w:val="Normal (Web)"/>
    <w:basedOn w:val="Normal"/>
    <w:uiPriority w:val="99"/>
    <w:rsid w:val="00C7635F"/>
    <w:pPr>
      <w:spacing w:before="100" w:beforeAutospacing="1" w:after="100" w:afterAutospacing="1"/>
    </w:pPr>
    <w:rPr>
      <w:lang w:val="de-DE" w:eastAsia="de-DE"/>
    </w:rPr>
  </w:style>
  <w:style w:type="paragraph" w:styleId="HTMLPreformatted">
    <w:name w:val="HTML Preformatted"/>
    <w:basedOn w:val="Normal"/>
    <w:link w:val="HTMLPreformattedChar"/>
    <w:uiPriority w:val="99"/>
    <w:rsid w:val="00F6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de-DE" w:eastAsia="de-DE"/>
    </w:rPr>
  </w:style>
  <w:style w:type="character" w:customStyle="1" w:styleId="HTMLPreformattedChar">
    <w:name w:val="HTML Preformatted Char"/>
    <w:link w:val="HTMLPreformatted"/>
    <w:uiPriority w:val="99"/>
    <w:locked/>
    <w:rsid w:val="009C4680"/>
    <w:rPr>
      <w:rFonts w:ascii="Courier New" w:hAnsi="Courier New" w:cs="Courier New"/>
      <w:lang w:val="de-DE" w:eastAsia="de-DE"/>
    </w:rPr>
  </w:style>
  <w:style w:type="paragraph" w:styleId="BalloonText">
    <w:name w:val="Balloon Text"/>
    <w:basedOn w:val="Normal"/>
    <w:link w:val="BalloonTextChar"/>
    <w:uiPriority w:val="99"/>
    <w:semiHidden/>
    <w:rsid w:val="00D14012"/>
    <w:rPr>
      <w:rFonts w:ascii="Tahoma" w:hAnsi="Tahoma" w:cs="Tahoma"/>
      <w:sz w:val="16"/>
      <w:szCs w:val="16"/>
    </w:rPr>
  </w:style>
  <w:style w:type="character" w:customStyle="1" w:styleId="BalloonTextChar">
    <w:name w:val="Balloon Text Char"/>
    <w:link w:val="BalloonText"/>
    <w:uiPriority w:val="99"/>
    <w:semiHidden/>
    <w:locked/>
    <w:rsid w:val="009C4680"/>
    <w:rPr>
      <w:rFonts w:ascii="Tahoma" w:hAnsi="Tahoma" w:cs="Tahoma"/>
      <w:sz w:val="16"/>
      <w:szCs w:val="16"/>
      <w:lang w:val="en-US" w:eastAsia="en-US"/>
    </w:rPr>
  </w:style>
  <w:style w:type="paragraph" w:customStyle="1" w:styleId="Text">
    <w:name w:val="Text"/>
    <w:basedOn w:val="Normal"/>
    <w:uiPriority w:val="99"/>
    <w:rsid w:val="007A399D"/>
    <w:pPr>
      <w:spacing w:before="240" w:line="300" w:lineRule="auto"/>
    </w:pPr>
  </w:style>
  <w:style w:type="character" w:customStyle="1" w:styleId="BodyTextCharZchnZchn">
    <w:name w:val="Body Text Char Zchn Zchn"/>
    <w:uiPriority w:val="99"/>
    <w:rsid w:val="00041428"/>
    <w:rPr>
      <w:sz w:val="24"/>
      <w:lang w:val="en-GB" w:eastAsia="en-US"/>
    </w:rPr>
  </w:style>
  <w:style w:type="paragraph" w:styleId="CommentText">
    <w:name w:val="annotation text"/>
    <w:basedOn w:val="Normal"/>
    <w:link w:val="CommentTextChar1"/>
    <w:uiPriority w:val="99"/>
    <w:semiHidden/>
    <w:rsid w:val="00F12EA7"/>
    <w:rPr>
      <w:sz w:val="20"/>
      <w:szCs w:val="20"/>
    </w:rPr>
  </w:style>
  <w:style w:type="character" w:customStyle="1" w:styleId="CommentTextChar">
    <w:name w:val="Comment Text Char"/>
    <w:uiPriority w:val="99"/>
    <w:locked/>
    <w:rsid w:val="00F20F2D"/>
    <w:rPr>
      <w:rFonts w:cs="Times New Roman"/>
      <w:lang w:val="en-US" w:eastAsia="en-US"/>
    </w:rPr>
  </w:style>
  <w:style w:type="character" w:customStyle="1" w:styleId="CommentTextChar1">
    <w:name w:val="Comment Text Char1"/>
    <w:link w:val="CommentText"/>
    <w:uiPriority w:val="99"/>
    <w:locked/>
    <w:rsid w:val="00F12EA7"/>
    <w:rPr>
      <w:lang w:val="en-US" w:eastAsia="en-US"/>
    </w:rPr>
  </w:style>
  <w:style w:type="paragraph" w:customStyle="1" w:styleId="MSDS-TZeile">
    <w:name w:val="MSDS-TZeile"/>
    <w:basedOn w:val="Normal"/>
    <w:next w:val="Normal"/>
    <w:uiPriority w:val="99"/>
    <w:rsid w:val="00A65ED4"/>
    <w:pPr>
      <w:autoSpaceDE w:val="0"/>
      <w:autoSpaceDN w:val="0"/>
      <w:ind w:left="57"/>
    </w:pPr>
    <w:rPr>
      <w:rFonts w:ascii="Arial" w:hAnsi="Arial" w:cs="Arial"/>
      <w:sz w:val="20"/>
      <w:szCs w:val="20"/>
      <w:lang w:val="de-DE"/>
    </w:rPr>
  </w:style>
  <w:style w:type="table" w:styleId="TableGrid">
    <w:name w:val="Table Grid"/>
    <w:basedOn w:val="TableNormal"/>
    <w:uiPriority w:val="99"/>
    <w:rsid w:val="00636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81528F"/>
    <w:rPr>
      <w:rFonts w:cs="Times New Roman"/>
      <w:sz w:val="16"/>
      <w:szCs w:val="16"/>
    </w:rPr>
  </w:style>
  <w:style w:type="paragraph" w:styleId="CommentSubject">
    <w:name w:val="annotation subject"/>
    <w:basedOn w:val="CommentText"/>
    <w:next w:val="CommentText"/>
    <w:link w:val="CommentSubjectChar"/>
    <w:uiPriority w:val="99"/>
    <w:semiHidden/>
    <w:rsid w:val="0081528F"/>
    <w:rPr>
      <w:b/>
      <w:bCs/>
    </w:rPr>
  </w:style>
  <w:style w:type="character" w:customStyle="1" w:styleId="CommentSubjectChar">
    <w:name w:val="Comment Subject Char"/>
    <w:link w:val="CommentSubject"/>
    <w:uiPriority w:val="99"/>
    <w:semiHidden/>
    <w:locked/>
    <w:rsid w:val="0081528F"/>
    <w:rPr>
      <w:rFonts w:cs="Times New Roman"/>
      <w:b/>
      <w:bCs/>
      <w:lang w:val="en-US" w:eastAsia="en-US"/>
    </w:rPr>
  </w:style>
  <w:style w:type="character" w:customStyle="1" w:styleId="name1">
    <w:name w:val="name1"/>
    <w:uiPriority w:val="99"/>
    <w:rsid w:val="00BD0B29"/>
    <w:rPr>
      <w:b/>
      <w:sz w:val="24"/>
    </w:rPr>
  </w:style>
  <w:style w:type="paragraph" w:styleId="Revision">
    <w:name w:val="Revision"/>
    <w:hidden/>
    <w:uiPriority w:val="99"/>
    <w:semiHidden/>
    <w:rsid w:val="008E04C8"/>
    <w:rPr>
      <w:sz w:val="24"/>
      <w:szCs w:val="24"/>
    </w:rPr>
  </w:style>
</w:styles>
</file>

<file path=word/webSettings.xml><?xml version="1.0" encoding="utf-8"?>
<w:webSettings xmlns:r="http://schemas.openxmlformats.org/officeDocument/2006/relationships" xmlns:w="http://schemas.openxmlformats.org/wordprocessingml/2006/main">
  <w:divs>
    <w:div w:id="970092559">
      <w:marLeft w:val="0"/>
      <w:marRight w:val="0"/>
      <w:marTop w:val="0"/>
      <w:marBottom w:val="0"/>
      <w:divBdr>
        <w:top w:val="none" w:sz="0" w:space="0" w:color="auto"/>
        <w:left w:val="none" w:sz="0" w:space="0" w:color="auto"/>
        <w:bottom w:val="none" w:sz="0" w:space="0" w:color="auto"/>
        <w:right w:val="none" w:sz="0" w:space="0" w:color="auto"/>
      </w:divBdr>
    </w:div>
    <w:div w:id="970092563">
      <w:marLeft w:val="0"/>
      <w:marRight w:val="0"/>
      <w:marTop w:val="0"/>
      <w:marBottom w:val="0"/>
      <w:divBdr>
        <w:top w:val="none" w:sz="0" w:space="0" w:color="auto"/>
        <w:left w:val="none" w:sz="0" w:space="0" w:color="auto"/>
        <w:bottom w:val="none" w:sz="0" w:space="0" w:color="auto"/>
        <w:right w:val="none" w:sz="0" w:space="0" w:color="auto"/>
      </w:divBdr>
    </w:div>
    <w:div w:id="970092565">
      <w:marLeft w:val="0"/>
      <w:marRight w:val="0"/>
      <w:marTop w:val="0"/>
      <w:marBottom w:val="0"/>
      <w:divBdr>
        <w:top w:val="none" w:sz="0" w:space="0" w:color="auto"/>
        <w:left w:val="none" w:sz="0" w:space="0" w:color="auto"/>
        <w:bottom w:val="none" w:sz="0" w:space="0" w:color="auto"/>
        <w:right w:val="none" w:sz="0" w:space="0" w:color="auto"/>
      </w:divBdr>
    </w:div>
    <w:div w:id="970092569">
      <w:marLeft w:val="0"/>
      <w:marRight w:val="0"/>
      <w:marTop w:val="0"/>
      <w:marBottom w:val="0"/>
      <w:divBdr>
        <w:top w:val="none" w:sz="0" w:space="0" w:color="auto"/>
        <w:left w:val="none" w:sz="0" w:space="0" w:color="auto"/>
        <w:bottom w:val="none" w:sz="0" w:space="0" w:color="auto"/>
        <w:right w:val="none" w:sz="0" w:space="0" w:color="auto"/>
      </w:divBdr>
    </w:div>
    <w:div w:id="970092586">
      <w:marLeft w:val="0"/>
      <w:marRight w:val="0"/>
      <w:marTop w:val="0"/>
      <w:marBottom w:val="0"/>
      <w:divBdr>
        <w:top w:val="none" w:sz="0" w:space="0" w:color="auto"/>
        <w:left w:val="none" w:sz="0" w:space="0" w:color="auto"/>
        <w:bottom w:val="none" w:sz="0" w:space="0" w:color="auto"/>
        <w:right w:val="none" w:sz="0" w:space="0" w:color="auto"/>
      </w:divBdr>
    </w:div>
    <w:div w:id="970092589">
      <w:marLeft w:val="0"/>
      <w:marRight w:val="0"/>
      <w:marTop w:val="0"/>
      <w:marBottom w:val="0"/>
      <w:divBdr>
        <w:top w:val="none" w:sz="0" w:space="0" w:color="auto"/>
        <w:left w:val="none" w:sz="0" w:space="0" w:color="auto"/>
        <w:bottom w:val="none" w:sz="0" w:space="0" w:color="auto"/>
        <w:right w:val="none" w:sz="0" w:space="0" w:color="auto"/>
      </w:divBdr>
    </w:div>
    <w:div w:id="970092590">
      <w:marLeft w:val="0"/>
      <w:marRight w:val="0"/>
      <w:marTop w:val="0"/>
      <w:marBottom w:val="0"/>
      <w:divBdr>
        <w:top w:val="none" w:sz="0" w:space="0" w:color="auto"/>
        <w:left w:val="none" w:sz="0" w:space="0" w:color="auto"/>
        <w:bottom w:val="none" w:sz="0" w:space="0" w:color="auto"/>
        <w:right w:val="none" w:sz="0" w:space="0" w:color="auto"/>
      </w:divBdr>
    </w:div>
    <w:div w:id="970092592">
      <w:marLeft w:val="0"/>
      <w:marRight w:val="0"/>
      <w:marTop w:val="0"/>
      <w:marBottom w:val="0"/>
      <w:divBdr>
        <w:top w:val="none" w:sz="0" w:space="0" w:color="auto"/>
        <w:left w:val="none" w:sz="0" w:space="0" w:color="auto"/>
        <w:bottom w:val="none" w:sz="0" w:space="0" w:color="auto"/>
        <w:right w:val="none" w:sz="0" w:space="0" w:color="auto"/>
      </w:divBdr>
    </w:div>
    <w:div w:id="970092596">
      <w:marLeft w:val="0"/>
      <w:marRight w:val="0"/>
      <w:marTop w:val="0"/>
      <w:marBottom w:val="0"/>
      <w:divBdr>
        <w:top w:val="none" w:sz="0" w:space="0" w:color="auto"/>
        <w:left w:val="none" w:sz="0" w:space="0" w:color="auto"/>
        <w:bottom w:val="none" w:sz="0" w:space="0" w:color="auto"/>
        <w:right w:val="none" w:sz="0" w:space="0" w:color="auto"/>
      </w:divBdr>
    </w:div>
    <w:div w:id="970092600">
      <w:marLeft w:val="0"/>
      <w:marRight w:val="0"/>
      <w:marTop w:val="0"/>
      <w:marBottom w:val="0"/>
      <w:divBdr>
        <w:top w:val="none" w:sz="0" w:space="0" w:color="auto"/>
        <w:left w:val="none" w:sz="0" w:space="0" w:color="auto"/>
        <w:bottom w:val="none" w:sz="0" w:space="0" w:color="auto"/>
        <w:right w:val="none" w:sz="0" w:space="0" w:color="auto"/>
      </w:divBdr>
    </w:div>
    <w:div w:id="970092606">
      <w:marLeft w:val="0"/>
      <w:marRight w:val="0"/>
      <w:marTop w:val="0"/>
      <w:marBottom w:val="0"/>
      <w:divBdr>
        <w:top w:val="none" w:sz="0" w:space="0" w:color="auto"/>
        <w:left w:val="none" w:sz="0" w:space="0" w:color="auto"/>
        <w:bottom w:val="none" w:sz="0" w:space="0" w:color="auto"/>
        <w:right w:val="none" w:sz="0" w:space="0" w:color="auto"/>
      </w:divBdr>
    </w:div>
    <w:div w:id="970092607">
      <w:marLeft w:val="0"/>
      <w:marRight w:val="0"/>
      <w:marTop w:val="0"/>
      <w:marBottom w:val="0"/>
      <w:divBdr>
        <w:top w:val="none" w:sz="0" w:space="0" w:color="auto"/>
        <w:left w:val="none" w:sz="0" w:space="0" w:color="auto"/>
        <w:bottom w:val="none" w:sz="0" w:space="0" w:color="auto"/>
        <w:right w:val="none" w:sz="0" w:space="0" w:color="auto"/>
      </w:divBdr>
    </w:div>
    <w:div w:id="970092618">
      <w:marLeft w:val="0"/>
      <w:marRight w:val="0"/>
      <w:marTop w:val="0"/>
      <w:marBottom w:val="0"/>
      <w:divBdr>
        <w:top w:val="none" w:sz="0" w:space="0" w:color="auto"/>
        <w:left w:val="none" w:sz="0" w:space="0" w:color="auto"/>
        <w:bottom w:val="none" w:sz="0" w:space="0" w:color="auto"/>
        <w:right w:val="none" w:sz="0" w:space="0" w:color="auto"/>
      </w:divBdr>
      <w:divsChild>
        <w:div w:id="970092647">
          <w:marLeft w:val="0"/>
          <w:marRight w:val="0"/>
          <w:marTop w:val="0"/>
          <w:marBottom w:val="0"/>
          <w:divBdr>
            <w:top w:val="none" w:sz="0" w:space="0" w:color="auto"/>
            <w:left w:val="none" w:sz="0" w:space="0" w:color="auto"/>
            <w:bottom w:val="none" w:sz="0" w:space="0" w:color="auto"/>
            <w:right w:val="none" w:sz="0" w:space="0" w:color="auto"/>
          </w:divBdr>
          <w:divsChild>
            <w:div w:id="9700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92622">
      <w:marLeft w:val="0"/>
      <w:marRight w:val="0"/>
      <w:marTop w:val="0"/>
      <w:marBottom w:val="0"/>
      <w:divBdr>
        <w:top w:val="none" w:sz="0" w:space="0" w:color="auto"/>
        <w:left w:val="none" w:sz="0" w:space="0" w:color="auto"/>
        <w:bottom w:val="none" w:sz="0" w:space="0" w:color="auto"/>
        <w:right w:val="none" w:sz="0" w:space="0" w:color="auto"/>
      </w:divBdr>
      <w:divsChild>
        <w:div w:id="970092577">
          <w:marLeft w:val="0"/>
          <w:marRight w:val="0"/>
          <w:marTop w:val="0"/>
          <w:marBottom w:val="0"/>
          <w:divBdr>
            <w:top w:val="none" w:sz="0" w:space="0" w:color="auto"/>
            <w:left w:val="none" w:sz="0" w:space="0" w:color="auto"/>
            <w:bottom w:val="none" w:sz="0" w:space="0" w:color="auto"/>
            <w:right w:val="none" w:sz="0" w:space="0" w:color="auto"/>
          </w:divBdr>
          <w:divsChild>
            <w:div w:id="970092656">
              <w:marLeft w:val="0"/>
              <w:marRight w:val="0"/>
              <w:marTop w:val="0"/>
              <w:marBottom w:val="0"/>
              <w:divBdr>
                <w:top w:val="none" w:sz="0" w:space="0" w:color="auto"/>
                <w:left w:val="none" w:sz="0" w:space="0" w:color="auto"/>
                <w:bottom w:val="none" w:sz="0" w:space="0" w:color="auto"/>
                <w:right w:val="none" w:sz="0" w:space="0" w:color="auto"/>
              </w:divBdr>
              <w:divsChild>
                <w:div w:id="970092776">
                  <w:marLeft w:val="0"/>
                  <w:marRight w:val="0"/>
                  <w:marTop w:val="0"/>
                  <w:marBottom w:val="0"/>
                  <w:divBdr>
                    <w:top w:val="none" w:sz="0" w:space="0" w:color="auto"/>
                    <w:left w:val="none" w:sz="0" w:space="0" w:color="auto"/>
                    <w:bottom w:val="none" w:sz="0" w:space="0" w:color="auto"/>
                    <w:right w:val="none" w:sz="0" w:space="0" w:color="auto"/>
                  </w:divBdr>
                  <w:divsChild>
                    <w:div w:id="970092578">
                      <w:marLeft w:val="0"/>
                      <w:marRight w:val="0"/>
                      <w:marTop w:val="0"/>
                      <w:marBottom w:val="0"/>
                      <w:divBdr>
                        <w:top w:val="none" w:sz="0" w:space="0" w:color="auto"/>
                        <w:left w:val="none" w:sz="0" w:space="0" w:color="auto"/>
                        <w:bottom w:val="none" w:sz="0" w:space="0" w:color="auto"/>
                        <w:right w:val="none" w:sz="0" w:space="0" w:color="auto"/>
                      </w:divBdr>
                      <w:divsChild>
                        <w:div w:id="970092572">
                          <w:marLeft w:val="0"/>
                          <w:marRight w:val="0"/>
                          <w:marTop w:val="0"/>
                          <w:marBottom w:val="0"/>
                          <w:divBdr>
                            <w:top w:val="none" w:sz="0" w:space="0" w:color="auto"/>
                            <w:left w:val="none" w:sz="0" w:space="0" w:color="auto"/>
                            <w:bottom w:val="none" w:sz="0" w:space="0" w:color="auto"/>
                            <w:right w:val="none" w:sz="0" w:space="0" w:color="auto"/>
                          </w:divBdr>
                          <w:divsChild>
                            <w:div w:id="970092672">
                              <w:marLeft w:val="0"/>
                              <w:marRight w:val="0"/>
                              <w:marTop w:val="0"/>
                              <w:marBottom w:val="0"/>
                              <w:divBdr>
                                <w:top w:val="none" w:sz="0" w:space="0" w:color="auto"/>
                                <w:left w:val="none" w:sz="0" w:space="0" w:color="auto"/>
                                <w:bottom w:val="none" w:sz="0" w:space="0" w:color="auto"/>
                                <w:right w:val="none" w:sz="0" w:space="0" w:color="auto"/>
                              </w:divBdr>
                              <w:divsChild>
                                <w:div w:id="970092786">
                                  <w:marLeft w:val="0"/>
                                  <w:marRight w:val="0"/>
                                  <w:marTop w:val="0"/>
                                  <w:marBottom w:val="0"/>
                                  <w:divBdr>
                                    <w:top w:val="none" w:sz="0" w:space="0" w:color="auto"/>
                                    <w:left w:val="none" w:sz="0" w:space="0" w:color="auto"/>
                                    <w:bottom w:val="none" w:sz="0" w:space="0" w:color="auto"/>
                                    <w:right w:val="none" w:sz="0" w:space="0" w:color="auto"/>
                                  </w:divBdr>
                                  <w:divsChild>
                                    <w:div w:id="970092562">
                                      <w:marLeft w:val="0"/>
                                      <w:marRight w:val="0"/>
                                      <w:marTop w:val="0"/>
                                      <w:marBottom w:val="0"/>
                                      <w:divBdr>
                                        <w:top w:val="none" w:sz="0" w:space="0" w:color="auto"/>
                                        <w:left w:val="none" w:sz="0" w:space="0" w:color="auto"/>
                                        <w:bottom w:val="none" w:sz="0" w:space="0" w:color="auto"/>
                                        <w:right w:val="none" w:sz="0" w:space="0" w:color="auto"/>
                                      </w:divBdr>
                                      <w:divsChild>
                                        <w:div w:id="97009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0092623">
      <w:marLeft w:val="0"/>
      <w:marRight w:val="0"/>
      <w:marTop w:val="0"/>
      <w:marBottom w:val="0"/>
      <w:divBdr>
        <w:top w:val="none" w:sz="0" w:space="0" w:color="auto"/>
        <w:left w:val="none" w:sz="0" w:space="0" w:color="auto"/>
        <w:bottom w:val="none" w:sz="0" w:space="0" w:color="auto"/>
        <w:right w:val="none" w:sz="0" w:space="0" w:color="auto"/>
      </w:divBdr>
    </w:div>
    <w:div w:id="970092627">
      <w:marLeft w:val="0"/>
      <w:marRight w:val="0"/>
      <w:marTop w:val="0"/>
      <w:marBottom w:val="0"/>
      <w:divBdr>
        <w:top w:val="none" w:sz="0" w:space="0" w:color="auto"/>
        <w:left w:val="none" w:sz="0" w:space="0" w:color="auto"/>
        <w:bottom w:val="none" w:sz="0" w:space="0" w:color="auto"/>
        <w:right w:val="none" w:sz="0" w:space="0" w:color="auto"/>
      </w:divBdr>
      <w:divsChild>
        <w:div w:id="970092633">
          <w:marLeft w:val="0"/>
          <w:marRight w:val="0"/>
          <w:marTop w:val="0"/>
          <w:marBottom w:val="0"/>
          <w:divBdr>
            <w:top w:val="none" w:sz="0" w:space="0" w:color="auto"/>
            <w:left w:val="none" w:sz="0" w:space="0" w:color="auto"/>
            <w:bottom w:val="none" w:sz="0" w:space="0" w:color="auto"/>
            <w:right w:val="none" w:sz="0" w:space="0" w:color="auto"/>
          </w:divBdr>
          <w:divsChild>
            <w:div w:id="97009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92634">
      <w:marLeft w:val="0"/>
      <w:marRight w:val="0"/>
      <w:marTop w:val="0"/>
      <w:marBottom w:val="0"/>
      <w:divBdr>
        <w:top w:val="none" w:sz="0" w:space="0" w:color="auto"/>
        <w:left w:val="none" w:sz="0" w:space="0" w:color="auto"/>
        <w:bottom w:val="none" w:sz="0" w:space="0" w:color="auto"/>
        <w:right w:val="none" w:sz="0" w:space="0" w:color="auto"/>
      </w:divBdr>
    </w:div>
    <w:div w:id="970092637">
      <w:marLeft w:val="0"/>
      <w:marRight w:val="0"/>
      <w:marTop w:val="0"/>
      <w:marBottom w:val="0"/>
      <w:divBdr>
        <w:top w:val="none" w:sz="0" w:space="0" w:color="auto"/>
        <w:left w:val="none" w:sz="0" w:space="0" w:color="auto"/>
        <w:bottom w:val="none" w:sz="0" w:space="0" w:color="auto"/>
        <w:right w:val="none" w:sz="0" w:space="0" w:color="auto"/>
      </w:divBdr>
    </w:div>
    <w:div w:id="970092640">
      <w:marLeft w:val="0"/>
      <w:marRight w:val="0"/>
      <w:marTop w:val="0"/>
      <w:marBottom w:val="0"/>
      <w:divBdr>
        <w:top w:val="none" w:sz="0" w:space="0" w:color="auto"/>
        <w:left w:val="none" w:sz="0" w:space="0" w:color="auto"/>
        <w:bottom w:val="none" w:sz="0" w:space="0" w:color="auto"/>
        <w:right w:val="none" w:sz="0" w:space="0" w:color="auto"/>
      </w:divBdr>
    </w:div>
    <w:div w:id="970092642">
      <w:marLeft w:val="0"/>
      <w:marRight w:val="0"/>
      <w:marTop w:val="0"/>
      <w:marBottom w:val="0"/>
      <w:divBdr>
        <w:top w:val="none" w:sz="0" w:space="0" w:color="auto"/>
        <w:left w:val="none" w:sz="0" w:space="0" w:color="auto"/>
        <w:bottom w:val="none" w:sz="0" w:space="0" w:color="auto"/>
        <w:right w:val="none" w:sz="0" w:space="0" w:color="auto"/>
      </w:divBdr>
    </w:div>
    <w:div w:id="970092643">
      <w:marLeft w:val="0"/>
      <w:marRight w:val="0"/>
      <w:marTop w:val="0"/>
      <w:marBottom w:val="0"/>
      <w:divBdr>
        <w:top w:val="none" w:sz="0" w:space="0" w:color="auto"/>
        <w:left w:val="none" w:sz="0" w:space="0" w:color="auto"/>
        <w:bottom w:val="none" w:sz="0" w:space="0" w:color="auto"/>
        <w:right w:val="none" w:sz="0" w:space="0" w:color="auto"/>
      </w:divBdr>
    </w:div>
    <w:div w:id="970092644">
      <w:marLeft w:val="0"/>
      <w:marRight w:val="0"/>
      <w:marTop w:val="0"/>
      <w:marBottom w:val="0"/>
      <w:divBdr>
        <w:top w:val="none" w:sz="0" w:space="0" w:color="auto"/>
        <w:left w:val="none" w:sz="0" w:space="0" w:color="auto"/>
        <w:bottom w:val="none" w:sz="0" w:space="0" w:color="auto"/>
        <w:right w:val="none" w:sz="0" w:space="0" w:color="auto"/>
      </w:divBdr>
    </w:div>
    <w:div w:id="970092649">
      <w:marLeft w:val="0"/>
      <w:marRight w:val="0"/>
      <w:marTop w:val="0"/>
      <w:marBottom w:val="0"/>
      <w:divBdr>
        <w:top w:val="none" w:sz="0" w:space="0" w:color="auto"/>
        <w:left w:val="none" w:sz="0" w:space="0" w:color="auto"/>
        <w:bottom w:val="none" w:sz="0" w:space="0" w:color="auto"/>
        <w:right w:val="none" w:sz="0" w:space="0" w:color="auto"/>
      </w:divBdr>
    </w:div>
    <w:div w:id="970092651">
      <w:marLeft w:val="0"/>
      <w:marRight w:val="0"/>
      <w:marTop w:val="0"/>
      <w:marBottom w:val="0"/>
      <w:divBdr>
        <w:top w:val="none" w:sz="0" w:space="0" w:color="auto"/>
        <w:left w:val="none" w:sz="0" w:space="0" w:color="auto"/>
        <w:bottom w:val="none" w:sz="0" w:space="0" w:color="auto"/>
        <w:right w:val="none" w:sz="0" w:space="0" w:color="auto"/>
      </w:divBdr>
    </w:div>
    <w:div w:id="970092661">
      <w:marLeft w:val="0"/>
      <w:marRight w:val="0"/>
      <w:marTop w:val="0"/>
      <w:marBottom w:val="0"/>
      <w:divBdr>
        <w:top w:val="none" w:sz="0" w:space="0" w:color="auto"/>
        <w:left w:val="none" w:sz="0" w:space="0" w:color="auto"/>
        <w:bottom w:val="none" w:sz="0" w:space="0" w:color="auto"/>
        <w:right w:val="none" w:sz="0" w:space="0" w:color="auto"/>
      </w:divBdr>
    </w:div>
    <w:div w:id="970092662">
      <w:marLeft w:val="0"/>
      <w:marRight w:val="0"/>
      <w:marTop w:val="0"/>
      <w:marBottom w:val="0"/>
      <w:divBdr>
        <w:top w:val="none" w:sz="0" w:space="0" w:color="auto"/>
        <w:left w:val="none" w:sz="0" w:space="0" w:color="auto"/>
        <w:bottom w:val="none" w:sz="0" w:space="0" w:color="auto"/>
        <w:right w:val="none" w:sz="0" w:space="0" w:color="auto"/>
      </w:divBdr>
    </w:div>
    <w:div w:id="970092664">
      <w:marLeft w:val="0"/>
      <w:marRight w:val="0"/>
      <w:marTop w:val="0"/>
      <w:marBottom w:val="0"/>
      <w:divBdr>
        <w:top w:val="none" w:sz="0" w:space="0" w:color="auto"/>
        <w:left w:val="none" w:sz="0" w:space="0" w:color="auto"/>
        <w:bottom w:val="none" w:sz="0" w:space="0" w:color="auto"/>
        <w:right w:val="none" w:sz="0" w:space="0" w:color="auto"/>
      </w:divBdr>
    </w:div>
    <w:div w:id="970092665">
      <w:marLeft w:val="0"/>
      <w:marRight w:val="0"/>
      <w:marTop w:val="0"/>
      <w:marBottom w:val="0"/>
      <w:divBdr>
        <w:top w:val="none" w:sz="0" w:space="0" w:color="auto"/>
        <w:left w:val="none" w:sz="0" w:space="0" w:color="auto"/>
        <w:bottom w:val="none" w:sz="0" w:space="0" w:color="auto"/>
        <w:right w:val="none" w:sz="0" w:space="0" w:color="auto"/>
      </w:divBdr>
    </w:div>
    <w:div w:id="970092666">
      <w:marLeft w:val="0"/>
      <w:marRight w:val="0"/>
      <w:marTop w:val="0"/>
      <w:marBottom w:val="0"/>
      <w:divBdr>
        <w:top w:val="none" w:sz="0" w:space="0" w:color="auto"/>
        <w:left w:val="none" w:sz="0" w:space="0" w:color="auto"/>
        <w:bottom w:val="none" w:sz="0" w:space="0" w:color="auto"/>
        <w:right w:val="none" w:sz="0" w:space="0" w:color="auto"/>
      </w:divBdr>
    </w:div>
    <w:div w:id="970092669">
      <w:marLeft w:val="0"/>
      <w:marRight w:val="0"/>
      <w:marTop w:val="0"/>
      <w:marBottom w:val="0"/>
      <w:divBdr>
        <w:top w:val="none" w:sz="0" w:space="0" w:color="auto"/>
        <w:left w:val="none" w:sz="0" w:space="0" w:color="auto"/>
        <w:bottom w:val="none" w:sz="0" w:space="0" w:color="auto"/>
        <w:right w:val="none" w:sz="0" w:space="0" w:color="auto"/>
      </w:divBdr>
    </w:div>
    <w:div w:id="970092671">
      <w:marLeft w:val="0"/>
      <w:marRight w:val="0"/>
      <w:marTop w:val="0"/>
      <w:marBottom w:val="0"/>
      <w:divBdr>
        <w:top w:val="none" w:sz="0" w:space="0" w:color="auto"/>
        <w:left w:val="none" w:sz="0" w:space="0" w:color="auto"/>
        <w:bottom w:val="none" w:sz="0" w:space="0" w:color="auto"/>
        <w:right w:val="none" w:sz="0" w:space="0" w:color="auto"/>
      </w:divBdr>
    </w:div>
    <w:div w:id="970092677">
      <w:marLeft w:val="0"/>
      <w:marRight w:val="0"/>
      <w:marTop w:val="0"/>
      <w:marBottom w:val="0"/>
      <w:divBdr>
        <w:top w:val="none" w:sz="0" w:space="0" w:color="auto"/>
        <w:left w:val="none" w:sz="0" w:space="0" w:color="auto"/>
        <w:bottom w:val="none" w:sz="0" w:space="0" w:color="auto"/>
        <w:right w:val="none" w:sz="0" w:space="0" w:color="auto"/>
      </w:divBdr>
    </w:div>
    <w:div w:id="970092679">
      <w:marLeft w:val="0"/>
      <w:marRight w:val="0"/>
      <w:marTop w:val="0"/>
      <w:marBottom w:val="0"/>
      <w:divBdr>
        <w:top w:val="none" w:sz="0" w:space="0" w:color="auto"/>
        <w:left w:val="none" w:sz="0" w:space="0" w:color="auto"/>
        <w:bottom w:val="none" w:sz="0" w:space="0" w:color="auto"/>
        <w:right w:val="none" w:sz="0" w:space="0" w:color="auto"/>
      </w:divBdr>
    </w:div>
    <w:div w:id="970092680">
      <w:marLeft w:val="0"/>
      <w:marRight w:val="0"/>
      <w:marTop w:val="0"/>
      <w:marBottom w:val="0"/>
      <w:divBdr>
        <w:top w:val="none" w:sz="0" w:space="0" w:color="auto"/>
        <w:left w:val="none" w:sz="0" w:space="0" w:color="auto"/>
        <w:bottom w:val="none" w:sz="0" w:space="0" w:color="auto"/>
        <w:right w:val="none" w:sz="0" w:space="0" w:color="auto"/>
      </w:divBdr>
    </w:div>
    <w:div w:id="970092685">
      <w:marLeft w:val="0"/>
      <w:marRight w:val="0"/>
      <w:marTop w:val="0"/>
      <w:marBottom w:val="0"/>
      <w:divBdr>
        <w:top w:val="none" w:sz="0" w:space="0" w:color="auto"/>
        <w:left w:val="none" w:sz="0" w:space="0" w:color="auto"/>
        <w:bottom w:val="none" w:sz="0" w:space="0" w:color="auto"/>
        <w:right w:val="none" w:sz="0" w:space="0" w:color="auto"/>
      </w:divBdr>
    </w:div>
    <w:div w:id="970092686">
      <w:marLeft w:val="0"/>
      <w:marRight w:val="0"/>
      <w:marTop w:val="0"/>
      <w:marBottom w:val="0"/>
      <w:divBdr>
        <w:top w:val="none" w:sz="0" w:space="0" w:color="auto"/>
        <w:left w:val="none" w:sz="0" w:space="0" w:color="auto"/>
        <w:bottom w:val="none" w:sz="0" w:space="0" w:color="auto"/>
        <w:right w:val="none" w:sz="0" w:space="0" w:color="auto"/>
      </w:divBdr>
      <w:divsChild>
        <w:div w:id="970092708">
          <w:marLeft w:val="0"/>
          <w:marRight w:val="0"/>
          <w:marTop w:val="0"/>
          <w:marBottom w:val="0"/>
          <w:divBdr>
            <w:top w:val="none" w:sz="0" w:space="0" w:color="auto"/>
            <w:left w:val="none" w:sz="0" w:space="0" w:color="auto"/>
            <w:bottom w:val="none" w:sz="0" w:space="0" w:color="auto"/>
            <w:right w:val="none" w:sz="0" w:space="0" w:color="auto"/>
          </w:divBdr>
          <w:divsChild>
            <w:div w:id="970092800">
              <w:marLeft w:val="0"/>
              <w:marRight w:val="0"/>
              <w:marTop w:val="0"/>
              <w:marBottom w:val="0"/>
              <w:divBdr>
                <w:top w:val="none" w:sz="0" w:space="0" w:color="auto"/>
                <w:left w:val="none" w:sz="0" w:space="0" w:color="auto"/>
                <w:bottom w:val="none" w:sz="0" w:space="0" w:color="auto"/>
                <w:right w:val="none" w:sz="0" w:space="0" w:color="auto"/>
              </w:divBdr>
              <w:divsChild>
                <w:div w:id="970092614">
                  <w:marLeft w:val="0"/>
                  <w:marRight w:val="0"/>
                  <w:marTop w:val="0"/>
                  <w:marBottom w:val="0"/>
                  <w:divBdr>
                    <w:top w:val="none" w:sz="0" w:space="0" w:color="auto"/>
                    <w:left w:val="none" w:sz="0" w:space="0" w:color="auto"/>
                    <w:bottom w:val="none" w:sz="0" w:space="0" w:color="auto"/>
                    <w:right w:val="none" w:sz="0" w:space="0" w:color="auto"/>
                  </w:divBdr>
                  <w:divsChild>
                    <w:div w:id="970092768">
                      <w:marLeft w:val="0"/>
                      <w:marRight w:val="0"/>
                      <w:marTop w:val="0"/>
                      <w:marBottom w:val="0"/>
                      <w:divBdr>
                        <w:top w:val="none" w:sz="0" w:space="0" w:color="auto"/>
                        <w:left w:val="none" w:sz="0" w:space="0" w:color="auto"/>
                        <w:bottom w:val="none" w:sz="0" w:space="0" w:color="auto"/>
                        <w:right w:val="none" w:sz="0" w:space="0" w:color="auto"/>
                      </w:divBdr>
                      <w:divsChild>
                        <w:div w:id="970092690">
                          <w:marLeft w:val="0"/>
                          <w:marRight w:val="0"/>
                          <w:marTop w:val="0"/>
                          <w:marBottom w:val="0"/>
                          <w:divBdr>
                            <w:top w:val="none" w:sz="0" w:space="0" w:color="auto"/>
                            <w:left w:val="none" w:sz="0" w:space="0" w:color="auto"/>
                            <w:bottom w:val="none" w:sz="0" w:space="0" w:color="auto"/>
                            <w:right w:val="none" w:sz="0" w:space="0" w:color="auto"/>
                          </w:divBdr>
                          <w:divsChild>
                            <w:div w:id="970092604">
                              <w:marLeft w:val="0"/>
                              <w:marRight w:val="0"/>
                              <w:marTop w:val="0"/>
                              <w:marBottom w:val="0"/>
                              <w:divBdr>
                                <w:top w:val="none" w:sz="0" w:space="0" w:color="auto"/>
                                <w:left w:val="none" w:sz="0" w:space="0" w:color="auto"/>
                                <w:bottom w:val="none" w:sz="0" w:space="0" w:color="auto"/>
                                <w:right w:val="none" w:sz="0" w:space="0" w:color="auto"/>
                              </w:divBdr>
                              <w:divsChild>
                                <w:div w:id="970092689">
                                  <w:marLeft w:val="0"/>
                                  <w:marRight w:val="0"/>
                                  <w:marTop w:val="0"/>
                                  <w:marBottom w:val="0"/>
                                  <w:divBdr>
                                    <w:top w:val="none" w:sz="0" w:space="0" w:color="auto"/>
                                    <w:left w:val="none" w:sz="0" w:space="0" w:color="auto"/>
                                    <w:bottom w:val="none" w:sz="0" w:space="0" w:color="auto"/>
                                    <w:right w:val="none" w:sz="0" w:space="0" w:color="auto"/>
                                  </w:divBdr>
                                  <w:divsChild>
                                    <w:div w:id="970092737">
                                      <w:marLeft w:val="0"/>
                                      <w:marRight w:val="0"/>
                                      <w:marTop w:val="0"/>
                                      <w:marBottom w:val="0"/>
                                      <w:divBdr>
                                        <w:top w:val="none" w:sz="0" w:space="0" w:color="auto"/>
                                        <w:left w:val="none" w:sz="0" w:space="0" w:color="auto"/>
                                        <w:bottom w:val="none" w:sz="0" w:space="0" w:color="auto"/>
                                        <w:right w:val="none" w:sz="0" w:space="0" w:color="auto"/>
                                      </w:divBdr>
                                      <w:divsChild>
                                        <w:div w:id="970092723">
                                          <w:marLeft w:val="0"/>
                                          <w:marRight w:val="0"/>
                                          <w:marTop w:val="0"/>
                                          <w:marBottom w:val="0"/>
                                          <w:divBdr>
                                            <w:top w:val="none" w:sz="0" w:space="0" w:color="auto"/>
                                            <w:left w:val="none" w:sz="0" w:space="0" w:color="auto"/>
                                            <w:bottom w:val="none" w:sz="0" w:space="0" w:color="auto"/>
                                            <w:right w:val="none" w:sz="0" w:space="0" w:color="auto"/>
                                          </w:divBdr>
                                          <w:divsChild>
                                            <w:div w:id="970092691">
                                              <w:marLeft w:val="0"/>
                                              <w:marRight w:val="0"/>
                                              <w:marTop w:val="0"/>
                                              <w:marBottom w:val="0"/>
                                              <w:divBdr>
                                                <w:top w:val="none" w:sz="0" w:space="0" w:color="auto"/>
                                                <w:left w:val="none" w:sz="0" w:space="0" w:color="auto"/>
                                                <w:bottom w:val="none" w:sz="0" w:space="0" w:color="auto"/>
                                                <w:right w:val="none" w:sz="0" w:space="0" w:color="auto"/>
                                              </w:divBdr>
                                              <w:divsChild>
                                                <w:div w:id="970092759">
                                                  <w:marLeft w:val="0"/>
                                                  <w:marRight w:val="0"/>
                                                  <w:marTop w:val="0"/>
                                                  <w:marBottom w:val="0"/>
                                                  <w:divBdr>
                                                    <w:top w:val="none" w:sz="0" w:space="0" w:color="auto"/>
                                                    <w:left w:val="none" w:sz="0" w:space="0" w:color="auto"/>
                                                    <w:bottom w:val="none" w:sz="0" w:space="0" w:color="auto"/>
                                                    <w:right w:val="none" w:sz="0" w:space="0" w:color="auto"/>
                                                  </w:divBdr>
                                                  <w:divsChild>
                                                    <w:div w:id="970092801">
                                                      <w:marLeft w:val="0"/>
                                                      <w:marRight w:val="0"/>
                                                      <w:marTop w:val="0"/>
                                                      <w:marBottom w:val="0"/>
                                                      <w:divBdr>
                                                        <w:top w:val="none" w:sz="0" w:space="0" w:color="auto"/>
                                                        <w:left w:val="none" w:sz="0" w:space="0" w:color="auto"/>
                                                        <w:bottom w:val="none" w:sz="0" w:space="0" w:color="auto"/>
                                                        <w:right w:val="none" w:sz="0" w:space="0" w:color="auto"/>
                                                      </w:divBdr>
                                                      <w:divsChild>
                                                        <w:div w:id="97009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70092687">
      <w:marLeft w:val="0"/>
      <w:marRight w:val="0"/>
      <w:marTop w:val="0"/>
      <w:marBottom w:val="0"/>
      <w:divBdr>
        <w:top w:val="none" w:sz="0" w:space="0" w:color="auto"/>
        <w:left w:val="none" w:sz="0" w:space="0" w:color="auto"/>
        <w:bottom w:val="none" w:sz="0" w:space="0" w:color="auto"/>
        <w:right w:val="none" w:sz="0" w:space="0" w:color="auto"/>
      </w:divBdr>
    </w:div>
    <w:div w:id="970092693">
      <w:marLeft w:val="0"/>
      <w:marRight w:val="0"/>
      <w:marTop w:val="0"/>
      <w:marBottom w:val="0"/>
      <w:divBdr>
        <w:top w:val="none" w:sz="0" w:space="0" w:color="auto"/>
        <w:left w:val="none" w:sz="0" w:space="0" w:color="auto"/>
        <w:bottom w:val="none" w:sz="0" w:space="0" w:color="auto"/>
        <w:right w:val="none" w:sz="0" w:space="0" w:color="auto"/>
      </w:divBdr>
    </w:div>
    <w:div w:id="970092697">
      <w:marLeft w:val="0"/>
      <w:marRight w:val="0"/>
      <w:marTop w:val="0"/>
      <w:marBottom w:val="0"/>
      <w:divBdr>
        <w:top w:val="none" w:sz="0" w:space="0" w:color="auto"/>
        <w:left w:val="none" w:sz="0" w:space="0" w:color="auto"/>
        <w:bottom w:val="none" w:sz="0" w:space="0" w:color="auto"/>
        <w:right w:val="none" w:sz="0" w:space="0" w:color="auto"/>
      </w:divBdr>
    </w:div>
    <w:div w:id="970092703">
      <w:marLeft w:val="0"/>
      <w:marRight w:val="0"/>
      <w:marTop w:val="0"/>
      <w:marBottom w:val="0"/>
      <w:divBdr>
        <w:top w:val="none" w:sz="0" w:space="0" w:color="auto"/>
        <w:left w:val="none" w:sz="0" w:space="0" w:color="auto"/>
        <w:bottom w:val="none" w:sz="0" w:space="0" w:color="auto"/>
        <w:right w:val="none" w:sz="0" w:space="0" w:color="auto"/>
      </w:divBdr>
    </w:div>
    <w:div w:id="970092705">
      <w:marLeft w:val="0"/>
      <w:marRight w:val="0"/>
      <w:marTop w:val="0"/>
      <w:marBottom w:val="0"/>
      <w:divBdr>
        <w:top w:val="none" w:sz="0" w:space="0" w:color="auto"/>
        <w:left w:val="none" w:sz="0" w:space="0" w:color="auto"/>
        <w:bottom w:val="none" w:sz="0" w:space="0" w:color="auto"/>
        <w:right w:val="none" w:sz="0" w:space="0" w:color="auto"/>
      </w:divBdr>
    </w:div>
    <w:div w:id="970092711">
      <w:marLeft w:val="0"/>
      <w:marRight w:val="0"/>
      <w:marTop w:val="0"/>
      <w:marBottom w:val="0"/>
      <w:divBdr>
        <w:top w:val="none" w:sz="0" w:space="0" w:color="auto"/>
        <w:left w:val="none" w:sz="0" w:space="0" w:color="auto"/>
        <w:bottom w:val="none" w:sz="0" w:space="0" w:color="auto"/>
        <w:right w:val="none" w:sz="0" w:space="0" w:color="auto"/>
      </w:divBdr>
    </w:div>
    <w:div w:id="970092714">
      <w:marLeft w:val="0"/>
      <w:marRight w:val="0"/>
      <w:marTop w:val="0"/>
      <w:marBottom w:val="0"/>
      <w:divBdr>
        <w:top w:val="none" w:sz="0" w:space="0" w:color="auto"/>
        <w:left w:val="none" w:sz="0" w:space="0" w:color="auto"/>
        <w:bottom w:val="none" w:sz="0" w:space="0" w:color="auto"/>
        <w:right w:val="none" w:sz="0" w:space="0" w:color="auto"/>
      </w:divBdr>
    </w:div>
    <w:div w:id="970092715">
      <w:marLeft w:val="0"/>
      <w:marRight w:val="0"/>
      <w:marTop w:val="0"/>
      <w:marBottom w:val="0"/>
      <w:divBdr>
        <w:top w:val="none" w:sz="0" w:space="0" w:color="auto"/>
        <w:left w:val="none" w:sz="0" w:space="0" w:color="auto"/>
        <w:bottom w:val="none" w:sz="0" w:space="0" w:color="auto"/>
        <w:right w:val="none" w:sz="0" w:space="0" w:color="auto"/>
      </w:divBdr>
    </w:div>
    <w:div w:id="970092717">
      <w:marLeft w:val="0"/>
      <w:marRight w:val="0"/>
      <w:marTop w:val="0"/>
      <w:marBottom w:val="0"/>
      <w:divBdr>
        <w:top w:val="none" w:sz="0" w:space="0" w:color="auto"/>
        <w:left w:val="none" w:sz="0" w:space="0" w:color="auto"/>
        <w:bottom w:val="none" w:sz="0" w:space="0" w:color="auto"/>
        <w:right w:val="none" w:sz="0" w:space="0" w:color="auto"/>
      </w:divBdr>
    </w:div>
    <w:div w:id="970092721">
      <w:marLeft w:val="0"/>
      <w:marRight w:val="0"/>
      <w:marTop w:val="0"/>
      <w:marBottom w:val="0"/>
      <w:divBdr>
        <w:top w:val="none" w:sz="0" w:space="0" w:color="auto"/>
        <w:left w:val="none" w:sz="0" w:space="0" w:color="auto"/>
        <w:bottom w:val="none" w:sz="0" w:space="0" w:color="auto"/>
        <w:right w:val="none" w:sz="0" w:space="0" w:color="auto"/>
      </w:divBdr>
    </w:div>
    <w:div w:id="970092731">
      <w:marLeft w:val="0"/>
      <w:marRight w:val="0"/>
      <w:marTop w:val="0"/>
      <w:marBottom w:val="0"/>
      <w:divBdr>
        <w:top w:val="none" w:sz="0" w:space="0" w:color="auto"/>
        <w:left w:val="none" w:sz="0" w:space="0" w:color="auto"/>
        <w:bottom w:val="none" w:sz="0" w:space="0" w:color="auto"/>
        <w:right w:val="none" w:sz="0" w:space="0" w:color="auto"/>
      </w:divBdr>
    </w:div>
    <w:div w:id="970092734">
      <w:marLeft w:val="0"/>
      <w:marRight w:val="0"/>
      <w:marTop w:val="0"/>
      <w:marBottom w:val="0"/>
      <w:divBdr>
        <w:top w:val="none" w:sz="0" w:space="0" w:color="auto"/>
        <w:left w:val="none" w:sz="0" w:space="0" w:color="auto"/>
        <w:bottom w:val="none" w:sz="0" w:space="0" w:color="auto"/>
        <w:right w:val="none" w:sz="0" w:space="0" w:color="auto"/>
      </w:divBdr>
    </w:div>
    <w:div w:id="970092735">
      <w:marLeft w:val="0"/>
      <w:marRight w:val="0"/>
      <w:marTop w:val="0"/>
      <w:marBottom w:val="0"/>
      <w:divBdr>
        <w:top w:val="none" w:sz="0" w:space="0" w:color="auto"/>
        <w:left w:val="none" w:sz="0" w:space="0" w:color="auto"/>
        <w:bottom w:val="none" w:sz="0" w:space="0" w:color="auto"/>
        <w:right w:val="none" w:sz="0" w:space="0" w:color="auto"/>
      </w:divBdr>
    </w:div>
    <w:div w:id="970092736">
      <w:marLeft w:val="0"/>
      <w:marRight w:val="0"/>
      <w:marTop w:val="0"/>
      <w:marBottom w:val="0"/>
      <w:divBdr>
        <w:top w:val="none" w:sz="0" w:space="0" w:color="auto"/>
        <w:left w:val="none" w:sz="0" w:space="0" w:color="auto"/>
        <w:bottom w:val="none" w:sz="0" w:space="0" w:color="auto"/>
        <w:right w:val="none" w:sz="0" w:space="0" w:color="auto"/>
      </w:divBdr>
    </w:div>
    <w:div w:id="970092738">
      <w:marLeft w:val="0"/>
      <w:marRight w:val="0"/>
      <w:marTop w:val="0"/>
      <w:marBottom w:val="0"/>
      <w:divBdr>
        <w:top w:val="none" w:sz="0" w:space="0" w:color="auto"/>
        <w:left w:val="none" w:sz="0" w:space="0" w:color="auto"/>
        <w:bottom w:val="none" w:sz="0" w:space="0" w:color="auto"/>
        <w:right w:val="none" w:sz="0" w:space="0" w:color="auto"/>
      </w:divBdr>
    </w:div>
    <w:div w:id="970092740">
      <w:marLeft w:val="0"/>
      <w:marRight w:val="0"/>
      <w:marTop w:val="0"/>
      <w:marBottom w:val="0"/>
      <w:divBdr>
        <w:top w:val="none" w:sz="0" w:space="0" w:color="auto"/>
        <w:left w:val="none" w:sz="0" w:space="0" w:color="auto"/>
        <w:bottom w:val="none" w:sz="0" w:space="0" w:color="auto"/>
        <w:right w:val="none" w:sz="0" w:space="0" w:color="auto"/>
      </w:divBdr>
    </w:div>
    <w:div w:id="970092748">
      <w:marLeft w:val="0"/>
      <w:marRight w:val="0"/>
      <w:marTop w:val="0"/>
      <w:marBottom w:val="0"/>
      <w:divBdr>
        <w:top w:val="none" w:sz="0" w:space="0" w:color="auto"/>
        <w:left w:val="none" w:sz="0" w:space="0" w:color="auto"/>
        <w:bottom w:val="none" w:sz="0" w:space="0" w:color="auto"/>
        <w:right w:val="none" w:sz="0" w:space="0" w:color="auto"/>
      </w:divBdr>
    </w:div>
    <w:div w:id="970092750">
      <w:marLeft w:val="0"/>
      <w:marRight w:val="0"/>
      <w:marTop w:val="0"/>
      <w:marBottom w:val="0"/>
      <w:divBdr>
        <w:top w:val="none" w:sz="0" w:space="0" w:color="auto"/>
        <w:left w:val="none" w:sz="0" w:space="0" w:color="auto"/>
        <w:bottom w:val="none" w:sz="0" w:space="0" w:color="auto"/>
        <w:right w:val="none" w:sz="0" w:space="0" w:color="auto"/>
      </w:divBdr>
    </w:div>
    <w:div w:id="970092753">
      <w:marLeft w:val="0"/>
      <w:marRight w:val="0"/>
      <w:marTop w:val="0"/>
      <w:marBottom w:val="0"/>
      <w:divBdr>
        <w:top w:val="none" w:sz="0" w:space="0" w:color="auto"/>
        <w:left w:val="none" w:sz="0" w:space="0" w:color="auto"/>
        <w:bottom w:val="none" w:sz="0" w:space="0" w:color="auto"/>
        <w:right w:val="none" w:sz="0" w:space="0" w:color="auto"/>
      </w:divBdr>
    </w:div>
    <w:div w:id="970092756">
      <w:marLeft w:val="0"/>
      <w:marRight w:val="0"/>
      <w:marTop w:val="0"/>
      <w:marBottom w:val="0"/>
      <w:divBdr>
        <w:top w:val="none" w:sz="0" w:space="0" w:color="auto"/>
        <w:left w:val="none" w:sz="0" w:space="0" w:color="auto"/>
        <w:bottom w:val="none" w:sz="0" w:space="0" w:color="auto"/>
        <w:right w:val="none" w:sz="0" w:space="0" w:color="auto"/>
      </w:divBdr>
      <w:divsChild>
        <w:div w:id="970092594">
          <w:marLeft w:val="0"/>
          <w:marRight w:val="0"/>
          <w:marTop w:val="0"/>
          <w:marBottom w:val="0"/>
          <w:divBdr>
            <w:top w:val="none" w:sz="0" w:space="0" w:color="auto"/>
            <w:left w:val="none" w:sz="0" w:space="0" w:color="auto"/>
            <w:bottom w:val="none" w:sz="0" w:space="0" w:color="auto"/>
            <w:right w:val="none" w:sz="0" w:space="0" w:color="auto"/>
          </w:divBdr>
          <w:divsChild>
            <w:div w:id="970092770">
              <w:marLeft w:val="0"/>
              <w:marRight w:val="0"/>
              <w:marTop w:val="0"/>
              <w:marBottom w:val="0"/>
              <w:divBdr>
                <w:top w:val="none" w:sz="0" w:space="0" w:color="auto"/>
                <w:left w:val="none" w:sz="0" w:space="0" w:color="auto"/>
                <w:bottom w:val="none" w:sz="0" w:space="0" w:color="auto"/>
                <w:right w:val="none" w:sz="0" w:space="0" w:color="auto"/>
              </w:divBdr>
              <w:divsChild>
                <w:div w:id="970092663">
                  <w:marLeft w:val="0"/>
                  <w:marRight w:val="0"/>
                  <w:marTop w:val="0"/>
                  <w:marBottom w:val="0"/>
                  <w:divBdr>
                    <w:top w:val="none" w:sz="0" w:space="0" w:color="auto"/>
                    <w:left w:val="none" w:sz="0" w:space="0" w:color="auto"/>
                    <w:bottom w:val="none" w:sz="0" w:space="0" w:color="auto"/>
                    <w:right w:val="none" w:sz="0" w:space="0" w:color="auto"/>
                  </w:divBdr>
                  <w:divsChild>
                    <w:div w:id="970092619">
                      <w:marLeft w:val="0"/>
                      <w:marRight w:val="0"/>
                      <w:marTop w:val="0"/>
                      <w:marBottom w:val="0"/>
                      <w:divBdr>
                        <w:top w:val="none" w:sz="0" w:space="0" w:color="auto"/>
                        <w:left w:val="none" w:sz="0" w:space="0" w:color="auto"/>
                        <w:bottom w:val="none" w:sz="0" w:space="0" w:color="auto"/>
                        <w:right w:val="none" w:sz="0" w:space="0" w:color="auto"/>
                      </w:divBdr>
                      <w:divsChild>
                        <w:div w:id="970092730">
                          <w:marLeft w:val="0"/>
                          <w:marRight w:val="0"/>
                          <w:marTop w:val="0"/>
                          <w:marBottom w:val="0"/>
                          <w:divBdr>
                            <w:top w:val="none" w:sz="0" w:space="0" w:color="auto"/>
                            <w:left w:val="none" w:sz="0" w:space="0" w:color="auto"/>
                            <w:bottom w:val="none" w:sz="0" w:space="0" w:color="auto"/>
                            <w:right w:val="none" w:sz="0" w:space="0" w:color="auto"/>
                          </w:divBdr>
                          <w:divsChild>
                            <w:div w:id="970092802">
                              <w:marLeft w:val="0"/>
                              <w:marRight w:val="0"/>
                              <w:marTop w:val="0"/>
                              <w:marBottom w:val="0"/>
                              <w:divBdr>
                                <w:top w:val="none" w:sz="0" w:space="0" w:color="auto"/>
                                <w:left w:val="none" w:sz="0" w:space="0" w:color="auto"/>
                                <w:bottom w:val="none" w:sz="0" w:space="0" w:color="auto"/>
                                <w:right w:val="none" w:sz="0" w:space="0" w:color="auto"/>
                              </w:divBdr>
                              <w:divsChild>
                                <w:div w:id="970092781">
                                  <w:marLeft w:val="0"/>
                                  <w:marRight w:val="0"/>
                                  <w:marTop w:val="0"/>
                                  <w:marBottom w:val="0"/>
                                  <w:divBdr>
                                    <w:top w:val="none" w:sz="0" w:space="0" w:color="auto"/>
                                    <w:left w:val="none" w:sz="0" w:space="0" w:color="auto"/>
                                    <w:bottom w:val="none" w:sz="0" w:space="0" w:color="auto"/>
                                    <w:right w:val="none" w:sz="0" w:space="0" w:color="auto"/>
                                  </w:divBdr>
                                  <w:divsChild>
                                    <w:div w:id="970092652">
                                      <w:marLeft w:val="0"/>
                                      <w:marRight w:val="0"/>
                                      <w:marTop w:val="0"/>
                                      <w:marBottom w:val="0"/>
                                      <w:divBdr>
                                        <w:top w:val="none" w:sz="0" w:space="0" w:color="auto"/>
                                        <w:left w:val="none" w:sz="0" w:space="0" w:color="auto"/>
                                        <w:bottom w:val="none" w:sz="0" w:space="0" w:color="auto"/>
                                        <w:right w:val="none" w:sz="0" w:space="0" w:color="auto"/>
                                      </w:divBdr>
                                      <w:divsChild>
                                        <w:div w:id="970092769">
                                          <w:marLeft w:val="0"/>
                                          <w:marRight w:val="0"/>
                                          <w:marTop w:val="0"/>
                                          <w:marBottom w:val="0"/>
                                          <w:divBdr>
                                            <w:top w:val="none" w:sz="0" w:space="0" w:color="auto"/>
                                            <w:left w:val="none" w:sz="0" w:space="0" w:color="auto"/>
                                            <w:bottom w:val="none" w:sz="0" w:space="0" w:color="auto"/>
                                            <w:right w:val="none" w:sz="0" w:space="0" w:color="auto"/>
                                          </w:divBdr>
                                          <w:divsChild>
                                            <w:div w:id="970092609">
                                              <w:marLeft w:val="0"/>
                                              <w:marRight w:val="0"/>
                                              <w:marTop w:val="0"/>
                                              <w:marBottom w:val="0"/>
                                              <w:divBdr>
                                                <w:top w:val="none" w:sz="0" w:space="0" w:color="auto"/>
                                                <w:left w:val="none" w:sz="0" w:space="0" w:color="auto"/>
                                                <w:bottom w:val="none" w:sz="0" w:space="0" w:color="auto"/>
                                                <w:right w:val="none" w:sz="0" w:space="0" w:color="auto"/>
                                              </w:divBdr>
                                              <w:divsChild>
                                                <w:div w:id="970092612">
                                                  <w:marLeft w:val="0"/>
                                                  <w:marRight w:val="0"/>
                                                  <w:marTop w:val="0"/>
                                                  <w:marBottom w:val="0"/>
                                                  <w:divBdr>
                                                    <w:top w:val="none" w:sz="0" w:space="0" w:color="auto"/>
                                                    <w:left w:val="none" w:sz="0" w:space="0" w:color="auto"/>
                                                    <w:bottom w:val="none" w:sz="0" w:space="0" w:color="auto"/>
                                                    <w:right w:val="none" w:sz="0" w:space="0" w:color="auto"/>
                                                  </w:divBdr>
                                                  <w:divsChild>
                                                    <w:div w:id="970092795">
                                                      <w:marLeft w:val="0"/>
                                                      <w:marRight w:val="0"/>
                                                      <w:marTop w:val="0"/>
                                                      <w:marBottom w:val="0"/>
                                                      <w:divBdr>
                                                        <w:top w:val="none" w:sz="0" w:space="0" w:color="auto"/>
                                                        <w:left w:val="none" w:sz="0" w:space="0" w:color="auto"/>
                                                        <w:bottom w:val="none" w:sz="0" w:space="0" w:color="auto"/>
                                                        <w:right w:val="none" w:sz="0" w:space="0" w:color="auto"/>
                                                      </w:divBdr>
                                                      <w:divsChild>
                                                        <w:div w:id="970092746">
                                                          <w:marLeft w:val="0"/>
                                                          <w:marRight w:val="0"/>
                                                          <w:marTop w:val="0"/>
                                                          <w:marBottom w:val="0"/>
                                                          <w:divBdr>
                                                            <w:top w:val="none" w:sz="0" w:space="0" w:color="auto"/>
                                                            <w:left w:val="none" w:sz="0" w:space="0" w:color="auto"/>
                                                            <w:bottom w:val="none" w:sz="0" w:space="0" w:color="auto"/>
                                                            <w:right w:val="none" w:sz="0" w:space="0" w:color="auto"/>
                                                          </w:divBdr>
                                                          <w:divsChild>
                                                            <w:div w:id="970092789">
                                                              <w:marLeft w:val="0"/>
                                                              <w:marRight w:val="0"/>
                                                              <w:marTop w:val="0"/>
                                                              <w:marBottom w:val="0"/>
                                                              <w:divBdr>
                                                                <w:top w:val="none" w:sz="0" w:space="0" w:color="auto"/>
                                                                <w:left w:val="none" w:sz="0" w:space="0" w:color="auto"/>
                                                                <w:bottom w:val="none" w:sz="0" w:space="0" w:color="auto"/>
                                                                <w:right w:val="none" w:sz="0" w:space="0" w:color="auto"/>
                                                              </w:divBdr>
                                                              <w:divsChild>
                                                                <w:div w:id="970092772">
                                                                  <w:marLeft w:val="0"/>
                                                                  <w:marRight w:val="0"/>
                                                                  <w:marTop w:val="0"/>
                                                                  <w:marBottom w:val="0"/>
                                                                  <w:divBdr>
                                                                    <w:top w:val="none" w:sz="0" w:space="0" w:color="auto"/>
                                                                    <w:left w:val="none" w:sz="0" w:space="0" w:color="auto"/>
                                                                    <w:bottom w:val="none" w:sz="0" w:space="0" w:color="auto"/>
                                                                    <w:right w:val="none" w:sz="0" w:space="0" w:color="auto"/>
                                                                  </w:divBdr>
                                                                  <w:divsChild>
                                                                    <w:div w:id="970092713">
                                                                      <w:marLeft w:val="0"/>
                                                                      <w:marRight w:val="0"/>
                                                                      <w:marTop w:val="0"/>
                                                                      <w:marBottom w:val="0"/>
                                                                      <w:divBdr>
                                                                        <w:top w:val="none" w:sz="0" w:space="0" w:color="auto"/>
                                                                        <w:left w:val="none" w:sz="0" w:space="0" w:color="auto"/>
                                                                        <w:bottom w:val="none" w:sz="0" w:space="0" w:color="auto"/>
                                                                        <w:right w:val="none" w:sz="0" w:space="0" w:color="auto"/>
                                                                      </w:divBdr>
                                                                      <w:divsChild>
                                                                        <w:div w:id="970092749">
                                                                          <w:marLeft w:val="0"/>
                                                                          <w:marRight w:val="0"/>
                                                                          <w:marTop w:val="0"/>
                                                                          <w:marBottom w:val="0"/>
                                                                          <w:divBdr>
                                                                            <w:top w:val="none" w:sz="0" w:space="0" w:color="auto"/>
                                                                            <w:left w:val="none" w:sz="0" w:space="0" w:color="auto"/>
                                                                            <w:bottom w:val="none" w:sz="0" w:space="0" w:color="auto"/>
                                                                            <w:right w:val="none" w:sz="0" w:space="0" w:color="auto"/>
                                                                          </w:divBdr>
                                                                          <w:divsChild>
                                                                            <w:div w:id="970092587">
                                                                              <w:marLeft w:val="0"/>
                                                                              <w:marRight w:val="0"/>
                                                                              <w:marTop w:val="0"/>
                                                                              <w:marBottom w:val="0"/>
                                                                              <w:divBdr>
                                                                                <w:top w:val="none" w:sz="0" w:space="0" w:color="auto"/>
                                                                                <w:left w:val="none" w:sz="0" w:space="0" w:color="auto"/>
                                                                                <w:bottom w:val="none" w:sz="0" w:space="0" w:color="auto"/>
                                                                                <w:right w:val="none" w:sz="0" w:space="0" w:color="auto"/>
                                                                              </w:divBdr>
                                                                              <w:divsChild>
                                                                                <w:div w:id="970092602">
                                                                                  <w:marLeft w:val="0"/>
                                                                                  <w:marRight w:val="0"/>
                                                                                  <w:marTop w:val="0"/>
                                                                                  <w:marBottom w:val="0"/>
                                                                                  <w:divBdr>
                                                                                    <w:top w:val="none" w:sz="0" w:space="0" w:color="auto"/>
                                                                                    <w:left w:val="none" w:sz="0" w:space="0" w:color="auto"/>
                                                                                    <w:bottom w:val="none" w:sz="0" w:space="0" w:color="auto"/>
                                                                                    <w:right w:val="none" w:sz="0" w:space="0" w:color="auto"/>
                                                                                  </w:divBdr>
                                                                                  <w:divsChild>
                                                                                    <w:div w:id="970092699">
                                                                                      <w:marLeft w:val="0"/>
                                                                                      <w:marRight w:val="0"/>
                                                                                      <w:marTop w:val="0"/>
                                                                                      <w:marBottom w:val="0"/>
                                                                                      <w:divBdr>
                                                                                        <w:top w:val="none" w:sz="0" w:space="0" w:color="auto"/>
                                                                                        <w:left w:val="none" w:sz="0" w:space="0" w:color="auto"/>
                                                                                        <w:bottom w:val="none" w:sz="0" w:space="0" w:color="auto"/>
                                                                                        <w:right w:val="none" w:sz="0" w:space="0" w:color="auto"/>
                                                                                      </w:divBdr>
                                                                                      <w:divsChild>
                                                                                        <w:div w:id="970092653">
                                                                                          <w:marLeft w:val="0"/>
                                                                                          <w:marRight w:val="0"/>
                                                                                          <w:marTop w:val="0"/>
                                                                                          <w:marBottom w:val="0"/>
                                                                                          <w:divBdr>
                                                                                            <w:top w:val="none" w:sz="0" w:space="0" w:color="auto"/>
                                                                                            <w:left w:val="none" w:sz="0" w:space="0" w:color="auto"/>
                                                                                            <w:bottom w:val="none" w:sz="0" w:space="0" w:color="auto"/>
                                                                                            <w:right w:val="none" w:sz="0" w:space="0" w:color="auto"/>
                                                                                          </w:divBdr>
                                                                                          <w:divsChild>
                                                                                            <w:div w:id="970092598">
                                                                                              <w:marLeft w:val="0"/>
                                                                                              <w:marRight w:val="0"/>
                                                                                              <w:marTop w:val="0"/>
                                                                                              <w:marBottom w:val="0"/>
                                                                                              <w:divBdr>
                                                                                                <w:top w:val="none" w:sz="0" w:space="0" w:color="auto"/>
                                                                                                <w:left w:val="none" w:sz="0" w:space="0" w:color="auto"/>
                                                                                                <w:bottom w:val="none" w:sz="0" w:space="0" w:color="auto"/>
                                                                                                <w:right w:val="none" w:sz="0" w:space="0" w:color="auto"/>
                                                                                              </w:divBdr>
                                                                                              <w:divsChild>
                                                                                                <w:div w:id="970092779">
                                                                                                  <w:marLeft w:val="0"/>
                                                                                                  <w:marRight w:val="0"/>
                                                                                                  <w:marTop w:val="0"/>
                                                                                                  <w:marBottom w:val="0"/>
                                                                                                  <w:divBdr>
                                                                                                    <w:top w:val="none" w:sz="0" w:space="0" w:color="auto"/>
                                                                                                    <w:left w:val="none" w:sz="0" w:space="0" w:color="auto"/>
                                                                                                    <w:bottom w:val="none" w:sz="0" w:space="0" w:color="auto"/>
                                                                                                    <w:right w:val="none" w:sz="0" w:space="0" w:color="auto"/>
                                                                                                  </w:divBdr>
                                                                                                  <w:divsChild>
                                                                                                    <w:div w:id="970092646">
                                                                                                      <w:marLeft w:val="0"/>
                                                                                                      <w:marRight w:val="0"/>
                                                                                                      <w:marTop w:val="0"/>
                                                                                                      <w:marBottom w:val="0"/>
                                                                                                      <w:divBdr>
                                                                                                        <w:top w:val="none" w:sz="0" w:space="0" w:color="auto"/>
                                                                                                        <w:left w:val="none" w:sz="0" w:space="0" w:color="auto"/>
                                                                                                        <w:bottom w:val="none" w:sz="0" w:space="0" w:color="auto"/>
                                                                                                        <w:right w:val="none" w:sz="0" w:space="0" w:color="auto"/>
                                                                                                      </w:divBdr>
                                                                                                      <w:divsChild>
                                                                                                        <w:div w:id="970092773">
                                                                                                          <w:marLeft w:val="0"/>
                                                                                                          <w:marRight w:val="0"/>
                                                                                                          <w:marTop w:val="0"/>
                                                                                                          <w:marBottom w:val="0"/>
                                                                                                          <w:divBdr>
                                                                                                            <w:top w:val="none" w:sz="0" w:space="0" w:color="auto"/>
                                                                                                            <w:left w:val="none" w:sz="0" w:space="0" w:color="auto"/>
                                                                                                            <w:bottom w:val="none" w:sz="0" w:space="0" w:color="auto"/>
                                                                                                            <w:right w:val="none" w:sz="0" w:space="0" w:color="auto"/>
                                                                                                          </w:divBdr>
                                                                                                          <w:divsChild>
                                                                                                            <w:div w:id="970092784">
                                                                                                              <w:marLeft w:val="0"/>
                                                                                                              <w:marRight w:val="0"/>
                                                                                                              <w:marTop w:val="0"/>
                                                                                                              <w:marBottom w:val="0"/>
                                                                                                              <w:divBdr>
                                                                                                                <w:top w:val="none" w:sz="0" w:space="0" w:color="auto"/>
                                                                                                                <w:left w:val="none" w:sz="0" w:space="0" w:color="auto"/>
                                                                                                                <w:bottom w:val="none" w:sz="0" w:space="0" w:color="auto"/>
                                                                                                                <w:right w:val="none" w:sz="0" w:space="0" w:color="auto"/>
                                                                                                              </w:divBdr>
                                                                                                              <w:divsChild>
                                                                                                                <w:div w:id="970092712">
                                                                                                                  <w:marLeft w:val="0"/>
                                                                                                                  <w:marRight w:val="0"/>
                                                                                                                  <w:marTop w:val="0"/>
                                                                                                                  <w:marBottom w:val="0"/>
                                                                                                                  <w:divBdr>
                                                                                                                    <w:top w:val="none" w:sz="0" w:space="0" w:color="auto"/>
                                                                                                                    <w:left w:val="none" w:sz="0" w:space="0" w:color="auto"/>
                                                                                                                    <w:bottom w:val="none" w:sz="0" w:space="0" w:color="auto"/>
                                                                                                                    <w:right w:val="none" w:sz="0" w:space="0" w:color="auto"/>
                                                                                                                  </w:divBdr>
                                                                                                                  <w:divsChild>
                                                                                                                    <w:div w:id="970092613">
                                                                                                                      <w:marLeft w:val="0"/>
                                                                                                                      <w:marRight w:val="0"/>
                                                                                                                      <w:marTop w:val="0"/>
                                                                                                                      <w:marBottom w:val="0"/>
                                                                                                                      <w:divBdr>
                                                                                                                        <w:top w:val="none" w:sz="0" w:space="0" w:color="auto"/>
                                                                                                                        <w:left w:val="none" w:sz="0" w:space="0" w:color="auto"/>
                                                                                                                        <w:bottom w:val="none" w:sz="0" w:space="0" w:color="auto"/>
                                                                                                                        <w:right w:val="none" w:sz="0" w:space="0" w:color="auto"/>
                                                                                                                      </w:divBdr>
                                                                                                                      <w:divsChild>
                                                                                                                        <w:div w:id="970092571">
                                                                                                                          <w:marLeft w:val="0"/>
                                                                                                                          <w:marRight w:val="0"/>
                                                                                                                          <w:marTop w:val="0"/>
                                                                                                                          <w:marBottom w:val="0"/>
                                                                                                                          <w:divBdr>
                                                                                                                            <w:top w:val="none" w:sz="0" w:space="0" w:color="auto"/>
                                                                                                                            <w:left w:val="none" w:sz="0" w:space="0" w:color="auto"/>
                                                                                                                            <w:bottom w:val="none" w:sz="0" w:space="0" w:color="auto"/>
                                                                                                                            <w:right w:val="none" w:sz="0" w:space="0" w:color="auto"/>
                                                                                                                          </w:divBdr>
                                                                                                                          <w:divsChild>
                                                                                                                            <w:div w:id="970092762">
                                                                                                                              <w:marLeft w:val="0"/>
                                                                                                                              <w:marRight w:val="0"/>
                                                                                                                              <w:marTop w:val="0"/>
                                                                                                                              <w:marBottom w:val="0"/>
                                                                                                                              <w:divBdr>
                                                                                                                                <w:top w:val="none" w:sz="0" w:space="0" w:color="auto"/>
                                                                                                                                <w:left w:val="none" w:sz="0" w:space="0" w:color="auto"/>
                                                                                                                                <w:bottom w:val="none" w:sz="0" w:space="0" w:color="auto"/>
                                                                                                                                <w:right w:val="none" w:sz="0" w:space="0" w:color="auto"/>
                                                                                                                              </w:divBdr>
                                                                                                                              <w:divsChild>
                                                                                                                                <w:div w:id="970092674">
                                                                                                                                  <w:marLeft w:val="0"/>
                                                                                                                                  <w:marRight w:val="0"/>
                                                                                                                                  <w:marTop w:val="0"/>
                                                                                                                                  <w:marBottom w:val="0"/>
                                                                                                                                  <w:divBdr>
                                                                                                                                    <w:top w:val="none" w:sz="0" w:space="0" w:color="auto"/>
                                                                                                                                    <w:left w:val="none" w:sz="0" w:space="0" w:color="auto"/>
                                                                                                                                    <w:bottom w:val="none" w:sz="0" w:space="0" w:color="auto"/>
                                                                                                                                    <w:right w:val="none" w:sz="0" w:space="0" w:color="auto"/>
                                                                                                                                  </w:divBdr>
                                                                                                                                  <w:divsChild>
                                                                                                                                    <w:div w:id="970092673">
                                                                                                                                      <w:marLeft w:val="0"/>
                                                                                                                                      <w:marRight w:val="0"/>
                                                                                                                                      <w:marTop w:val="0"/>
                                                                                                                                      <w:marBottom w:val="0"/>
                                                                                                                                      <w:divBdr>
                                                                                                                                        <w:top w:val="none" w:sz="0" w:space="0" w:color="auto"/>
                                                                                                                                        <w:left w:val="none" w:sz="0" w:space="0" w:color="auto"/>
                                                                                                                                        <w:bottom w:val="none" w:sz="0" w:space="0" w:color="auto"/>
                                                                                                                                        <w:right w:val="none" w:sz="0" w:space="0" w:color="auto"/>
                                                                                                                                      </w:divBdr>
                                                                                                                                      <w:divsChild>
                                                                                                                                        <w:div w:id="970092755">
                                                                                                                                          <w:marLeft w:val="0"/>
                                                                                                                                          <w:marRight w:val="0"/>
                                                                                                                                          <w:marTop w:val="0"/>
                                                                                                                                          <w:marBottom w:val="0"/>
                                                                                                                                          <w:divBdr>
                                                                                                                                            <w:top w:val="none" w:sz="0" w:space="0" w:color="auto"/>
                                                                                                                                            <w:left w:val="none" w:sz="0" w:space="0" w:color="auto"/>
                                                                                                                                            <w:bottom w:val="none" w:sz="0" w:space="0" w:color="auto"/>
                                                                                                                                            <w:right w:val="none" w:sz="0" w:space="0" w:color="auto"/>
                                                                                                                                          </w:divBdr>
                                                                                                                                          <w:divsChild>
                                                                                                                                            <w:div w:id="970092667">
                                                                                                                                              <w:marLeft w:val="0"/>
                                                                                                                                              <w:marRight w:val="0"/>
                                                                                                                                              <w:marTop w:val="0"/>
                                                                                                                                              <w:marBottom w:val="0"/>
                                                                                                                                              <w:divBdr>
                                                                                                                                                <w:top w:val="none" w:sz="0" w:space="0" w:color="auto"/>
                                                                                                                                                <w:left w:val="none" w:sz="0" w:space="0" w:color="auto"/>
                                                                                                                                                <w:bottom w:val="none" w:sz="0" w:space="0" w:color="auto"/>
                                                                                                                                                <w:right w:val="none" w:sz="0" w:space="0" w:color="auto"/>
                                                                                                                                              </w:divBdr>
                                                                                                                                              <w:divsChild>
                                                                                                                                                <w:div w:id="970092626">
                                                                                                                                                  <w:marLeft w:val="0"/>
                                                                                                                                                  <w:marRight w:val="0"/>
                                                                                                                                                  <w:marTop w:val="0"/>
                                                                                                                                                  <w:marBottom w:val="0"/>
                                                                                                                                                  <w:divBdr>
                                                                                                                                                    <w:top w:val="none" w:sz="0" w:space="0" w:color="auto"/>
                                                                                                                                                    <w:left w:val="none" w:sz="0" w:space="0" w:color="auto"/>
                                                                                                                                                    <w:bottom w:val="none" w:sz="0" w:space="0" w:color="auto"/>
                                                                                                                                                    <w:right w:val="none" w:sz="0" w:space="0" w:color="auto"/>
                                                                                                                                                  </w:divBdr>
                                                                                                                                                  <w:divsChild>
                                                                                                                                                    <w:div w:id="970092724">
                                                                                                                                                      <w:marLeft w:val="0"/>
                                                                                                                                                      <w:marRight w:val="0"/>
                                                                                                                                                      <w:marTop w:val="0"/>
                                                                                                                                                      <w:marBottom w:val="0"/>
                                                                                                                                                      <w:divBdr>
                                                                                                                                                        <w:top w:val="none" w:sz="0" w:space="0" w:color="auto"/>
                                                                                                                                                        <w:left w:val="none" w:sz="0" w:space="0" w:color="auto"/>
                                                                                                                                                        <w:bottom w:val="none" w:sz="0" w:space="0" w:color="auto"/>
                                                                                                                                                        <w:right w:val="none" w:sz="0" w:space="0" w:color="auto"/>
                                                                                                                                                      </w:divBdr>
                                                                                                                                                      <w:divsChild>
                                                                                                                                                        <w:div w:id="970092655">
                                                                                                                                                          <w:marLeft w:val="0"/>
                                                                                                                                                          <w:marRight w:val="0"/>
                                                                                                                                                          <w:marTop w:val="0"/>
                                                                                                                                                          <w:marBottom w:val="0"/>
                                                                                                                                                          <w:divBdr>
                                                                                                                                                            <w:top w:val="none" w:sz="0" w:space="0" w:color="auto"/>
                                                                                                                                                            <w:left w:val="none" w:sz="0" w:space="0" w:color="auto"/>
                                                                                                                                                            <w:bottom w:val="none" w:sz="0" w:space="0" w:color="auto"/>
                                                                                                                                                            <w:right w:val="none" w:sz="0" w:space="0" w:color="auto"/>
                                                                                                                                                          </w:divBdr>
                                                                                                                                                          <w:divsChild>
                                                                                                                                                            <w:div w:id="970092648">
                                                                                                                                                              <w:marLeft w:val="0"/>
                                                                                                                                                              <w:marRight w:val="0"/>
                                                                                                                                                              <w:marTop w:val="0"/>
                                                                                                                                                              <w:marBottom w:val="0"/>
                                                                                                                                                              <w:divBdr>
                                                                                                                                                                <w:top w:val="none" w:sz="0" w:space="0" w:color="auto"/>
                                                                                                                                                                <w:left w:val="none" w:sz="0" w:space="0" w:color="auto"/>
                                                                                                                                                                <w:bottom w:val="none" w:sz="0" w:space="0" w:color="auto"/>
                                                                                                                                                                <w:right w:val="none" w:sz="0" w:space="0" w:color="auto"/>
                                                                                                                                                              </w:divBdr>
                                                                                                                                                              <w:divsChild>
                                                                                                                                                                <w:div w:id="970092763">
                                                                                                                                                                  <w:marLeft w:val="0"/>
                                                                                                                                                                  <w:marRight w:val="0"/>
                                                                                                                                                                  <w:marTop w:val="0"/>
                                                                                                                                                                  <w:marBottom w:val="0"/>
                                                                                                                                                                  <w:divBdr>
                                                                                                                                                                    <w:top w:val="none" w:sz="0" w:space="0" w:color="auto"/>
                                                                                                                                                                    <w:left w:val="none" w:sz="0" w:space="0" w:color="auto"/>
                                                                                                                                                                    <w:bottom w:val="none" w:sz="0" w:space="0" w:color="auto"/>
                                                                                                                                                                    <w:right w:val="none" w:sz="0" w:space="0" w:color="auto"/>
                                                                                                                                                                  </w:divBdr>
                                                                                                                                                                  <w:divsChild>
                                                                                                                                                                    <w:div w:id="970092727">
                                                                                                                                                                      <w:marLeft w:val="0"/>
                                                                                                                                                                      <w:marRight w:val="0"/>
                                                                                                                                                                      <w:marTop w:val="0"/>
                                                                                                                                                                      <w:marBottom w:val="0"/>
                                                                                                                                                                      <w:divBdr>
                                                                                                                                                                        <w:top w:val="none" w:sz="0" w:space="0" w:color="auto"/>
                                                                                                                                                                        <w:left w:val="none" w:sz="0" w:space="0" w:color="auto"/>
                                                                                                                                                                        <w:bottom w:val="none" w:sz="0" w:space="0" w:color="auto"/>
                                                                                                                                                                        <w:right w:val="none" w:sz="0" w:space="0" w:color="auto"/>
                                                                                                                                                                      </w:divBdr>
                                                                                                                                                                      <w:divsChild>
                                                                                                                                                                        <w:div w:id="970092630">
                                                                                                                                                                          <w:marLeft w:val="0"/>
                                                                                                                                                                          <w:marRight w:val="0"/>
                                                                                                                                                                          <w:marTop w:val="0"/>
                                                                                                                                                                          <w:marBottom w:val="0"/>
                                                                                                                                                                          <w:divBdr>
                                                                                                                                                                            <w:top w:val="none" w:sz="0" w:space="0" w:color="auto"/>
                                                                                                                                                                            <w:left w:val="none" w:sz="0" w:space="0" w:color="auto"/>
                                                                                                                                                                            <w:bottom w:val="none" w:sz="0" w:space="0" w:color="auto"/>
                                                                                                                                                                            <w:right w:val="none" w:sz="0" w:space="0" w:color="auto"/>
                                                                                                                                                                          </w:divBdr>
                                                                                                                                                                          <w:divsChild>
                                                                                                                                                                            <w:div w:id="970092591">
                                                                                                                                                                              <w:marLeft w:val="0"/>
                                                                                                                                                                              <w:marRight w:val="0"/>
                                                                                                                                                                              <w:marTop w:val="0"/>
                                                                                                                                                                              <w:marBottom w:val="0"/>
                                                                                                                                                                              <w:divBdr>
                                                                                                                                                                                <w:top w:val="none" w:sz="0" w:space="0" w:color="auto"/>
                                                                                                                                                                                <w:left w:val="none" w:sz="0" w:space="0" w:color="auto"/>
                                                                                                                                                                                <w:bottom w:val="none" w:sz="0" w:space="0" w:color="auto"/>
                                                                                                                                                                                <w:right w:val="none" w:sz="0" w:space="0" w:color="auto"/>
                                                                                                                                                                              </w:divBdr>
                                                                                                                                                                              <w:divsChild>
                                                                                                                                                                                <w:div w:id="970092778">
                                                                                                                                                                                  <w:marLeft w:val="0"/>
                                                                                                                                                                                  <w:marRight w:val="0"/>
                                                                                                                                                                                  <w:marTop w:val="0"/>
                                                                                                                                                                                  <w:marBottom w:val="0"/>
                                                                                                                                                                                  <w:divBdr>
                                                                                                                                                                                    <w:top w:val="none" w:sz="0" w:space="0" w:color="auto"/>
                                                                                                                                                                                    <w:left w:val="none" w:sz="0" w:space="0" w:color="auto"/>
                                                                                                                                                                                    <w:bottom w:val="none" w:sz="0" w:space="0" w:color="auto"/>
                                                                                                                                                                                    <w:right w:val="none" w:sz="0" w:space="0" w:color="auto"/>
                                                                                                                                                                                  </w:divBdr>
                                                                                                                                                                                  <w:divsChild>
                                                                                                                                                                                    <w:div w:id="970092793">
                                                                                                                                                                                      <w:marLeft w:val="0"/>
                                                                                                                                                                                      <w:marRight w:val="0"/>
                                                                                                                                                                                      <w:marTop w:val="0"/>
                                                                                                                                                                                      <w:marBottom w:val="0"/>
                                                                                                                                                                                      <w:divBdr>
                                                                                                                                                                                        <w:top w:val="none" w:sz="0" w:space="0" w:color="auto"/>
                                                                                                                                                                                        <w:left w:val="none" w:sz="0" w:space="0" w:color="auto"/>
                                                                                                                                                                                        <w:bottom w:val="none" w:sz="0" w:space="0" w:color="auto"/>
                                                                                                                                                                                        <w:right w:val="none" w:sz="0" w:space="0" w:color="auto"/>
                                                                                                                                                                                      </w:divBdr>
                                                                                                                                                                                      <w:divsChild>
                                                                                                                                                                                        <w:div w:id="970092588">
                                                                                                                                                                                          <w:marLeft w:val="0"/>
                                                                                                                                                                                          <w:marRight w:val="0"/>
                                                                                                                                                                                          <w:marTop w:val="0"/>
                                                                                                                                                                                          <w:marBottom w:val="0"/>
                                                                                                                                                                                          <w:divBdr>
                                                                                                                                                                                            <w:top w:val="none" w:sz="0" w:space="0" w:color="auto"/>
                                                                                                                                                                                            <w:left w:val="none" w:sz="0" w:space="0" w:color="auto"/>
                                                                                                                                                                                            <w:bottom w:val="none" w:sz="0" w:space="0" w:color="auto"/>
                                                                                                                                                                                            <w:right w:val="none" w:sz="0" w:space="0" w:color="auto"/>
                                                                                                                                                                                          </w:divBdr>
                                                                                                                                                                                          <w:divsChild>
                                                                                                                                                                                            <w:div w:id="970092568">
                                                                                                                                                                                              <w:marLeft w:val="0"/>
                                                                                                                                                                                              <w:marRight w:val="0"/>
                                                                                                                                                                                              <w:marTop w:val="0"/>
                                                                                                                                                                                              <w:marBottom w:val="0"/>
                                                                                                                                                                                              <w:divBdr>
                                                                                                                                                                                                <w:top w:val="none" w:sz="0" w:space="0" w:color="auto"/>
                                                                                                                                                                                                <w:left w:val="none" w:sz="0" w:space="0" w:color="auto"/>
                                                                                                                                                                                                <w:bottom w:val="none" w:sz="0" w:space="0" w:color="auto"/>
                                                                                                                                                                                                <w:right w:val="none" w:sz="0" w:space="0" w:color="auto"/>
                                                                                                                                                                                              </w:divBdr>
                                                                                                                                                                                              <w:divsChild>
                                                                                                                                                                                                <w:div w:id="970092670">
                                                                                                                                                                                                  <w:marLeft w:val="0"/>
                                                                                                                                                                                                  <w:marRight w:val="0"/>
                                                                                                                                                                                                  <w:marTop w:val="0"/>
                                                                                                                                                                                                  <w:marBottom w:val="0"/>
                                                                                                                                                                                                  <w:divBdr>
                                                                                                                                                                                                    <w:top w:val="none" w:sz="0" w:space="0" w:color="auto"/>
                                                                                                                                                                                                    <w:left w:val="none" w:sz="0" w:space="0" w:color="auto"/>
                                                                                                                                                                                                    <w:bottom w:val="none" w:sz="0" w:space="0" w:color="auto"/>
                                                                                                                                                                                                    <w:right w:val="none" w:sz="0" w:space="0" w:color="auto"/>
                                                                                                                                                                                                  </w:divBdr>
                                                                                                                                                                                                  <w:divsChild>
                                                                                                                                                                                                    <w:div w:id="970092561">
                                                                                                                                                                                                      <w:marLeft w:val="0"/>
                                                                                                                                                                                                      <w:marRight w:val="0"/>
                                                                                                                                                                                                      <w:marTop w:val="0"/>
                                                                                                                                                                                                      <w:marBottom w:val="0"/>
                                                                                                                                                                                                      <w:divBdr>
                                                                                                                                                                                                        <w:top w:val="none" w:sz="0" w:space="0" w:color="auto"/>
                                                                                                                                                                                                        <w:left w:val="none" w:sz="0" w:space="0" w:color="auto"/>
                                                                                                                                                                                                        <w:bottom w:val="none" w:sz="0" w:space="0" w:color="auto"/>
                                                                                                                                                                                                        <w:right w:val="none" w:sz="0" w:space="0" w:color="auto"/>
                                                                                                                                                                                                      </w:divBdr>
                                                                                                                                                                                                      <w:divsChild>
                                                                                                                                                                                                        <w:div w:id="970092702">
                                                                                                                                                                                                          <w:marLeft w:val="0"/>
                                                                                                                                                                                                          <w:marRight w:val="0"/>
                                                                                                                                                                                                          <w:marTop w:val="0"/>
                                                                                                                                                                                                          <w:marBottom w:val="0"/>
                                                                                                                                                                                                          <w:divBdr>
                                                                                                                                                                                                            <w:top w:val="none" w:sz="0" w:space="0" w:color="auto"/>
                                                                                                                                                                                                            <w:left w:val="none" w:sz="0" w:space="0" w:color="auto"/>
                                                                                                                                                                                                            <w:bottom w:val="none" w:sz="0" w:space="0" w:color="auto"/>
                                                                                                                                                                                                            <w:right w:val="none" w:sz="0" w:space="0" w:color="auto"/>
                                                                                                                                                                                                          </w:divBdr>
                                                                                                                                                                                                          <w:divsChild>
                                                                                                                                                                                                            <w:div w:id="970092796">
                                                                                                                                                                                                              <w:marLeft w:val="0"/>
                                                                                                                                                                                                              <w:marRight w:val="0"/>
                                                                                                                                                                                                              <w:marTop w:val="0"/>
                                                                                                                                                                                                              <w:marBottom w:val="0"/>
                                                                                                                                                                                                              <w:divBdr>
                                                                                                                                                                                                                <w:top w:val="none" w:sz="0" w:space="0" w:color="auto"/>
                                                                                                                                                                                                                <w:left w:val="none" w:sz="0" w:space="0" w:color="auto"/>
                                                                                                                                                                                                                <w:bottom w:val="none" w:sz="0" w:space="0" w:color="auto"/>
                                                                                                                                                                                                                <w:right w:val="none" w:sz="0" w:space="0" w:color="auto"/>
                                                                                                                                                                                                              </w:divBdr>
                                                                                                                                                                                                              <w:divsChild>
                                                                                                                                                                                                                <w:div w:id="970092575">
                                                                                                                                                                                                                  <w:marLeft w:val="0"/>
                                                                                                                                                                                                                  <w:marRight w:val="0"/>
                                                                                                                                                                                                                  <w:marTop w:val="0"/>
                                                                                                                                                                                                                  <w:marBottom w:val="0"/>
                                                                                                                                                                                                                  <w:divBdr>
                                                                                                                                                                                                                    <w:top w:val="none" w:sz="0" w:space="0" w:color="auto"/>
                                                                                                                                                                                                                    <w:left w:val="none" w:sz="0" w:space="0" w:color="auto"/>
                                                                                                                                                                                                                    <w:bottom w:val="none" w:sz="0" w:space="0" w:color="auto"/>
                                                                                                                                                                                                                    <w:right w:val="none" w:sz="0" w:space="0" w:color="auto"/>
                                                                                                                                                                                                                  </w:divBdr>
                                                                                                                                                                                                                  <w:divsChild>
                                                                                                                                                                                                                    <w:div w:id="970092615">
                                                                                                                                                                                                                      <w:marLeft w:val="0"/>
                                                                                                                                                                                                                      <w:marRight w:val="0"/>
                                                                                                                                                                                                                      <w:marTop w:val="0"/>
                                                                                                                                                                                                                      <w:marBottom w:val="0"/>
                                                                                                                                                                                                                      <w:divBdr>
                                                                                                                                                                                                                        <w:top w:val="none" w:sz="0" w:space="0" w:color="auto"/>
                                                                                                                                                                                                                        <w:left w:val="none" w:sz="0" w:space="0" w:color="auto"/>
                                                                                                                                                                                                                        <w:bottom w:val="none" w:sz="0" w:space="0" w:color="auto"/>
                                                                                                                                                                                                                        <w:right w:val="none" w:sz="0" w:space="0" w:color="auto"/>
                                                                                                                                                                                                                      </w:divBdr>
                                                                                                                                                                                                                      <w:divsChild>
                                                                                                                                                                                                                        <w:div w:id="970092632">
                                                                                                                                                                                                                          <w:marLeft w:val="0"/>
                                                                                                                                                                                                                          <w:marRight w:val="0"/>
                                                                                                                                                                                                                          <w:marTop w:val="0"/>
                                                                                                                                                                                                                          <w:marBottom w:val="0"/>
                                                                                                                                                                                                                          <w:divBdr>
                                                                                                                                                                                                                            <w:top w:val="none" w:sz="0" w:space="0" w:color="auto"/>
                                                                                                                                                                                                                            <w:left w:val="none" w:sz="0" w:space="0" w:color="auto"/>
                                                                                                                                                                                                                            <w:bottom w:val="none" w:sz="0" w:space="0" w:color="auto"/>
                                                                                                                                                                                                                            <w:right w:val="none" w:sz="0" w:space="0" w:color="auto"/>
                                                                                                                                                                                                                          </w:divBdr>
                                                                                                                                                                                                                          <w:divsChild>
                                                                                                                                                                                                                            <w:div w:id="970092777">
                                                                                                                                                                                                                              <w:marLeft w:val="0"/>
                                                                                                                                                                                                                              <w:marRight w:val="0"/>
                                                                                                                                                                                                                              <w:marTop w:val="0"/>
                                                                                                                                                                                                                              <w:marBottom w:val="0"/>
                                                                                                                                                                                                                              <w:divBdr>
                                                                                                                                                                                                                                <w:top w:val="none" w:sz="0" w:space="0" w:color="auto"/>
                                                                                                                                                                                                                                <w:left w:val="none" w:sz="0" w:space="0" w:color="auto"/>
                                                                                                                                                                                                                                <w:bottom w:val="none" w:sz="0" w:space="0" w:color="auto"/>
                                                                                                                                                                                                                                <w:right w:val="none" w:sz="0" w:space="0" w:color="auto"/>
                                                                                                                                                                                                                              </w:divBdr>
                                                                                                                                                                                                                              <w:divsChild>
                                                                                                                                                                                                                                <w:div w:id="970092716">
                                                                                                                                                                                                                                  <w:marLeft w:val="0"/>
                                                                                                                                                                                                                                  <w:marRight w:val="0"/>
                                                                                                                                                                                                                                  <w:marTop w:val="0"/>
                                                                                                                                                                                                                                  <w:marBottom w:val="0"/>
                                                                                                                                                                                                                                  <w:divBdr>
                                                                                                                                                                                                                                    <w:top w:val="none" w:sz="0" w:space="0" w:color="auto"/>
                                                                                                                                                                                                                                    <w:left w:val="none" w:sz="0" w:space="0" w:color="auto"/>
                                                                                                                                                                                                                                    <w:bottom w:val="none" w:sz="0" w:space="0" w:color="auto"/>
                                                                                                                                                                                                                                    <w:right w:val="none" w:sz="0" w:space="0" w:color="auto"/>
                                                                                                                                                                                                                                  </w:divBdr>
                                                                                                                                                                                                                                  <w:divsChild>
                                                                                                                                                                                                                                    <w:div w:id="970092579">
                                                                                                                                                                                                                                      <w:marLeft w:val="0"/>
                                                                                                                                                                                                                                      <w:marRight w:val="0"/>
                                                                                                                                                                                                                                      <w:marTop w:val="0"/>
                                                                                                                                                                                                                                      <w:marBottom w:val="0"/>
                                                                                                                                                                                                                                      <w:divBdr>
                                                                                                                                                                                                                                        <w:top w:val="none" w:sz="0" w:space="0" w:color="auto"/>
                                                                                                                                                                                                                                        <w:left w:val="none" w:sz="0" w:space="0" w:color="auto"/>
                                                                                                                                                                                                                                        <w:bottom w:val="none" w:sz="0" w:space="0" w:color="auto"/>
                                                                                                                                                                                                                                        <w:right w:val="none" w:sz="0" w:space="0" w:color="auto"/>
                                                                                                                                                                                                                                      </w:divBdr>
                                                                                                                                                                                                                                      <w:divsChild>
                                                                                                                                                                                                                                        <w:div w:id="970092659">
                                                                                                                                                                                                                                          <w:marLeft w:val="0"/>
                                                                                                                                                                                                                                          <w:marRight w:val="0"/>
                                                                                                                                                                                                                                          <w:marTop w:val="0"/>
                                                                                                                                                                                                                                          <w:marBottom w:val="0"/>
                                                                                                                                                                                                                                          <w:divBdr>
                                                                                                                                                                                                                                            <w:top w:val="none" w:sz="0" w:space="0" w:color="auto"/>
                                                                                                                                                                                                                                            <w:left w:val="none" w:sz="0" w:space="0" w:color="auto"/>
                                                                                                                                                                                                                                            <w:bottom w:val="none" w:sz="0" w:space="0" w:color="auto"/>
                                                                                                                                                                                                                                            <w:right w:val="none" w:sz="0" w:space="0" w:color="auto"/>
                                                                                                                                                                                                                                          </w:divBdr>
                                                                                                                                                                                                                                          <w:divsChild>
                                                                                                                                                                                                                                            <w:div w:id="970092601">
                                                                                                                                                                                                                                              <w:marLeft w:val="0"/>
                                                                                                                                                                                                                                              <w:marRight w:val="0"/>
                                                                                                                                                                                                                                              <w:marTop w:val="0"/>
                                                                                                                                                                                                                                              <w:marBottom w:val="0"/>
                                                                                                                                                                                                                                              <w:divBdr>
                                                                                                                                                                                                                                                <w:top w:val="none" w:sz="0" w:space="0" w:color="auto"/>
                                                                                                                                                                                                                                                <w:left w:val="none" w:sz="0" w:space="0" w:color="auto"/>
                                                                                                                                                                                                                                                <w:bottom w:val="none" w:sz="0" w:space="0" w:color="auto"/>
                                                                                                                                                                                                                                                <w:right w:val="none" w:sz="0" w:space="0" w:color="auto"/>
                                                                                                                                                                                                                                              </w:divBdr>
                                                                                                                                                                                                                                              <w:divsChild>
                                                                                                                                                                                                                                                <w:div w:id="970092611">
                                                                                                                                                                                                                                                  <w:marLeft w:val="0"/>
                                                                                                                                                                                                                                                  <w:marRight w:val="0"/>
                                                                                                                                                                                                                                                  <w:marTop w:val="0"/>
                                                                                                                                                                                                                                                  <w:marBottom w:val="0"/>
                                                                                                                                                                                                                                                  <w:divBdr>
                                                                                                                                                                                                                                                    <w:top w:val="none" w:sz="0" w:space="0" w:color="auto"/>
                                                                                                                                                                                                                                                    <w:left w:val="none" w:sz="0" w:space="0" w:color="auto"/>
                                                                                                                                                                                                                                                    <w:bottom w:val="none" w:sz="0" w:space="0" w:color="auto"/>
                                                                                                                                                                                                                                                    <w:right w:val="none" w:sz="0" w:space="0" w:color="auto"/>
                                                                                                                                                                                                                                                  </w:divBdr>
                                                                                                                                                                                                                                                  <w:divsChild>
                                                                                                                                                                                                                                                    <w:div w:id="970092597">
                                                                                                                                                                                                                                                      <w:marLeft w:val="0"/>
                                                                                                                                                                                                                                                      <w:marRight w:val="0"/>
                                                                                                                                                                                                                                                      <w:marTop w:val="0"/>
                                                                                                                                                                                                                                                      <w:marBottom w:val="0"/>
                                                                                                                                                                                                                                                      <w:divBdr>
                                                                                                                                                                                                                                                        <w:top w:val="none" w:sz="0" w:space="0" w:color="auto"/>
                                                                                                                                                                                                                                                        <w:left w:val="none" w:sz="0" w:space="0" w:color="auto"/>
                                                                                                                                                                                                                                                        <w:bottom w:val="none" w:sz="0" w:space="0" w:color="auto"/>
                                                                                                                                                                                                                                                        <w:right w:val="none" w:sz="0" w:space="0" w:color="auto"/>
                                                                                                                                                                                                                                                      </w:divBdr>
                                                                                                                                                                                                                                                      <w:divsChild>
                                                                                                                                                                                                                                                        <w:div w:id="970092658">
                                                                                                                                                                                                                                                          <w:marLeft w:val="0"/>
                                                                                                                                                                                                                                                          <w:marRight w:val="0"/>
                                                                                                                                                                                                                                                          <w:marTop w:val="0"/>
                                                                                                                                                                                                                                                          <w:marBottom w:val="0"/>
                                                                                                                                                                                                                                                          <w:divBdr>
                                                                                                                                                                                                                                                            <w:top w:val="none" w:sz="0" w:space="0" w:color="auto"/>
                                                                                                                                                                                                                                                            <w:left w:val="none" w:sz="0" w:space="0" w:color="auto"/>
                                                                                                                                                                                                                                                            <w:bottom w:val="none" w:sz="0" w:space="0" w:color="auto"/>
                                                                                                                                                                                                                                                            <w:right w:val="none" w:sz="0" w:space="0" w:color="auto"/>
                                                                                                                                                                                                                                                          </w:divBdr>
                                                                                                                                                                                                                                                          <w:divsChild>
                                                                                                                                                                                                                                                            <w:div w:id="970092706">
                                                                                                                                                                                                                                                              <w:marLeft w:val="0"/>
                                                                                                                                                                                                                                                              <w:marRight w:val="0"/>
                                                                                                                                                                                                                                                              <w:marTop w:val="0"/>
                                                                                                                                                                                                                                                              <w:marBottom w:val="0"/>
                                                                                                                                                                                                                                                              <w:divBdr>
                                                                                                                                                                                                                                                                <w:top w:val="none" w:sz="0" w:space="0" w:color="auto"/>
                                                                                                                                                                                                                                                                <w:left w:val="none" w:sz="0" w:space="0" w:color="auto"/>
                                                                                                                                                                                                                                                                <w:bottom w:val="none" w:sz="0" w:space="0" w:color="auto"/>
                                                                                                                                                                                                                                                                <w:right w:val="none" w:sz="0" w:space="0" w:color="auto"/>
                                                                                                                                                                                                                                                              </w:divBdr>
                                                                                                                                                                                                                                                              <w:divsChild>
                                                                                                                                                                                                                                                                <w:div w:id="970092657">
                                                                                                                                                                                                                                                                  <w:marLeft w:val="0"/>
                                                                                                                                                                                                                                                                  <w:marRight w:val="0"/>
                                                                                                                                                                                                                                                                  <w:marTop w:val="0"/>
                                                                                                                                                                                                                                                                  <w:marBottom w:val="0"/>
                                                                                                                                                                                                                                                                  <w:divBdr>
                                                                                                                                                                                                                                                                    <w:top w:val="none" w:sz="0" w:space="0" w:color="auto"/>
                                                                                                                                                                                                                                                                    <w:left w:val="none" w:sz="0" w:space="0" w:color="auto"/>
                                                                                                                                                                                                                                                                    <w:bottom w:val="none" w:sz="0" w:space="0" w:color="auto"/>
                                                                                                                                                                                                                                                                    <w:right w:val="none" w:sz="0" w:space="0" w:color="auto"/>
                                                                                                                                                                                                                                                                  </w:divBdr>
                                                                                                                                                                                                                                                                  <w:divsChild>
                                                                                                                                                                                                                                                                    <w:div w:id="970092567">
                                                                                                                                                                                                                                                                      <w:marLeft w:val="0"/>
                                                                                                                                                                                                                                                                      <w:marRight w:val="0"/>
                                                                                                                                                                                                                                                                      <w:marTop w:val="0"/>
                                                                                                                                                                                                                                                                      <w:marBottom w:val="0"/>
                                                                                                                                                                                                                                                                      <w:divBdr>
                                                                                                                                                                                                                                                                        <w:top w:val="none" w:sz="0" w:space="0" w:color="auto"/>
                                                                                                                                                                                                                                                                        <w:left w:val="none" w:sz="0" w:space="0" w:color="auto"/>
                                                                                                                                                                                                                                                                        <w:bottom w:val="none" w:sz="0" w:space="0" w:color="auto"/>
                                                                                                                                                                                                                                                                        <w:right w:val="none" w:sz="0" w:space="0" w:color="auto"/>
                                                                                                                                                                                                                                                                      </w:divBdr>
                                                                                                                                                                                                                                                                      <w:divsChild>
                                                                                                                                                                                                                                                                        <w:div w:id="970092694">
                                                                                                                                                                                                                                                                          <w:marLeft w:val="0"/>
                                                                                                                                                                                                                                                                          <w:marRight w:val="0"/>
                                                                                                                                                                                                                                                                          <w:marTop w:val="0"/>
                                                                                                                                                                                                                                                                          <w:marBottom w:val="0"/>
                                                                                                                                                                                                                                                                          <w:divBdr>
                                                                                                                                                                                                                                                                            <w:top w:val="none" w:sz="0" w:space="0" w:color="auto"/>
                                                                                                                                                                                                                                                                            <w:left w:val="none" w:sz="0" w:space="0" w:color="auto"/>
                                                                                                                                                                                                                                                                            <w:bottom w:val="none" w:sz="0" w:space="0" w:color="auto"/>
                                                                                                                                                                                                                                                                            <w:right w:val="none" w:sz="0" w:space="0" w:color="auto"/>
                                                                                                                                                                                                                                                                          </w:divBdr>
                                                                                                                                                                                                                                                                          <w:divsChild>
                                                                                                                                                                                                                                                                            <w:div w:id="970092745">
                                                                                                                                                                                                                                                                              <w:marLeft w:val="0"/>
                                                                                                                                                                                                                                                                              <w:marRight w:val="0"/>
                                                                                                                                                                                                                                                                              <w:marTop w:val="0"/>
                                                                                                                                                                                                                                                                              <w:marBottom w:val="0"/>
                                                                                                                                                                                                                                                                              <w:divBdr>
                                                                                                                                                                                                                                                                                <w:top w:val="none" w:sz="0" w:space="0" w:color="auto"/>
                                                                                                                                                                                                                                                                                <w:left w:val="none" w:sz="0" w:space="0" w:color="auto"/>
                                                                                                                                                                                                                                                                                <w:bottom w:val="none" w:sz="0" w:space="0" w:color="auto"/>
                                                                                                                                                                                                                                                                                <w:right w:val="none" w:sz="0" w:space="0" w:color="auto"/>
                                                                                                                                                                                                                                                                              </w:divBdr>
                                                                                                                                                                                                                                                                              <w:divsChild>
                                                                                                                                                                                                                                                                                <w:div w:id="970092624">
                                                                                                                                                                                                                                                                                  <w:marLeft w:val="0"/>
                                                                                                                                                                                                                                                                                  <w:marRight w:val="0"/>
                                                                                                                                                                                                                                                                                  <w:marTop w:val="0"/>
                                                                                                                                                                                                                                                                                  <w:marBottom w:val="0"/>
                                                                                                                                                                                                                                                                                  <w:divBdr>
                                                                                                                                                                                                                                                                                    <w:top w:val="none" w:sz="0" w:space="0" w:color="auto"/>
                                                                                                                                                                                                                                                                                    <w:left w:val="none" w:sz="0" w:space="0" w:color="auto"/>
                                                                                                                                                                                                                                                                                    <w:bottom w:val="none" w:sz="0" w:space="0" w:color="auto"/>
                                                                                                                                                                                                                                                                                    <w:right w:val="none" w:sz="0" w:space="0" w:color="auto"/>
                                                                                                                                                                                                                                                                                  </w:divBdr>
                                                                                                                                                                                                                                                                                  <w:divsChild>
                                                                                                                                                                                                                                                                                    <w:div w:id="970092725">
                                                                                                                                                                                                                                                                                      <w:marLeft w:val="0"/>
                                                                                                                                                                                                                                                                                      <w:marRight w:val="0"/>
                                                                                                                                                                                                                                                                                      <w:marTop w:val="0"/>
                                                                                                                                                                                                                                                                                      <w:marBottom w:val="0"/>
                                                                                                                                                                                                                                                                                      <w:divBdr>
                                                                                                                                                                                                                                                                                        <w:top w:val="none" w:sz="0" w:space="0" w:color="auto"/>
                                                                                                                                                                                                                                                                                        <w:left w:val="none" w:sz="0" w:space="0" w:color="auto"/>
                                                                                                                                                                                                                                                                                        <w:bottom w:val="none" w:sz="0" w:space="0" w:color="auto"/>
                                                                                                                                                                                                                                                                                        <w:right w:val="none" w:sz="0" w:space="0" w:color="auto"/>
                                                                                                                                                                                                                                                                                      </w:divBdr>
                                                                                                                                                                                                                                                                                      <w:divsChild>
                                                                                                                                                                                                                                                                                        <w:div w:id="970092751">
                                                                                                                                                                                                                                                                                          <w:marLeft w:val="0"/>
                                                                                                                                                                                                                                                                                          <w:marRight w:val="0"/>
                                                                                                                                                                                                                                                                                          <w:marTop w:val="0"/>
                                                                                                                                                                                                                                                                                          <w:marBottom w:val="0"/>
                                                                                                                                                                                                                                                                                          <w:divBdr>
                                                                                                                                                                                                                                                                                            <w:top w:val="none" w:sz="0" w:space="0" w:color="auto"/>
                                                                                                                                                                                                                                                                                            <w:left w:val="none" w:sz="0" w:space="0" w:color="auto"/>
                                                                                                                                                                                                                                                                                            <w:bottom w:val="none" w:sz="0" w:space="0" w:color="auto"/>
                                                                                                                                                                                                                                                                                            <w:right w:val="none" w:sz="0" w:space="0" w:color="auto"/>
                                                                                                                                                                                                                                                                                          </w:divBdr>
                                                                                                                                                                                                                                                                                          <w:divsChild>
                                                                                                                                                                                                                                                                                            <w:div w:id="970092765">
                                                                                                                                                                                                                                                                                              <w:marLeft w:val="0"/>
                                                                                                                                                                                                                                                                                              <w:marRight w:val="0"/>
                                                                                                                                                                                                                                                                                              <w:marTop w:val="0"/>
                                                                                                                                                                                                                                                                                              <w:marBottom w:val="0"/>
                                                                                                                                                                                                                                                                                              <w:divBdr>
                                                                                                                                                                                                                                                                                                <w:top w:val="none" w:sz="0" w:space="0" w:color="auto"/>
                                                                                                                                                                                                                                                                                                <w:left w:val="none" w:sz="0" w:space="0" w:color="auto"/>
                                                                                                                                                                                                                                                                                                <w:bottom w:val="none" w:sz="0" w:space="0" w:color="auto"/>
                                                                                                                                                                                                                                                                                                <w:right w:val="none" w:sz="0" w:space="0" w:color="auto"/>
                                                                                                                                                                                                                                                                                              </w:divBdr>
                                                                                                                                                                                                                                                                                              <w:divsChild>
                                                                                                                                                                                                                                                                                                <w:div w:id="970092732">
                                                                                                                                                                                                                                                                                                  <w:marLeft w:val="0"/>
                                                                                                                                                                                                                                                                                                  <w:marRight w:val="0"/>
                                                                                                                                                                                                                                                                                                  <w:marTop w:val="0"/>
                                                                                                                                                                                                                                                                                                  <w:marBottom w:val="0"/>
                                                                                                                                                                                                                                                                                                  <w:divBdr>
                                                                                                                                                                                                                                                                                                    <w:top w:val="none" w:sz="0" w:space="0" w:color="auto"/>
                                                                                                                                                                                                                                                                                                    <w:left w:val="none" w:sz="0" w:space="0" w:color="auto"/>
                                                                                                                                                                                                                                                                                                    <w:bottom w:val="none" w:sz="0" w:space="0" w:color="auto"/>
                                                                                                                                                                                                                                                                                                    <w:right w:val="none" w:sz="0" w:space="0" w:color="auto"/>
                                                                                                                                                                                                                                                                                                  </w:divBdr>
                                                                                                                                                                                                                                                                                                  <w:divsChild>
                                                                                                                                                                                                                                                                                                    <w:div w:id="970092621">
                                                                                                                                                                                                                                                                                                      <w:marLeft w:val="0"/>
                                                                                                                                                                                                                                                                                                      <w:marRight w:val="0"/>
                                                                                                                                                                                                                                                                                                      <w:marTop w:val="0"/>
                                                                                                                                                                                                                                                                                                      <w:marBottom w:val="0"/>
                                                                                                                                                                                                                                                                                                      <w:divBdr>
                                                                                                                                                                                                                                                                                                        <w:top w:val="none" w:sz="0" w:space="0" w:color="auto"/>
                                                                                                                                                                                                                                                                                                        <w:left w:val="none" w:sz="0" w:space="0" w:color="auto"/>
                                                                                                                                                                                                                                                                                                        <w:bottom w:val="none" w:sz="0" w:space="0" w:color="auto"/>
                                                                                                                                                                                                                                                                                                        <w:right w:val="none" w:sz="0" w:space="0" w:color="auto"/>
                                                                                                                                                                                                                                                                                                      </w:divBdr>
                                                                                                                                                                                                                                                                                                      <w:divsChild>
                                                                                                                                                                                                                                                                                                        <w:div w:id="970092709">
                                                                                                                                                                                                                                                                                                          <w:marLeft w:val="0"/>
                                                                                                                                                                                                                                                                                                          <w:marRight w:val="0"/>
                                                                                                                                                                                                                                                                                                          <w:marTop w:val="0"/>
                                                                                                                                                                                                                                                                                                          <w:marBottom w:val="0"/>
                                                                                                                                                                                                                                                                                                          <w:divBdr>
                                                                                                                                                                                                                                                                                                            <w:top w:val="none" w:sz="0" w:space="0" w:color="auto"/>
                                                                                                                                                                                                                                                                                                            <w:left w:val="none" w:sz="0" w:space="0" w:color="auto"/>
                                                                                                                                                                                                                                                                                                            <w:bottom w:val="none" w:sz="0" w:space="0" w:color="auto"/>
                                                                                                                                                                                                                                                                                                            <w:right w:val="none" w:sz="0" w:space="0" w:color="auto"/>
                                                                                                                                                                                                                                                                                                          </w:divBdr>
                                                                                                                                                                                                                                                                                                          <w:divsChild>
                                                                                                                                                                                                                                                                                                            <w:div w:id="970092757">
                                                                                                                                                                                                                                                                                                              <w:marLeft w:val="0"/>
                                                                                                                                                                                                                                                                                                              <w:marRight w:val="0"/>
                                                                                                                                                                                                                                                                                                              <w:marTop w:val="0"/>
                                                                                                                                                                                                                                                                                                              <w:marBottom w:val="0"/>
                                                                                                                                                                                                                                                                                                              <w:divBdr>
                                                                                                                                                                                                                                                                                                                <w:top w:val="none" w:sz="0" w:space="0" w:color="auto"/>
                                                                                                                                                                                                                                                                                                                <w:left w:val="none" w:sz="0" w:space="0" w:color="auto"/>
                                                                                                                                                                                                                                                                                                                <w:bottom w:val="none" w:sz="0" w:space="0" w:color="auto"/>
                                                                                                                                                                                                                                                                                                                <w:right w:val="none" w:sz="0" w:space="0" w:color="auto"/>
                                                                                                                                                                                                                                                                                                              </w:divBdr>
                                                                                                                                                                                                                                                                                                              <w:divsChild>
                                                                                                                                                                                                                                                                                                                <w:div w:id="970092641">
                                                                                                                                                                                                                                                                                                                  <w:marLeft w:val="0"/>
                                                                                                                                                                                                                                                                                                                  <w:marRight w:val="0"/>
                                                                                                                                                                                                                                                                                                                  <w:marTop w:val="0"/>
                                                                                                                                                                                                                                                                                                                  <w:marBottom w:val="0"/>
                                                                                                                                                                                                                                                                                                                  <w:divBdr>
                                                                                                                                                                                                                                                                                                                    <w:top w:val="none" w:sz="0" w:space="0" w:color="auto"/>
                                                                                                                                                                                                                                                                                                                    <w:left w:val="none" w:sz="0" w:space="0" w:color="auto"/>
                                                                                                                                                                                                                                                                                                                    <w:bottom w:val="none" w:sz="0" w:space="0" w:color="auto"/>
                                                                                                                                                                                                                                                                                                                    <w:right w:val="none" w:sz="0" w:space="0" w:color="auto"/>
                                                                                                                                                                                                                                                                                                                  </w:divBdr>
                                                                                                                                                                                                                                                                                                                  <w:divsChild>
                                                                                                                                                                                                                                                                                                                    <w:div w:id="970092560">
                                                                                                                                                                                                                                                                                                                      <w:marLeft w:val="0"/>
                                                                                                                                                                                                                                                                                                                      <w:marRight w:val="0"/>
                                                                                                                                                                                                                                                                                                                      <w:marTop w:val="0"/>
                                                                                                                                                                                                                                                                                                                      <w:marBottom w:val="0"/>
                                                                                                                                                                                                                                                                                                                      <w:divBdr>
                                                                                                                                                                                                                                                                                                                        <w:top w:val="none" w:sz="0" w:space="0" w:color="auto"/>
                                                                                                                                                                                                                                                                                                                        <w:left w:val="none" w:sz="0" w:space="0" w:color="auto"/>
                                                                                                                                                                                                                                                                                                                        <w:bottom w:val="none" w:sz="0" w:space="0" w:color="auto"/>
                                                                                                                                                                                                                                                                                                                        <w:right w:val="none" w:sz="0" w:space="0" w:color="auto"/>
                                                                                                                                                                                                                                                                                                                      </w:divBdr>
                                                                                                                                                                                                                                                                                                                      <w:divsChild>
                                                                                                                                                                                                                                                                                                                        <w:div w:id="970092584">
                                                                                                                                                                                                                                                                                                                          <w:marLeft w:val="0"/>
                                                                                                                                                                                                                                                                                                                          <w:marRight w:val="0"/>
                                                                                                                                                                                                                                                                                                                          <w:marTop w:val="0"/>
                                                                                                                                                                                                                                                                                                                          <w:marBottom w:val="0"/>
                                                                                                                                                                                                                                                                                                                          <w:divBdr>
                                                                                                                                                                                                                                                                                                                            <w:top w:val="none" w:sz="0" w:space="0" w:color="auto"/>
                                                                                                                                                                                                                                                                                                                            <w:left w:val="none" w:sz="0" w:space="0" w:color="auto"/>
                                                                                                                                                                                                                                                                                                                            <w:bottom w:val="none" w:sz="0" w:space="0" w:color="auto"/>
                                                                                                                                                                                                                                                                                                                            <w:right w:val="none" w:sz="0" w:space="0" w:color="auto"/>
                                                                                                                                                                                                                                                                                                                          </w:divBdr>
                                                                                                                                                                                                                                                                                                                          <w:divsChild>
                                                                                                                                                                                                                                                                                                                            <w:div w:id="970092754">
                                                                                                                                                                                                                                                                                                                              <w:marLeft w:val="0"/>
                                                                                                                                                                                                                                                                                                                              <w:marRight w:val="0"/>
                                                                                                                                                                                                                                                                                                                              <w:marTop w:val="0"/>
                                                                                                                                                                                                                                                                                                                              <w:marBottom w:val="0"/>
                                                                                                                                                                                                                                                                                                                              <w:divBdr>
                                                                                                                                                                                                                                                                                                                                <w:top w:val="none" w:sz="0" w:space="0" w:color="auto"/>
                                                                                                                                                                                                                                                                                                                                <w:left w:val="none" w:sz="0" w:space="0" w:color="auto"/>
                                                                                                                                                                                                                                                                                                                                <w:bottom w:val="none" w:sz="0" w:space="0" w:color="auto"/>
                                                                                                                                                                                                                                                                                                                                <w:right w:val="none" w:sz="0" w:space="0" w:color="auto"/>
                                                                                                                                                                                                                                                                                                                              </w:divBdr>
                                                                                                                                                                                                                                                                                                                              <w:divsChild>
                                                                                                                                                                                                                                                                                                                                <w:div w:id="970092726">
                                                                                                                                                                                                                                                                                                                                  <w:marLeft w:val="0"/>
                                                                                                                                                                                                                                                                                                                                  <w:marRight w:val="0"/>
                                                                                                                                                                                                                                                                                                                                  <w:marTop w:val="0"/>
                                                                                                                                                                                                                                                                                                                                  <w:marBottom w:val="0"/>
                                                                                                                                                                                                                                                                                                                                  <w:divBdr>
                                                                                                                                                                                                                                                                                                                                    <w:top w:val="none" w:sz="0" w:space="0" w:color="auto"/>
                                                                                                                                                                                                                                                                                                                                    <w:left w:val="none" w:sz="0" w:space="0" w:color="auto"/>
                                                                                                                                                                                                                                                                                                                                    <w:bottom w:val="none" w:sz="0" w:space="0" w:color="auto"/>
                                                                                                                                                                                                                                                                                                                                    <w:right w:val="none" w:sz="0" w:space="0" w:color="auto"/>
                                                                                                                                                                                                                                                                                                                                  </w:divBdr>
                                                                                                                                                                                                                                                                                                                                  <w:divsChild>
                                                                                                                                                                                                                                                                                                                                    <w:div w:id="970092654">
                                                                                                                                                                                                                                                                                                                                      <w:marLeft w:val="0"/>
                                                                                                                                                                                                                                                                                                                                      <w:marRight w:val="0"/>
                                                                                                                                                                                                                                                                                                                                      <w:marTop w:val="0"/>
                                                                                                                                                                                                                                                                                                                                      <w:marBottom w:val="0"/>
                                                                                                                                                                                                                                                                                                                                      <w:divBdr>
                                                                                                                                                                                                                                                                                                                                        <w:top w:val="none" w:sz="0" w:space="0" w:color="auto"/>
                                                                                                                                                                                                                                                                                                                                        <w:left w:val="none" w:sz="0" w:space="0" w:color="auto"/>
                                                                                                                                                                                                                                                                                                                                        <w:bottom w:val="none" w:sz="0" w:space="0" w:color="auto"/>
                                                                                                                                                                                                                                                                                                                                        <w:right w:val="none" w:sz="0" w:space="0" w:color="auto"/>
                                                                                                                                                                                                                                                                                                                                      </w:divBdr>
                                                                                                                                                                                                                                                                                                                                      <w:divsChild>
                                                                                                                                                                                                                                                                                                                                        <w:div w:id="970092785">
                                                                                                                                                                                                                                                                                                                                          <w:marLeft w:val="0"/>
                                                                                                                                                                                                                                                                                                                                          <w:marRight w:val="0"/>
                                                                                                                                                                                                                                                                                                                                          <w:marTop w:val="0"/>
                                                                                                                                                                                                                                                                                                                                          <w:marBottom w:val="0"/>
                                                                                                                                                                                                                                                                                                                                          <w:divBdr>
                                                                                                                                                                                                                                                                                                                                            <w:top w:val="none" w:sz="0" w:space="0" w:color="auto"/>
                                                                                                                                                                                                                                                                                                                                            <w:left w:val="none" w:sz="0" w:space="0" w:color="auto"/>
                                                                                                                                                                                                                                                                                                                                            <w:bottom w:val="none" w:sz="0" w:space="0" w:color="auto"/>
                                                                                                                                                                                                                                                                                                                                            <w:right w:val="none" w:sz="0" w:space="0" w:color="auto"/>
                                                                                                                                                                                                                                                                                                                                          </w:divBdr>
                                                                                                                                                                                                                                                                                                                                          <w:divsChild>
                                                                                                                                                                                                                                                                                                                                            <w:div w:id="970092752">
                                                                                                                                                                                                                                                                                                                                              <w:marLeft w:val="0"/>
                                                                                                                                                                                                                                                                                                                                              <w:marRight w:val="0"/>
                                                                                                                                                                                                                                                                                                                                              <w:marTop w:val="0"/>
                                                                                                                                                                                                                                                                                                                                              <w:marBottom w:val="0"/>
                                                                                                                                                                                                                                                                                                                                              <w:divBdr>
                                                                                                                                                                                                                                                                                                                                                <w:top w:val="none" w:sz="0" w:space="0" w:color="auto"/>
                                                                                                                                                                                                                                                                                                                                                <w:left w:val="none" w:sz="0" w:space="0" w:color="auto"/>
                                                                                                                                                                                                                                                                                                                                                <w:bottom w:val="none" w:sz="0" w:space="0" w:color="auto"/>
                                                                                                                                                                                                                                                                                                                                                <w:right w:val="none" w:sz="0" w:space="0" w:color="auto"/>
                                                                                                                                                                                                                                                                                                                                              </w:divBdr>
                                                                                                                                                                                                                                                                                                                                              <w:divsChild>
                                                                                                                                                                                                                                                                                                                                                <w:div w:id="970092741">
                                                                                                                                                                                                                                                                                                                                                  <w:marLeft w:val="0"/>
                                                                                                                                                                                                                                                                                                                                                  <w:marRight w:val="0"/>
                                                                                                                                                                                                                                                                                                                                                  <w:marTop w:val="0"/>
                                                                                                                                                                                                                                                                                                                                                  <w:marBottom w:val="0"/>
                                                                                                                                                                                                                                                                                                                                                  <w:divBdr>
                                                                                                                                                                                                                                                                                                                                                    <w:top w:val="none" w:sz="0" w:space="0" w:color="auto"/>
                                                                                                                                                                                                                                                                                                                                                    <w:left w:val="none" w:sz="0" w:space="0" w:color="auto"/>
                                                                                                                                                                                                                                                                                                                                                    <w:bottom w:val="none" w:sz="0" w:space="0" w:color="auto"/>
                                                                                                                                                                                                                                                                                                                                                    <w:right w:val="none" w:sz="0" w:space="0" w:color="auto"/>
                                                                                                                                                                                                                                                                                                                                                  </w:divBdr>
                                                                                                                                                                                                                                                                                                                                                  <w:divsChild>
                                                                                                                                                                                                                                                                                                                                                    <w:div w:id="970092629">
                                                                                                                                                                                                                                                                                                                                                      <w:marLeft w:val="0"/>
                                                                                                                                                                                                                                                                                                                                                      <w:marRight w:val="0"/>
                                                                                                                                                                                                                                                                                                                                                      <w:marTop w:val="0"/>
                                                                                                                                                                                                                                                                                                                                                      <w:marBottom w:val="0"/>
                                                                                                                                                                                                                                                                                                                                                      <w:divBdr>
                                                                                                                                                                                                                                                                                                                                                        <w:top w:val="none" w:sz="0" w:space="0" w:color="auto"/>
                                                                                                                                                                                                                                                                                                                                                        <w:left w:val="none" w:sz="0" w:space="0" w:color="auto"/>
                                                                                                                                                                                                                                                                                                                                                        <w:bottom w:val="none" w:sz="0" w:space="0" w:color="auto"/>
                                                                                                                                                                                                                                                                                                                                                        <w:right w:val="none" w:sz="0" w:space="0" w:color="auto"/>
                                                                                                                                                                                                                                                                                                                                                      </w:divBdr>
                                                                                                                                                                                                                                                                                                                                                      <w:divsChild>
                                                                                                                                                                                                                                                                                                                                                        <w:div w:id="970092605">
                                                                                                                                                                                                                                                                                                                                                          <w:marLeft w:val="0"/>
                                                                                                                                                                                                                                                                                                                                                          <w:marRight w:val="0"/>
                                                                                                                                                                                                                                                                                                                                                          <w:marTop w:val="0"/>
                                                                                                                                                                                                                                                                                                                                                          <w:marBottom w:val="0"/>
                                                                                                                                                                                                                                                                                                                                                          <w:divBdr>
                                                                                                                                                                                                                                                                                                                                                            <w:top w:val="none" w:sz="0" w:space="0" w:color="auto"/>
                                                                                                                                                                                                                                                                                                                                                            <w:left w:val="none" w:sz="0" w:space="0" w:color="auto"/>
                                                                                                                                                                                                                                                                                                                                                            <w:bottom w:val="none" w:sz="0" w:space="0" w:color="auto"/>
                                                                                                                                                                                                                                                                                                                                                            <w:right w:val="none" w:sz="0" w:space="0" w:color="auto"/>
                                                                                                                                                                                                                                                                                                                                                          </w:divBdr>
                                                                                                                                                                                                                                                                                                                                                          <w:divsChild>
                                                                                                                                                                                                                                                                                                                                                            <w:div w:id="970092576">
                                                                                                                                                                                                                                                                                                                                                              <w:marLeft w:val="0"/>
                                                                                                                                                                                                                                                                                                                                                              <w:marRight w:val="0"/>
                                                                                                                                                                                                                                                                                                                                                              <w:marTop w:val="0"/>
                                                                                                                                                                                                                                                                                                                                                              <w:marBottom w:val="0"/>
                                                                                                                                                                                                                                                                                                                                                              <w:divBdr>
                                                                                                                                                                                                                                                                                                                                                                <w:top w:val="none" w:sz="0" w:space="0" w:color="auto"/>
                                                                                                                                                                                                                                                                                                                                                                <w:left w:val="none" w:sz="0" w:space="0" w:color="auto"/>
                                                                                                                                                                                                                                                                                                                                                                <w:bottom w:val="none" w:sz="0" w:space="0" w:color="auto"/>
                                                                                                                                                                                                                                                                                                                                                                <w:right w:val="none" w:sz="0" w:space="0" w:color="auto"/>
                                                                                                                                                                                                                                                                                                                                                              </w:divBdr>
                                                                                                                                                                                                                                                                                                                                                              <w:divsChild>
                                                                                                                                                                                                                                                                                                                                                                <w:div w:id="970092771">
                                                                                                                                                                                                                                                                                                                                                                  <w:marLeft w:val="0"/>
                                                                                                                                                                                                                                                                                                                                                                  <w:marRight w:val="0"/>
                                                                                                                                                                                                                                                                                                                                                                  <w:marTop w:val="0"/>
                                                                                                                                                                                                                                                                                                                                                                  <w:marBottom w:val="0"/>
                                                                                                                                                                                                                                                                                                                                                                  <w:divBdr>
                                                                                                                                                                                                                                                                                                                                                                    <w:top w:val="none" w:sz="0" w:space="0" w:color="auto"/>
                                                                                                                                                                                                                                                                                                                                                                    <w:left w:val="none" w:sz="0" w:space="0" w:color="auto"/>
                                                                                                                                                                                                                                                                                                                                                                    <w:bottom w:val="none" w:sz="0" w:space="0" w:color="auto"/>
                                                                                                                                                                                                                                                                                                                                                                    <w:right w:val="none" w:sz="0" w:space="0" w:color="auto"/>
                                                                                                                                                                                                                                                                                                                                                                  </w:divBdr>
                                                                                                                                                                                                                                                                                                                                                                  <w:divsChild>
                                                                                                                                                                                                                                                                                                                                                                    <w:div w:id="970092758">
                                                                                                                                                                                                                                                                                                                                                                      <w:marLeft w:val="0"/>
                                                                                                                                                                                                                                                                                                                                                                      <w:marRight w:val="0"/>
                                                                                                                                                                                                                                                                                                                                                                      <w:marTop w:val="0"/>
                                                                                                                                                                                                                                                                                                                                                                      <w:marBottom w:val="0"/>
                                                                                                                                                                                                                                                                                                                                                                      <w:divBdr>
                                                                                                                                                                                                                                                                                                                                                                        <w:top w:val="none" w:sz="0" w:space="0" w:color="auto"/>
                                                                                                                                                                                                                                                                                                                                                                        <w:left w:val="none" w:sz="0" w:space="0" w:color="auto"/>
                                                                                                                                                                                                                                                                                                                                                                        <w:bottom w:val="none" w:sz="0" w:space="0" w:color="auto"/>
                                                                                                                                                                                                                                                                                                                                                                        <w:right w:val="none" w:sz="0" w:space="0" w:color="auto"/>
                                                                                                                                                                                                                                                                                                                                                                      </w:divBdr>
                                                                                                                                                                                                                                                                                                                                                                      <w:divsChild>
                                                                                                                                                                                                                                                                                                                                                                        <w:div w:id="970092783">
                                                                                                                                                                                                                                                                                                                                                                          <w:marLeft w:val="0"/>
                                                                                                                                                                                                                                                                                                                                                                          <w:marRight w:val="0"/>
                                                                                                                                                                                                                                                                                                                                                                          <w:marTop w:val="0"/>
                                                                                                                                                                                                                                                                                                                                                                          <w:marBottom w:val="0"/>
                                                                                                                                                                                                                                                                                                                                                                          <w:divBdr>
                                                                                                                                                                                                                                                                                                                                                                            <w:top w:val="none" w:sz="0" w:space="0" w:color="auto"/>
                                                                                                                                                                                                                                                                                                                                                                            <w:left w:val="none" w:sz="0" w:space="0" w:color="auto"/>
                                                                                                                                                                                                                                                                                                                                                                            <w:bottom w:val="none" w:sz="0" w:space="0" w:color="auto"/>
                                                                                                                                                                                                                                                                                                                                                                            <w:right w:val="none" w:sz="0" w:space="0" w:color="auto"/>
                                                                                                                                                                                                                                                                                                                                                                          </w:divBdr>
                                                                                                                                                                                                                                                                                                                                                                          <w:divsChild>
                                                                                                                                                                                                                                                                                                                                                                            <w:div w:id="970092720">
                                                                                                                                                                                                                                                                                                                                                                              <w:marLeft w:val="0"/>
                                                                                                                                                                                                                                                                                                                                                                              <w:marRight w:val="0"/>
                                                                                                                                                                                                                                                                                                                                                                              <w:marTop w:val="0"/>
                                                                                                                                                                                                                                                                                                                                                                              <w:marBottom w:val="0"/>
                                                                                                                                                                                                                                                                                                                                                                              <w:divBdr>
                                                                                                                                                                                                                                                                                                                                                                                <w:top w:val="none" w:sz="0" w:space="0" w:color="auto"/>
                                                                                                                                                                                                                                                                                                                                                                                <w:left w:val="none" w:sz="0" w:space="0" w:color="auto"/>
                                                                                                                                                                                                                                                                                                                                                                                <w:bottom w:val="none" w:sz="0" w:space="0" w:color="auto"/>
                                                                                                                                                                                                                                                                                                                                                                                <w:right w:val="none" w:sz="0" w:space="0" w:color="auto"/>
                                                                                                                                                                                                                                                                                                                                                                              </w:divBdr>
                                                                                                                                                                                                                                                                                                                                                                              <w:divsChild>
                                                                                                                                                                                                                                                                                                                                                                                <w:div w:id="970092729">
                                                                                                                                                                                                                                                                                                                                                                                  <w:marLeft w:val="0"/>
                                                                                                                                                                                                                                                                                                                                                                                  <w:marRight w:val="0"/>
                                                                                                                                                                                                                                                                                                                                                                                  <w:marTop w:val="0"/>
                                                                                                                                                                                                                                                                                                                                                                                  <w:marBottom w:val="0"/>
                                                                                                                                                                                                                                                                                                                                                                                  <w:divBdr>
                                                                                                                                                                                                                                                                                                                                                                                    <w:top w:val="none" w:sz="0" w:space="0" w:color="auto"/>
                                                                                                                                                                                                                                                                                                                                                                                    <w:left w:val="none" w:sz="0" w:space="0" w:color="auto"/>
                                                                                                                                                                                                                                                                                                                                                                                    <w:bottom w:val="none" w:sz="0" w:space="0" w:color="auto"/>
                                                                                                                                                                                                                                                                                                                                                                                    <w:right w:val="none" w:sz="0" w:space="0" w:color="auto"/>
                                                                                                                                                                                                                                                                                                                                                                                  </w:divBdr>
                                                                                                                                                                                                                                                                                                                                                                                  <w:divsChild>
                                                                                                                                                                                                                                                                                                                                                                                    <w:div w:id="970092688">
                                                                                                                                                                                                                                                                                                                                                                                      <w:marLeft w:val="0"/>
                                                                                                                                                                                                                                                                                                                                                                                      <w:marRight w:val="0"/>
                                                                                                                                                                                                                                                                                                                                                                                      <w:marTop w:val="0"/>
                                                                                                                                                                                                                                                                                                                                                                                      <w:marBottom w:val="0"/>
                                                                                                                                                                                                                                                                                                                                                                                      <w:divBdr>
                                                                                                                                                                                                                                                                                                                                                                                        <w:top w:val="none" w:sz="0" w:space="0" w:color="auto"/>
                                                                                                                                                                                                                                                                                                                                                                                        <w:left w:val="none" w:sz="0" w:space="0" w:color="auto"/>
                                                                                                                                                                                                                                                                                                                                                                                        <w:bottom w:val="none" w:sz="0" w:space="0" w:color="auto"/>
                                                                                                                                                                                                                                                                                                                                                                                        <w:right w:val="none" w:sz="0" w:space="0" w:color="auto"/>
                                                                                                                                                                                                                                                                                                                                                                                      </w:divBdr>
                                                                                                                                                                                                                                                                                                                                                                                      <w:divsChild>
                                                                                                                                                                                                                                                                                                                                                                                        <w:div w:id="970092625">
                                                                                                                                                                                                                                                                                                                                                                                          <w:marLeft w:val="0"/>
                                                                                                                                                                                                                                                                                                                                                                                          <w:marRight w:val="0"/>
                                                                                                                                                                                                                                                                                                                                                                                          <w:marTop w:val="0"/>
                                                                                                                                                                                                                                                                                                                                                                                          <w:marBottom w:val="0"/>
                                                                                                                                                                                                                                                                                                                                                                                          <w:divBdr>
                                                                                                                                                                                                                                                                                                                                                                                            <w:top w:val="none" w:sz="0" w:space="0" w:color="auto"/>
                                                                                                                                                                                                                                                                                                                                                                                            <w:left w:val="none" w:sz="0" w:space="0" w:color="auto"/>
                                                                                                                                                                                                                                                                                                                                                                                            <w:bottom w:val="none" w:sz="0" w:space="0" w:color="auto"/>
                                                                                                                                                                                                                                                                                                                                                                                            <w:right w:val="none" w:sz="0" w:space="0" w:color="auto"/>
                                                                                                                                                                                                                                                                                                                                                                                          </w:divBdr>
                                                                                                                                                                                                                                                                                                                                                                                          <w:divsChild>
                                                                                                                                                                                                                                                                                                                                                                                            <w:div w:id="970092570">
                                                                                                                                                                                                                                                                                                                                                                                              <w:marLeft w:val="0"/>
                                                                                                                                                                                                                                                                                                                                                                                              <w:marRight w:val="0"/>
                                                                                                                                                                                                                                                                                                                                                                                              <w:marTop w:val="0"/>
                                                                                                                                                                                                                                                                                                                                                                                              <w:marBottom w:val="0"/>
                                                                                                                                                                                                                                                                                                                                                                                              <w:divBdr>
                                                                                                                                                                                                                                                                                                                                                                                                <w:top w:val="none" w:sz="0" w:space="0" w:color="auto"/>
                                                                                                                                                                                                                                                                                                                                                                                                <w:left w:val="none" w:sz="0" w:space="0" w:color="auto"/>
                                                                                                                                                                                                                                                                                                                                                                                                <w:bottom w:val="none" w:sz="0" w:space="0" w:color="auto"/>
                                                                                                                                                                                                                                                                                                                                                                                                <w:right w:val="none" w:sz="0" w:space="0" w:color="auto"/>
                                                                                                                                                                                                                                                                                                                                                                                              </w:divBdr>
                                                                                                                                                                                                                                                                                                                                                                                              <w:divsChild>
                                                                                                                                                                                                                                                                                                                                                                                                <w:div w:id="970092639">
                                                                                                                                                                                                                                                                                                                                                                                                  <w:marLeft w:val="0"/>
                                                                                                                                                                                                                                                                                                                                                                                                  <w:marRight w:val="0"/>
                                                                                                                                                                                                                                                                                                                                                                                                  <w:marTop w:val="0"/>
                                                                                                                                                                                                                                                                                                                                                                                                  <w:marBottom w:val="0"/>
                                                                                                                                                                                                                                                                                                                                                                                                  <w:divBdr>
                                                                                                                                                                                                                                                                                                                                                                                                    <w:top w:val="none" w:sz="0" w:space="0" w:color="auto"/>
                                                                                                                                                                                                                                                                                                                                                                                                    <w:left w:val="none" w:sz="0" w:space="0" w:color="auto"/>
                                                                                                                                                                                                                                                                                                                                                                                                    <w:bottom w:val="none" w:sz="0" w:space="0" w:color="auto"/>
                                                                                                                                                                                                                                                                                                                                                                                                    <w:right w:val="none" w:sz="0" w:space="0" w:color="auto"/>
                                                                                                                                                                                                                                                                                                                                                                                                  </w:divBdr>
                                                                                                                                                                                                                                                                                                                                                                                                  <w:divsChild>
                                                                                                                                                                                                                                                                                                                                                                                                    <w:div w:id="970092660">
                                                                                                                                                                                                                                                                                                                                                                                                      <w:marLeft w:val="0"/>
                                                                                                                                                                                                                                                                                                                                                                                                      <w:marRight w:val="0"/>
                                                                                                                                                                                                                                                                                                                                                                                                      <w:marTop w:val="0"/>
                                                                                                                                                                                                                                                                                                                                                                                                      <w:marBottom w:val="0"/>
                                                                                                                                                                                                                                                                                                                                                                                                      <w:divBdr>
                                                                                                                                                                                                                                                                                                                                                                                                        <w:top w:val="none" w:sz="0" w:space="0" w:color="auto"/>
                                                                                                                                                                                                                                                                                                                                                                                                        <w:left w:val="none" w:sz="0" w:space="0" w:color="auto"/>
                                                                                                                                                                                                                                                                                                                                                                                                        <w:bottom w:val="none" w:sz="0" w:space="0" w:color="auto"/>
                                                                                                                                                                                                                                                                                                                                                                                                        <w:right w:val="none" w:sz="0" w:space="0" w:color="auto"/>
                                                                                                                                                                                                                                                                                                                                                                                                      </w:divBdr>
                                                                                                                                                                                                                                                                                                                                                                                                      <w:divsChild>
                                                                                                                                                                                                                                                                                                                                                                                                        <w:div w:id="970092744">
                                                                                                                                                                                                                                                                                                                                                                                                          <w:marLeft w:val="0"/>
                                                                                                                                                                                                                                                                                                                                                                                                          <w:marRight w:val="0"/>
                                                                                                                                                                                                                                                                                                                                                                                                          <w:marTop w:val="0"/>
                                                                                                                                                                                                                                                                                                                                                                                                          <w:marBottom w:val="0"/>
                                                                                                                                                                                                                                                                                                                                                                                                          <w:divBdr>
                                                                                                                                                                                                                                                                                                                                                                                                            <w:top w:val="none" w:sz="0" w:space="0" w:color="auto"/>
                                                                                                                                                                                                                                                                                                                                                                                                            <w:left w:val="none" w:sz="0" w:space="0" w:color="auto"/>
                                                                                                                                                                                                                                                                                                                                                                                                            <w:bottom w:val="none" w:sz="0" w:space="0" w:color="auto"/>
                                                                                                                                                                                                                                                                                                                                                                                                            <w:right w:val="none" w:sz="0" w:space="0" w:color="auto"/>
                                                                                                                                                                                                                                                                                                                                                                                                          </w:divBdr>
                                                                                                                                                                                                                                                                                                                                                                                                          <w:divsChild>
                                                                                                                                                                                                                                                                                                                                                                                                            <w:div w:id="970092668">
                                                                                                                                                                                                                                                                                                                                                                                                              <w:marLeft w:val="0"/>
                                                                                                                                                                                                                                                                                                                                                                                                              <w:marRight w:val="0"/>
                                                                                                                                                                                                                                                                                                                                                                                                              <w:marTop w:val="0"/>
                                                                                                                                                                                                                                                                                                                                                                                                              <w:marBottom w:val="0"/>
                                                                                                                                                                                                                                                                                                                                                                                                              <w:divBdr>
                                                                                                                                                                                                                                                                                                                                                                                                                <w:top w:val="none" w:sz="0" w:space="0" w:color="auto"/>
                                                                                                                                                                                                                                                                                                                                                                                                                <w:left w:val="none" w:sz="0" w:space="0" w:color="auto"/>
                                                                                                                                                                                                                                                                                                                                                                                                                <w:bottom w:val="none" w:sz="0" w:space="0" w:color="auto"/>
                                                                                                                                                                                                                                                                                                                                                                                                                <w:right w:val="none" w:sz="0" w:space="0" w:color="auto"/>
                                                                                                                                                                                                                                                                                                                                                                                                              </w:divBdr>
                                                                                                                                                                                                                                                                                                                                                                                                              <w:divsChild>
                                                                                                                                                                                                                                                                                                                                                                                                                <w:div w:id="970092678">
                                                                                                                                                                                                                                                                                                                                                                                                                  <w:marLeft w:val="0"/>
                                                                                                                                                                                                                                                                                                                                                                                                                  <w:marRight w:val="0"/>
                                                                                                                                                                                                                                                                                                                                                                                                                  <w:marTop w:val="0"/>
                                                                                                                                                                                                                                                                                                                                                                                                                  <w:marBottom w:val="0"/>
                                                                                                                                                                                                                                                                                                                                                                                                                  <w:divBdr>
                                                                                                                                                                                                                                                                                                                                                                                                                    <w:top w:val="none" w:sz="0" w:space="0" w:color="auto"/>
                                                                                                                                                                                                                                                                                                                                                                                                                    <w:left w:val="none" w:sz="0" w:space="0" w:color="auto"/>
                                                                                                                                                                                                                                                                                                                                                                                                                    <w:bottom w:val="none" w:sz="0" w:space="0" w:color="auto"/>
                                                                                                                                                                                                                                                                                                                                                                                                                    <w:right w:val="none" w:sz="0" w:space="0" w:color="auto"/>
                                                                                                                                                                                                                                                                                                                                                                                                                  </w:divBdr>
                                                                                                                                                                                                                                                                                                                                                                                                                  <w:divsChild>
                                                                                                                                                                                                                                                                                                                                                                                                                    <w:div w:id="970092638">
                                                                                                                                                                                                                                                                                                                                                                                                                      <w:marLeft w:val="0"/>
                                                                                                                                                                                                                                                                                                                                                                                                                      <w:marRight w:val="0"/>
                                                                                                                                                                                                                                                                                                                                                                                                                      <w:marTop w:val="0"/>
                                                                                                                                                                                                                                                                                                                                                                                                                      <w:marBottom w:val="0"/>
                                                                                                                                                                                                                                                                                                                                                                                                                      <w:divBdr>
                                                                                                                                                                                                                                                                                                                                                                                                                        <w:top w:val="none" w:sz="0" w:space="0" w:color="auto"/>
                                                                                                                                                                                                                                                                                                                                                                                                                        <w:left w:val="none" w:sz="0" w:space="0" w:color="auto"/>
                                                                                                                                                                                                                                                                                                                                                                                                                        <w:bottom w:val="none" w:sz="0" w:space="0" w:color="auto"/>
                                                                                                                                                                                                                                                                                                                                                                                                                        <w:right w:val="none" w:sz="0" w:space="0" w:color="auto"/>
                                                                                                                                                                                                                                                                                                                                                                                                                      </w:divBdr>
                                                                                                                                                                                                                                                                                                                                                                                                                      <w:divsChild>
                                                                                                                                                                                                                                                                                                                                                                                                                        <w:div w:id="97009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0092760">
      <w:marLeft w:val="0"/>
      <w:marRight w:val="0"/>
      <w:marTop w:val="0"/>
      <w:marBottom w:val="0"/>
      <w:divBdr>
        <w:top w:val="none" w:sz="0" w:space="0" w:color="auto"/>
        <w:left w:val="none" w:sz="0" w:space="0" w:color="auto"/>
        <w:bottom w:val="none" w:sz="0" w:space="0" w:color="auto"/>
        <w:right w:val="none" w:sz="0" w:space="0" w:color="auto"/>
      </w:divBdr>
    </w:div>
    <w:div w:id="970092764">
      <w:marLeft w:val="0"/>
      <w:marRight w:val="0"/>
      <w:marTop w:val="0"/>
      <w:marBottom w:val="0"/>
      <w:divBdr>
        <w:top w:val="none" w:sz="0" w:space="0" w:color="auto"/>
        <w:left w:val="none" w:sz="0" w:space="0" w:color="auto"/>
        <w:bottom w:val="none" w:sz="0" w:space="0" w:color="auto"/>
        <w:right w:val="none" w:sz="0" w:space="0" w:color="auto"/>
      </w:divBdr>
      <w:divsChild>
        <w:div w:id="970092719">
          <w:marLeft w:val="0"/>
          <w:marRight w:val="0"/>
          <w:marTop w:val="0"/>
          <w:marBottom w:val="0"/>
          <w:divBdr>
            <w:top w:val="none" w:sz="0" w:space="0" w:color="auto"/>
            <w:left w:val="none" w:sz="0" w:space="0" w:color="auto"/>
            <w:bottom w:val="none" w:sz="0" w:space="0" w:color="auto"/>
            <w:right w:val="none" w:sz="0" w:space="0" w:color="auto"/>
          </w:divBdr>
          <w:divsChild>
            <w:div w:id="970092599">
              <w:marLeft w:val="0"/>
              <w:marRight w:val="0"/>
              <w:marTop w:val="0"/>
              <w:marBottom w:val="0"/>
              <w:divBdr>
                <w:top w:val="none" w:sz="0" w:space="0" w:color="auto"/>
                <w:left w:val="none" w:sz="0" w:space="0" w:color="auto"/>
                <w:bottom w:val="none" w:sz="0" w:space="0" w:color="auto"/>
                <w:right w:val="none" w:sz="0" w:space="0" w:color="auto"/>
              </w:divBdr>
              <w:divsChild>
                <w:div w:id="970092583">
                  <w:marLeft w:val="0"/>
                  <w:marRight w:val="0"/>
                  <w:marTop w:val="0"/>
                  <w:marBottom w:val="0"/>
                  <w:divBdr>
                    <w:top w:val="none" w:sz="0" w:space="0" w:color="auto"/>
                    <w:left w:val="none" w:sz="0" w:space="0" w:color="auto"/>
                    <w:bottom w:val="none" w:sz="0" w:space="0" w:color="auto"/>
                    <w:right w:val="none" w:sz="0" w:space="0" w:color="auto"/>
                  </w:divBdr>
                  <w:divsChild>
                    <w:div w:id="970092610">
                      <w:marLeft w:val="0"/>
                      <w:marRight w:val="0"/>
                      <w:marTop w:val="0"/>
                      <w:marBottom w:val="0"/>
                      <w:divBdr>
                        <w:top w:val="none" w:sz="0" w:space="0" w:color="auto"/>
                        <w:left w:val="none" w:sz="0" w:space="0" w:color="auto"/>
                        <w:bottom w:val="none" w:sz="0" w:space="0" w:color="auto"/>
                        <w:right w:val="none" w:sz="0" w:space="0" w:color="auto"/>
                      </w:divBdr>
                      <w:divsChild>
                        <w:div w:id="970092707">
                          <w:marLeft w:val="0"/>
                          <w:marRight w:val="0"/>
                          <w:marTop w:val="0"/>
                          <w:marBottom w:val="0"/>
                          <w:divBdr>
                            <w:top w:val="none" w:sz="0" w:space="0" w:color="auto"/>
                            <w:left w:val="none" w:sz="0" w:space="0" w:color="auto"/>
                            <w:bottom w:val="none" w:sz="0" w:space="0" w:color="auto"/>
                            <w:right w:val="none" w:sz="0" w:space="0" w:color="auto"/>
                          </w:divBdr>
                          <w:divsChild>
                            <w:div w:id="970092580">
                              <w:marLeft w:val="0"/>
                              <w:marRight w:val="0"/>
                              <w:marTop w:val="0"/>
                              <w:marBottom w:val="0"/>
                              <w:divBdr>
                                <w:top w:val="none" w:sz="0" w:space="0" w:color="auto"/>
                                <w:left w:val="none" w:sz="0" w:space="0" w:color="auto"/>
                                <w:bottom w:val="none" w:sz="0" w:space="0" w:color="auto"/>
                                <w:right w:val="none" w:sz="0" w:space="0" w:color="auto"/>
                              </w:divBdr>
                              <w:divsChild>
                                <w:div w:id="970092722">
                                  <w:marLeft w:val="0"/>
                                  <w:marRight w:val="0"/>
                                  <w:marTop w:val="0"/>
                                  <w:marBottom w:val="0"/>
                                  <w:divBdr>
                                    <w:top w:val="none" w:sz="0" w:space="0" w:color="auto"/>
                                    <w:left w:val="none" w:sz="0" w:space="0" w:color="auto"/>
                                    <w:bottom w:val="none" w:sz="0" w:space="0" w:color="auto"/>
                                    <w:right w:val="none" w:sz="0" w:space="0" w:color="auto"/>
                                  </w:divBdr>
                                  <w:divsChild>
                                    <w:div w:id="970092631">
                                      <w:marLeft w:val="0"/>
                                      <w:marRight w:val="0"/>
                                      <w:marTop w:val="0"/>
                                      <w:marBottom w:val="0"/>
                                      <w:divBdr>
                                        <w:top w:val="none" w:sz="0" w:space="0" w:color="auto"/>
                                        <w:left w:val="none" w:sz="0" w:space="0" w:color="auto"/>
                                        <w:bottom w:val="none" w:sz="0" w:space="0" w:color="auto"/>
                                        <w:right w:val="none" w:sz="0" w:space="0" w:color="auto"/>
                                      </w:divBdr>
                                      <w:divsChild>
                                        <w:div w:id="970092574">
                                          <w:marLeft w:val="0"/>
                                          <w:marRight w:val="0"/>
                                          <w:marTop w:val="0"/>
                                          <w:marBottom w:val="0"/>
                                          <w:divBdr>
                                            <w:top w:val="none" w:sz="0" w:space="0" w:color="auto"/>
                                            <w:left w:val="none" w:sz="0" w:space="0" w:color="auto"/>
                                            <w:bottom w:val="none" w:sz="0" w:space="0" w:color="auto"/>
                                            <w:right w:val="none" w:sz="0" w:space="0" w:color="auto"/>
                                          </w:divBdr>
                                          <w:divsChild>
                                            <w:div w:id="970092747">
                                              <w:marLeft w:val="0"/>
                                              <w:marRight w:val="0"/>
                                              <w:marTop w:val="0"/>
                                              <w:marBottom w:val="0"/>
                                              <w:divBdr>
                                                <w:top w:val="none" w:sz="0" w:space="0" w:color="auto"/>
                                                <w:left w:val="none" w:sz="0" w:space="0" w:color="auto"/>
                                                <w:bottom w:val="none" w:sz="0" w:space="0" w:color="auto"/>
                                                <w:right w:val="none" w:sz="0" w:space="0" w:color="auto"/>
                                              </w:divBdr>
                                              <w:divsChild>
                                                <w:div w:id="970092566">
                                                  <w:marLeft w:val="0"/>
                                                  <w:marRight w:val="0"/>
                                                  <w:marTop w:val="0"/>
                                                  <w:marBottom w:val="0"/>
                                                  <w:divBdr>
                                                    <w:top w:val="none" w:sz="0" w:space="0" w:color="auto"/>
                                                    <w:left w:val="none" w:sz="0" w:space="0" w:color="auto"/>
                                                    <w:bottom w:val="none" w:sz="0" w:space="0" w:color="auto"/>
                                                    <w:right w:val="none" w:sz="0" w:space="0" w:color="auto"/>
                                                  </w:divBdr>
                                                  <w:divsChild>
                                                    <w:div w:id="970092683">
                                                      <w:marLeft w:val="0"/>
                                                      <w:marRight w:val="0"/>
                                                      <w:marTop w:val="0"/>
                                                      <w:marBottom w:val="0"/>
                                                      <w:divBdr>
                                                        <w:top w:val="none" w:sz="0" w:space="0" w:color="auto"/>
                                                        <w:left w:val="none" w:sz="0" w:space="0" w:color="auto"/>
                                                        <w:bottom w:val="none" w:sz="0" w:space="0" w:color="auto"/>
                                                        <w:right w:val="none" w:sz="0" w:space="0" w:color="auto"/>
                                                      </w:divBdr>
                                                      <w:divsChild>
                                                        <w:div w:id="970092742">
                                                          <w:marLeft w:val="0"/>
                                                          <w:marRight w:val="0"/>
                                                          <w:marTop w:val="0"/>
                                                          <w:marBottom w:val="0"/>
                                                          <w:divBdr>
                                                            <w:top w:val="none" w:sz="0" w:space="0" w:color="auto"/>
                                                            <w:left w:val="none" w:sz="0" w:space="0" w:color="auto"/>
                                                            <w:bottom w:val="none" w:sz="0" w:space="0" w:color="auto"/>
                                                            <w:right w:val="none" w:sz="0" w:space="0" w:color="auto"/>
                                                          </w:divBdr>
                                                          <w:divsChild>
                                                            <w:div w:id="970092585">
                                                              <w:marLeft w:val="0"/>
                                                              <w:marRight w:val="0"/>
                                                              <w:marTop w:val="0"/>
                                                              <w:marBottom w:val="0"/>
                                                              <w:divBdr>
                                                                <w:top w:val="none" w:sz="0" w:space="0" w:color="auto"/>
                                                                <w:left w:val="none" w:sz="0" w:space="0" w:color="auto"/>
                                                                <w:bottom w:val="none" w:sz="0" w:space="0" w:color="auto"/>
                                                                <w:right w:val="none" w:sz="0" w:space="0" w:color="auto"/>
                                                              </w:divBdr>
                                                              <w:divsChild>
                                                                <w:div w:id="970092608">
                                                                  <w:marLeft w:val="0"/>
                                                                  <w:marRight w:val="0"/>
                                                                  <w:marTop w:val="0"/>
                                                                  <w:marBottom w:val="0"/>
                                                                  <w:divBdr>
                                                                    <w:top w:val="none" w:sz="0" w:space="0" w:color="auto"/>
                                                                    <w:left w:val="none" w:sz="0" w:space="0" w:color="auto"/>
                                                                    <w:bottom w:val="none" w:sz="0" w:space="0" w:color="auto"/>
                                                                    <w:right w:val="none" w:sz="0" w:space="0" w:color="auto"/>
                                                                  </w:divBdr>
                                                                  <w:divsChild>
                                                                    <w:div w:id="970092761">
                                                                      <w:marLeft w:val="0"/>
                                                                      <w:marRight w:val="0"/>
                                                                      <w:marTop w:val="0"/>
                                                                      <w:marBottom w:val="0"/>
                                                                      <w:divBdr>
                                                                        <w:top w:val="none" w:sz="0" w:space="0" w:color="auto"/>
                                                                        <w:left w:val="none" w:sz="0" w:space="0" w:color="auto"/>
                                                                        <w:bottom w:val="none" w:sz="0" w:space="0" w:color="auto"/>
                                                                        <w:right w:val="none" w:sz="0" w:space="0" w:color="auto"/>
                                                                      </w:divBdr>
                                                                      <w:divsChild>
                                                                        <w:div w:id="970092620">
                                                                          <w:marLeft w:val="0"/>
                                                                          <w:marRight w:val="0"/>
                                                                          <w:marTop w:val="0"/>
                                                                          <w:marBottom w:val="0"/>
                                                                          <w:divBdr>
                                                                            <w:top w:val="none" w:sz="0" w:space="0" w:color="auto"/>
                                                                            <w:left w:val="none" w:sz="0" w:space="0" w:color="auto"/>
                                                                            <w:bottom w:val="none" w:sz="0" w:space="0" w:color="auto"/>
                                                                            <w:right w:val="none" w:sz="0" w:space="0" w:color="auto"/>
                                                                          </w:divBdr>
                                                                          <w:divsChild>
                                                                            <w:div w:id="970092675">
                                                                              <w:marLeft w:val="0"/>
                                                                              <w:marRight w:val="0"/>
                                                                              <w:marTop w:val="0"/>
                                                                              <w:marBottom w:val="0"/>
                                                                              <w:divBdr>
                                                                                <w:top w:val="none" w:sz="0" w:space="0" w:color="auto"/>
                                                                                <w:left w:val="none" w:sz="0" w:space="0" w:color="auto"/>
                                                                                <w:bottom w:val="none" w:sz="0" w:space="0" w:color="auto"/>
                                                                                <w:right w:val="none" w:sz="0" w:space="0" w:color="auto"/>
                                                                              </w:divBdr>
                                                                              <w:divsChild>
                                                                                <w:div w:id="970092595">
                                                                                  <w:marLeft w:val="0"/>
                                                                                  <w:marRight w:val="0"/>
                                                                                  <w:marTop w:val="0"/>
                                                                                  <w:marBottom w:val="0"/>
                                                                                  <w:divBdr>
                                                                                    <w:top w:val="none" w:sz="0" w:space="0" w:color="auto"/>
                                                                                    <w:left w:val="none" w:sz="0" w:space="0" w:color="auto"/>
                                                                                    <w:bottom w:val="none" w:sz="0" w:space="0" w:color="auto"/>
                                                                                    <w:right w:val="none" w:sz="0" w:space="0" w:color="auto"/>
                                                                                  </w:divBdr>
                                                                                  <w:divsChild>
                                                                                    <w:div w:id="970092701">
                                                                                      <w:marLeft w:val="0"/>
                                                                                      <w:marRight w:val="0"/>
                                                                                      <w:marTop w:val="0"/>
                                                                                      <w:marBottom w:val="0"/>
                                                                                      <w:divBdr>
                                                                                        <w:top w:val="none" w:sz="0" w:space="0" w:color="auto"/>
                                                                                        <w:left w:val="none" w:sz="0" w:space="0" w:color="auto"/>
                                                                                        <w:bottom w:val="none" w:sz="0" w:space="0" w:color="auto"/>
                                                                                        <w:right w:val="none" w:sz="0" w:space="0" w:color="auto"/>
                                                                                      </w:divBdr>
                                                                                      <w:divsChild>
                                                                                        <w:div w:id="970092636">
                                                                                          <w:marLeft w:val="0"/>
                                                                                          <w:marRight w:val="0"/>
                                                                                          <w:marTop w:val="0"/>
                                                                                          <w:marBottom w:val="0"/>
                                                                                          <w:divBdr>
                                                                                            <w:top w:val="none" w:sz="0" w:space="0" w:color="auto"/>
                                                                                            <w:left w:val="none" w:sz="0" w:space="0" w:color="auto"/>
                                                                                            <w:bottom w:val="none" w:sz="0" w:space="0" w:color="auto"/>
                                                                                            <w:right w:val="none" w:sz="0" w:space="0" w:color="auto"/>
                                                                                          </w:divBdr>
                                                                                          <w:divsChild>
                                                                                            <w:div w:id="970092650">
                                                                                              <w:marLeft w:val="0"/>
                                                                                              <w:marRight w:val="0"/>
                                                                                              <w:marTop w:val="0"/>
                                                                                              <w:marBottom w:val="0"/>
                                                                                              <w:divBdr>
                                                                                                <w:top w:val="none" w:sz="0" w:space="0" w:color="auto"/>
                                                                                                <w:left w:val="none" w:sz="0" w:space="0" w:color="auto"/>
                                                                                                <w:bottom w:val="none" w:sz="0" w:space="0" w:color="auto"/>
                                                                                                <w:right w:val="none" w:sz="0" w:space="0" w:color="auto"/>
                                                                                              </w:divBdr>
                                                                                              <w:divsChild>
                                                                                                <w:div w:id="970092718">
                                                                                                  <w:marLeft w:val="0"/>
                                                                                                  <w:marRight w:val="0"/>
                                                                                                  <w:marTop w:val="0"/>
                                                                                                  <w:marBottom w:val="0"/>
                                                                                                  <w:divBdr>
                                                                                                    <w:top w:val="none" w:sz="0" w:space="0" w:color="auto"/>
                                                                                                    <w:left w:val="none" w:sz="0" w:space="0" w:color="auto"/>
                                                                                                    <w:bottom w:val="none" w:sz="0" w:space="0" w:color="auto"/>
                                                                                                    <w:right w:val="none" w:sz="0" w:space="0" w:color="auto"/>
                                                                                                  </w:divBdr>
                                                                                                  <w:divsChild>
                                                                                                    <w:div w:id="970092617">
                                                                                                      <w:marLeft w:val="0"/>
                                                                                                      <w:marRight w:val="0"/>
                                                                                                      <w:marTop w:val="0"/>
                                                                                                      <w:marBottom w:val="0"/>
                                                                                                      <w:divBdr>
                                                                                                        <w:top w:val="none" w:sz="0" w:space="0" w:color="auto"/>
                                                                                                        <w:left w:val="none" w:sz="0" w:space="0" w:color="auto"/>
                                                                                                        <w:bottom w:val="none" w:sz="0" w:space="0" w:color="auto"/>
                                                                                                        <w:right w:val="none" w:sz="0" w:space="0" w:color="auto"/>
                                                                                                      </w:divBdr>
                                                                                                      <w:divsChild>
                                                                                                        <w:div w:id="970092616">
                                                                                                          <w:marLeft w:val="0"/>
                                                                                                          <w:marRight w:val="0"/>
                                                                                                          <w:marTop w:val="0"/>
                                                                                                          <w:marBottom w:val="0"/>
                                                                                                          <w:divBdr>
                                                                                                            <w:top w:val="none" w:sz="0" w:space="0" w:color="auto"/>
                                                                                                            <w:left w:val="none" w:sz="0" w:space="0" w:color="auto"/>
                                                                                                            <w:bottom w:val="none" w:sz="0" w:space="0" w:color="auto"/>
                                                                                                            <w:right w:val="none" w:sz="0" w:space="0" w:color="auto"/>
                                                                                                          </w:divBdr>
                                                                                                          <w:divsChild>
                                                                                                            <w:div w:id="970092684">
                                                                                                              <w:marLeft w:val="0"/>
                                                                                                              <w:marRight w:val="0"/>
                                                                                                              <w:marTop w:val="0"/>
                                                                                                              <w:marBottom w:val="0"/>
                                                                                                              <w:divBdr>
                                                                                                                <w:top w:val="none" w:sz="0" w:space="0" w:color="auto"/>
                                                                                                                <w:left w:val="none" w:sz="0" w:space="0" w:color="auto"/>
                                                                                                                <w:bottom w:val="none" w:sz="0" w:space="0" w:color="auto"/>
                                                                                                                <w:right w:val="none" w:sz="0" w:space="0" w:color="auto"/>
                                                                                                              </w:divBdr>
                                                                                                              <w:divsChild>
                                                                                                                <w:div w:id="970092581">
                                                                                                                  <w:marLeft w:val="0"/>
                                                                                                                  <w:marRight w:val="0"/>
                                                                                                                  <w:marTop w:val="0"/>
                                                                                                                  <w:marBottom w:val="0"/>
                                                                                                                  <w:divBdr>
                                                                                                                    <w:top w:val="none" w:sz="0" w:space="0" w:color="auto"/>
                                                                                                                    <w:left w:val="none" w:sz="0" w:space="0" w:color="auto"/>
                                                                                                                    <w:bottom w:val="none" w:sz="0" w:space="0" w:color="auto"/>
                                                                                                                    <w:right w:val="none" w:sz="0" w:space="0" w:color="auto"/>
                                                                                                                  </w:divBdr>
                                                                                                                  <w:divsChild>
                                                                                                                    <w:div w:id="970092698">
                                                                                                                      <w:marLeft w:val="0"/>
                                                                                                                      <w:marRight w:val="0"/>
                                                                                                                      <w:marTop w:val="0"/>
                                                                                                                      <w:marBottom w:val="0"/>
                                                                                                                      <w:divBdr>
                                                                                                                        <w:top w:val="none" w:sz="0" w:space="0" w:color="auto"/>
                                                                                                                        <w:left w:val="none" w:sz="0" w:space="0" w:color="auto"/>
                                                                                                                        <w:bottom w:val="none" w:sz="0" w:space="0" w:color="auto"/>
                                                                                                                        <w:right w:val="none" w:sz="0" w:space="0" w:color="auto"/>
                                                                                                                      </w:divBdr>
                                                                                                                      <w:divsChild>
                                                                                                                        <w:div w:id="970092692">
                                                                                                                          <w:marLeft w:val="0"/>
                                                                                                                          <w:marRight w:val="0"/>
                                                                                                                          <w:marTop w:val="0"/>
                                                                                                                          <w:marBottom w:val="0"/>
                                                                                                                          <w:divBdr>
                                                                                                                            <w:top w:val="none" w:sz="0" w:space="0" w:color="auto"/>
                                                                                                                            <w:left w:val="none" w:sz="0" w:space="0" w:color="auto"/>
                                                                                                                            <w:bottom w:val="none" w:sz="0" w:space="0" w:color="auto"/>
                                                                                                                            <w:right w:val="none" w:sz="0" w:space="0" w:color="auto"/>
                                                                                                                          </w:divBdr>
                                                                                                                          <w:divsChild>
                                                                                                                            <w:div w:id="970092582">
                                                                                                                              <w:marLeft w:val="0"/>
                                                                                                                              <w:marRight w:val="0"/>
                                                                                                                              <w:marTop w:val="0"/>
                                                                                                                              <w:marBottom w:val="0"/>
                                                                                                                              <w:divBdr>
                                                                                                                                <w:top w:val="none" w:sz="0" w:space="0" w:color="auto"/>
                                                                                                                                <w:left w:val="none" w:sz="0" w:space="0" w:color="auto"/>
                                                                                                                                <w:bottom w:val="none" w:sz="0" w:space="0" w:color="auto"/>
                                                                                                                                <w:right w:val="none" w:sz="0" w:space="0" w:color="auto"/>
                                                                                                                              </w:divBdr>
                                                                                                                              <w:divsChild>
                                                                                                                                <w:div w:id="970092564">
                                                                                                                                  <w:marLeft w:val="0"/>
                                                                                                                                  <w:marRight w:val="0"/>
                                                                                                                                  <w:marTop w:val="0"/>
                                                                                                                                  <w:marBottom w:val="0"/>
                                                                                                                                  <w:divBdr>
                                                                                                                                    <w:top w:val="none" w:sz="0" w:space="0" w:color="auto"/>
                                                                                                                                    <w:left w:val="none" w:sz="0" w:space="0" w:color="auto"/>
                                                                                                                                    <w:bottom w:val="none" w:sz="0" w:space="0" w:color="auto"/>
                                                                                                                                    <w:right w:val="none" w:sz="0" w:space="0" w:color="auto"/>
                                                                                                                                  </w:divBdr>
                                                                                                                                </w:div>
                                                                                                                                <w:div w:id="970092573">
                                                                                                                                  <w:marLeft w:val="0"/>
                                                                                                                                  <w:marRight w:val="0"/>
                                                                                                                                  <w:marTop w:val="0"/>
                                                                                                                                  <w:marBottom w:val="0"/>
                                                                                                                                  <w:divBdr>
                                                                                                                                    <w:top w:val="none" w:sz="0" w:space="0" w:color="auto"/>
                                                                                                                                    <w:left w:val="none" w:sz="0" w:space="0" w:color="auto"/>
                                                                                                                                    <w:bottom w:val="none" w:sz="0" w:space="0" w:color="auto"/>
                                                                                                                                    <w:right w:val="none" w:sz="0" w:space="0" w:color="auto"/>
                                                                                                                                  </w:divBdr>
                                                                                                                                </w:div>
                                                                                                                                <w:div w:id="970092593">
                                                                                                                                  <w:marLeft w:val="0"/>
                                                                                                                                  <w:marRight w:val="0"/>
                                                                                                                                  <w:marTop w:val="0"/>
                                                                                                                                  <w:marBottom w:val="0"/>
                                                                                                                                  <w:divBdr>
                                                                                                                                    <w:top w:val="none" w:sz="0" w:space="0" w:color="auto"/>
                                                                                                                                    <w:left w:val="none" w:sz="0" w:space="0" w:color="auto"/>
                                                                                                                                    <w:bottom w:val="none" w:sz="0" w:space="0" w:color="auto"/>
                                                                                                                                    <w:right w:val="none" w:sz="0" w:space="0" w:color="auto"/>
                                                                                                                                  </w:divBdr>
                                                                                                                                </w:div>
                                                                                                                                <w:div w:id="970092603">
                                                                                                                                  <w:marLeft w:val="0"/>
                                                                                                                                  <w:marRight w:val="0"/>
                                                                                                                                  <w:marTop w:val="0"/>
                                                                                                                                  <w:marBottom w:val="0"/>
                                                                                                                                  <w:divBdr>
                                                                                                                                    <w:top w:val="none" w:sz="0" w:space="0" w:color="auto"/>
                                                                                                                                    <w:left w:val="none" w:sz="0" w:space="0" w:color="auto"/>
                                                                                                                                    <w:bottom w:val="none" w:sz="0" w:space="0" w:color="auto"/>
                                                                                                                                    <w:right w:val="none" w:sz="0" w:space="0" w:color="auto"/>
                                                                                                                                  </w:divBdr>
                                                                                                                                </w:div>
                                                                                                                                <w:div w:id="970092628">
                                                                                                                                  <w:marLeft w:val="0"/>
                                                                                                                                  <w:marRight w:val="0"/>
                                                                                                                                  <w:marTop w:val="0"/>
                                                                                                                                  <w:marBottom w:val="0"/>
                                                                                                                                  <w:divBdr>
                                                                                                                                    <w:top w:val="none" w:sz="0" w:space="0" w:color="auto"/>
                                                                                                                                    <w:left w:val="none" w:sz="0" w:space="0" w:color="auto"/>
                                                                                                                                    <w:bottom w:val="none" w:sz="0" w:space="0" w:color="auto"/>
                                                                                                                                    <w:right w:val="none" w:sz="0" w:space="0" w:color="auto"/>
                                                                                                                                  </w:divBdr>
                                                                                                                                </w:div>
                                                                                                                                <w:div w:id="970092645">
                                                                                                                                  <w:marLeft w:val="0"/>
                                                                                                                                  <w:marRight w:val="0"/>
                                                                                                                                  <w:marTop w:val="0"/>
                                                                                                                                  <w:marBottom w:val="0"/>
                                                                                                                                  <w:divBdr>
                                                                                                                                    <w:top w:val="none" w:sz="0" w:space="0" w:color="auto"/>
                                                                                                                                    <w:left w:val="none" w:sz="0" w:space="0" w:color="auto"/>
                                                                                                                                    <w:bottom w:val="none" w:sz="0" w:space="0" w:color="auto"/>
                                                                                                                                    <w:right w:val="none" w:sz="0" w:space="0" w:color="auto"/>
                                                                                                                                  </w:divBdr>
                                                                                                                                </w:div>
                                                                                                                                <w:div w:id="970092676">
                                                                                                                                  <w:marLeft w:val="0"/>
                                                                                                                                  <w:marRight w:val="0"/>
                                                                                                                                  <w:marTop w:val="0"/>
                                                                                                                                  <w:marBottom w:val="0"/>
                                                                                                                                  <w:divBdr>
                                                                                                                                    <w:top w:val="none" w:sz="0" w:space="0" w:color="auto"/>
                                                                                                                                    <w:left w:val="none" w:sz="0" w:space="0" w:color="auto"/>
                                                                                                                                    <w:bottom w:val="none" w:sz="0" w:space="0" w:color="auto"/>
                                                                                                                                    <w:right w:val="none" w:sz="0" w:space="0" w:color="auto"/>
                                                                                                                                  </w:divBdr>
                                                                                                                                </w:div>
                                                                                                                                <w:div w:id="970092682">
                                                                                                                                  <w:marLeft w:val="0"/>
                                                                                                                                  <w:marRight w:val="0"/>
                                                                                                                                  <w:marTop w:val="0"/>
                                                                                                                                  <w:marBottom w:val="0"/>
                                                                                                                                  <w:divBdr>
                                                                                                                                    <w:top w:val="none" w:sz="0" w:space="0" w:color="auto"/>
                                                                                                                                    <w:left w:val="none" w:sz="0" w:space="0" w:color="auto"/>
                                                                                                                                    <w:bottom w:val="none" w:sz="0" w:space="0" w:color="auto"/>
                                                                                                                                    <w:right w:val="none" w:sz="0" w:space="0" w:color="auto"/>
                                                                                                                                  </w:divBdr>
                                                                                                                                </w:div>
                                                                                                                                <w:div w:id="970092695">
                                                                                                                                  <w:marLeft w:val="0"/>
                                                                                                                                  <w:marRight w:val="0"/>
                                                                                                                                  <w:marTop w:val="0"/>
                                                                                                                                  <w:marBottom w:val="0"/>
                                                                                                                                  <w:divBdr>
                                                                                                                                    <w:top w:val="none" w:sz="0" w:space="0" w:color="auto"/>
                                                                                                                                    <w:left w:val="none" w:sz="0" w:space="0" w:color="auto"/>
                                                                                                                                    <w:bottom w:val="none" w:sz="0" w:space="0" w:color="auto"/>
                                                                                                                                    <w:right w:val="none" w:sz="0" w:space="0" w:color="auto"/>
                                                                                                                                  </w:divBdr>
                                                                                                                                </w:div>
                                                                                                                                <w:div w:id="970092696">
                                                                                                                                  <w:marLeft w:val="0"/>
                                                                                                                                  <w:marRight w:val="0"/>
                                                                                                                                  <w:marTop w:val="0"/>
                                                                                                                                  <w:marBottom w:val="0"/>
                                                                                                                                  <w:divBdr>
                                                                                                                                    <w:top w:val="none" w:sz="0" w:space="0" w:color="auto"/>
                                                                                                                                    <w:left w:val="none" w:sz="0" w:space="0" w:color="auto"/>
                                                                                                                                    <w:bottom w:val="none" w:sz="0" w:space="0" w:color="auto"/>
                                                                                                                                    <w:right w:val="none" w:sz="0" w:space="0" w:color="auto"/>
                                                                                                                                  </w:divBdr>
                                                                                                                                </w:div>
                                                                                                                                <w:div w:id="970092704">
                                                                                                                                  <w:marLeft w:val="0"/>
                                                                                                                                  <w:marRight w:val="0"/>
                                                                                                                                  <w:marTop w:val="0"/>
                                                                                                                                  <w:marBottom w:val="0"/>
                                                                                                                                  <w:divBdr>
                                                                                                                                    <w:top w:val="none" w:sz="0" w:space="0" w:color="auto"/>
                                                                                                                                    <w:left w:val="none" w:sz="0" w:space="0" w:color="auto"/>
                                                                                                                                    <w:bottom w:val="none" w:sz="0" w:space="0" w:color="auto"/>
                                                                                                                                    <w:right w:val="none" w:sz="0" w:space="0" w:color="auto"/>
                                                                                                                                  </w:divBdr>
                                                                                                                                </w:div>
                                                                                                                                <w:div w:id="970092728">
                                                                                                                                  <w:marLeft w:val="0"/>
                                                                                                                                  <w:marRight w:val="0"/>
                                                                                                                                  <w:marTop w:val="0"/>
                                                                                                                                  <w:marBottom w:val="0"/>
                                                                                                                                  <w:divBdr>
                                                                                                                                    <w:top w:val="none" w:sz="0" w:space="0" w:color="auto"/>
                                                                                                                                    <w:left w:val="none" w:sz="0" w:space="0" w:color="auto"/>
                                                                                                                                    <w:bottom w:val="none" w:sz="0" w:space="0" w:color="auto"/>
                                                                                                                                    <w:right w:val="none" w:sz="0" w:space="0" w:color="auto"/>
                                                                                                                                  </w:divBdr>
                                                                                                                                </w:div>
                                                                                                                                <w:div w:id="970092733">
                                                                                                                                  <w:marLeft w:val="0"/>
                                                                                                                                  <w:marRight w:val="0"/>
                                                                                                                                  <w:marTop w:val="0"/>
                                                                                                                                  <w:marBottom w:val="0"/>
                                                                                                                                  <w:divBdr>
                                                                                                                                    <w:top w:val="none" w:sz="0" w:space="0" w:color="auto"/>
                                                                                                                                    <w:left w:val="none" w:sz="0" w:space="0" w:color="auto"/>
                                                                                                                                    <w:bottom w:val="none" w:sz="0" w:space="0" w:color="auto"/>
                                                                                                                                    <w:right w:val="none" w:sz="0" w:space="0" w:color="auto"/>
                                                                                                                                  </w:divBdr>
                                                                                                                                </w:div>
                                                                                                                                <w:div w:id="970092739">
                                                                                                                                  <w:marLeft w:val="0"/>
                                                                                                                                  <w:marRight w:val="0"/>
                                                                                                                                  <w:marTop w:val="0"/>
                                                                                                                                  <w:marBottom w:val="0"/>
                                                                                                                                  <w:divBdr>
                                                                                                                                    <w:top w:val="none" w:sz="0" w:space="0" w:color="auto"/>
                                                                                                                                    <w:left w:val="none" w:sz="0" w:space="0" w:color="auto"/>
                                                                                                                                    <w:bottom w:val="none" w:sz="0" w:space="0" w:color="auto"/>
                                                                                                                                    <w:right w:val="none" w:sz="0" w:space="0" w:color="auto"/>
                                                                                                                                  </w:divBdr>
                                                                                                                                </w:div>
                                                                                                                                <w:div w:id="970092766">
                                                                                                                                  <w:marLeft w:val="0"/>
                                                                                                                                  <w:marRight w:val="0"/>
                                                                                                                                  <w:marTop w:val="0"/>
                                                                                                                                  <w:marBottom w:val="0"/>
                                                                                                                                  <w:divBdr>
                                                                                                                                    <w:top w:val="none" w:sz="0" w:space="0" w:color="auto"/>
                                                                                                                                    <w:left w:val="none" w:sz="0" w:space="0" w:color="auto"/>
                                                                                                                                    <w:bottom w:val="none" w:sz="0" w:space="0" w:color="auto"/>
                                                                                                                                    <w:right w:val="none" w:sz="0" w:space="0" w:color="auto"/>
                                                                                                                                  </w:divBdr>
                                                                                                                                </w:div>
                                                                                                                                <w:div w:id="97009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0092767">
      <w:marLeft w:val="0"/>
      <w:marRight w:val="0"/>
      <w:marTop w:val="0"/>
      <w:marBottom w:val="0"/>
      <w:divBdr>
        <w:top w:val="none" w:sz="0" w:space="0" w:color="auto"/>
        <w:left w:val="none" w:sz="0" w:space="0" w:color="auto"/>
        <w:bottom w:val="none" w:sz="0" w:space="0" w:color="auto"/>
        <w:right w:val="none" w:sz="0" w:space="0" w:color="auto"/>
      </w:divBdr>
    </w:div>
    <w:div w:id="970092775">
      <w:marLeft w:val="0"/>
      <w:marRight w:val="0"/>
      <w:marTop w:val="0"/>
      <w:marBottom w:val="0"/>
      <w:divBdr>
        <w:top w:val="none" w:sz="0" w:space="0" w:color="auto"/>
        <w:left w:val="none" w:sz="0" w:space="0" w:color="auto"/>
        <w:bottom w:val="none" w:sz="0" w:space="0" w:color="auto"/>
        <w:right w:val="none" w:sz="0" w:space="0" w:color="auto"/>
      </w:divBdr>
    </w:div>
    <w:div w:id="970092780">
      <w:marLeft w:val="0"/>
      <w:marRight w:val="0"/>
      <w:marTop w:val="0"/>
      <w:marBottom w:val="0"/>
      <w:divBdr>
        <w:top w:val="none" w:sz="0" w:space="0" w:color="auto"/>
        <w:left w:val="none" w:sz="0" w:space="0" w:color="auto"/>
        <w:bottom w:val="none" w:sz="0" w:space="0" w:color="auto"/>
        <w:right w:val="none" w:sz="0" w:space="0" w:color="auto"/>
      </w:divBdr>
      <w:divsChild>
        <w:div w:id="970092700">
          <w:marLeft w:val="0"/>
          <w:marRight w:val="0"/>
          <w:marTop w:val="0"/>
          <w:marBottom w:val="0"/>
          <w:divBdr>
            <w:top w:val="none" w:sz="0" w:space="0" w:color="auto"/>
            <w:left w:val="none" w:sz="0" w:space="0" w:color="auto"/>
            <w:bottom w:val="none" w:sz="0" w:space="0" w:color="auto"/>
            <w:right w:val="none" w:sz="0" w:space="0" w:color="auto"/>
          </w:divBdr>
          <w:divsChild>
            <w:div w:id="97009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92782">
      <w:marLeft w:val="0"/>
      <w:marRight w:val="0"/>
      <w:marTop w:val="0"/>
      <w:marBottom w:val="0"/>
      <w:divBdr>
        <w:top w:val="none" w:sz="0" w:space="0" w:color="auto"/>
        <w:left w:val="none" w:sz="0" w:space="0" w:color="auto"/>
        <w:bottom w:val="none" w:sz="0" w:space="0" w:color="auto"/>
        <w:right w:val="none" w:sz="0" w:space="0" w:color="auto"/>
      </w:divBdr>
    </w:div>
    <w:div w:id="970092787">
      <w:marLeft w:val="0"/>
      <w:marRight w:val="0"/>
      <w:marTop w:val="0"/>
      <w:marBottom w:val="0"/>
      <w:divBdr>
        <w:top w:val="none" w:sz="0" w:space="0" w:color="auto"/>
        <w:left w:val="none" w:sz="0" w:space="0" w:color="auto"/>
        <w:bottom w:val="none" w:sz="0" w:space="0" w:color="auto"/>
        <w:right w:val="none" w:sz="0" w:space="0" w:color="auto"/>
      </w:divBdr>
    </w:div>
    <w:div w:id="970092788">
      <w:marLeft w:val="0"/>
      <w:marRight w:val="0"/>
      <w:marTop w:val="0"/>
      <w:marBottom w:val="0"/>
      <w:divBdr>
        <w:top w:val="none" w:sz="0" w:space="0" w:color="auto"/>
        <w:left w:val="none" w:sz="0" w:space="0" w:color="auto"/>
        <w:bottom w:val="none" w:sz="0" w:space="0" w:color="auto"/>
        <w:right w:val="none" w:sz="0" w:space="0" w:color="auto"/>
      </w:divBdr>
    </w:div>
    <w:div w:id="970092790">
      <w:marLeft w:val="0"/>
      <w:marRight w:val="0"/>
      <w:marTop w:val="0"/>
      <w:marBottom w:val="0"/>
      <w:divBdr>
        <w:top w:val="none" w:sz="0" w:space="0" w:color="auto"/>
        <w:left w:val="none" w:sz="0" w:space="0" w:color="auto"/>
        <w:bottom w:val="none" w:sz="0" w:space="0" w:color="auto"/>
        <w:right w:val="none" w:sz="0" w:space="0" w:color="auto"/>
      </w:divBdr>
    </w:div>
    <w:div w:id="970092794">
      <w:marLeft w:val="0"/>
      <w:marRight w:val="0"/>
      <w:marTop w:val="0"/>
      <w:marBottom w:val="0"/>
      <w:divBdr>
        <w:top w:val="none" w:sz="0" w:space="0" w:color="auto"/>
        <w:left w:val="none" w:sz="0" w:space="0" w:color="auto"/>
        <w:bottom w:val="none" w:sz="0" w:space="0" w:color="auto"/>
        <w:right w:val="none" w:sz="0" w:space="0" w:color="auto"/>
      </w:divBdr>
    </w:div>
    <w:div w:id="970092797">
      <w:marLeft w:val="0"/>
      <w:marRight w:val="0"/>
      <w:marTop w:val="0"/>
      <w:marBottom w:val="0"/>
      <w:divBdr>
        <w:top w:val="none" w:sz="0" w:space="0" w:color="auto"/>
        <w:left w:val="none" w:sz="0" w:space="0" w:color="auto"/>
        <w:bottom w:val="none" w:sz="0" w:space="0" w:color="auto"/>
        <w:right w:val="none" w:sz="0" w:space="0" w:color="auto"/>
      </w:divBdr>
    </w:div>
    <w:div w:id="970092798">
      <w:marLeft w:val="0"/>
      <w:marRight w:val="0"/>
      <w:marTop w:val="0"/>
      <w:marBottom w:val="0"/>
      <w:divBdr>
        <w:top w:val="none" w:sz="0" w:space="0" w:color="auto"/>
        <w:left w:val="none" w:sz="0" w:space="0" w:color="auto"/>
        <w:bottom w:val="none" w:sz="0" w:space="0" w:color="auto"/>
        <w:right w:val="none" w:sz="0" w:space="0" w:color="auto"/>
      </w:divBdr>
    </w:div>
    <w:div w:id="970092799">
      <w:marLeft w:val="0"/>
      <w:marRight w:val="0"/>
      <w:marTop w:val="0"/>
      <w:marBottom w:val="0"/>
      <w:divBdr>
        <w:top w:val="none" w:sz="0" w:space="0" w:color="auto"/>
        <w:left w:val="none" w:sz="0" w:space="0" w:color="auto"/>
        <w:bottom w:val="none" w:sz="0" w:space="0" w:color="auto"/>
        <w:right w:val="none" w:sz="0" w:space="0" w:color="auto"/>
      </w:divBdr>
    </w:div>
    <w:div w:id="970092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ebnet.oecd.org/hpv/ui/Search.aspx"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hyperlink" Target="http://webnet.oecd.org/hpv/ui/Search.aspx" TargetMode="External"/><Relationship Id="rId39" Type="http://schemas.openxmlformats.org/officeDocument/2006/relationships/image" Target="media/image21.wmf"/><Relationship Id="rId21" Type="http://schemas.openxmlformats.org/officeDocument/2006/relationships/image" Target="media/image11.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hyperlink" Target="http://webnet.oecd.org/hpv/UI/SIDS_Details.aspx?Key=ac0359d3-c5c1-402b-9c47-14f61efd98e0&amp;idx=0" TargetMode="External"/><Relationship Id="rId55" Type="http://schemas.openxmlformats.org/officeDocument/2006/relationships/hyperlink" Target="http://www.chem.unep.ch/irptc/sids/oecdsids/7647010.pdf" TargetMode="External"/><Relationship Id="rId63" Type="http://schemas.openxmlformats.org/officeDocument/2006/relationships/hyperlink" Target="http://webnet.oecd.org/hpv/UI/Search.asp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hyperlink" Target="http://ecb.jrc.ec.europa.eu/es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footer" Target="footer1.xml"/><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hyperlink" Target="http://www.chem.unep.ch/irptc/sids/oecdsids/%207647010.pdf" TargetMode="External"/><Relationship Id="rId58" Type="http://schemas.openxmlformats.org/officeDocument/2006/relationships/hyperlink" Target="http://ecb.jrc.ec.europa.eu/DOCUMENTS/Existing-Chemicals/RISK_ASSESSMENT/REPORT/propan1olENVreport071.pdf"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comments" Target="comments.xml"/><Relationship Id="rId36" Type="http://schemas.openxmlformats.org/officeDocument/2006/relationships/image" Target="media/image18.wmf"/><Relationship Id="rId49" Type="http://schemas.openxmlformats.org/officeDocument/2006/relationships/hyperlink" Target="http://webnet.oecd.org/hpv/ui/Search.aspx" TargetMode="External"/><Relationship Id="rId57" Type="http://schemas.openxmlformats.org/officeDocument/2006/relationships/footer" Target="footer3.xml"/><Relationship Id="rId61" Type="http://schemas.openxmlformats.org/officeDocument/2006/relationships/hyperlink" Target="http://webnet.oecd.org/hpv/UI/Search.aspx" TargetMode="External"/><Relationship Id="rId10" Type="http://schemas.openxmlformats.org/officeDocument/2006/relationships/hyperlink" Target="http://ecb.jrc.ec.europa.eu/esis/" TargetMode="External"/><Relationship Id="rId19" Type="http://schemas.openxmlformats.org/officeDocument/2006/relationships/image" Target="media/image9.wmf"/><Relationship Id="rId31" Type="http://schemas.openxmlformats.org/officeDocument/2006/relationships/header" Target="header2.xml"/><Relationship Id="rId44" Type="http://schemas.openxmlformats.org/officeDocument/2006/relationships/image" Target="media/image26.wmf"/><Relationship Id="rId52" Type="http://schemas.openxmlformats.org/officeDocument/2006/relationships/hyperlink" Target="http://www.chem.unep.ch/irptc/sids/oecdsids/%207647010.pdf" TargetMode="External"/><Relationship Id="rId60" Type="http://schemas.openxmlformats.org/officeDocument/2006/relationships/hyperlink" Target="http://www.chem.unep.ch/irptc/sids/OECDSIDS/7647010.pdf"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ebnet.oecd.org/hpv/ui/Search.aspx"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hyperlink" Target="http://webnet.oecd.org/hpv/UI/SIDS_Details.aspx?Key=ac0359d3-c5c1-402b-9c47-14f61efd98e0&amp;idx=0" TargetMode="External"/><Relationship Id="rId30" Type="http://schemas.openxmlformats.org/officeDocument/2006/relationships/header" Target="header1.xml"/><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header" Target="header3.xml"/><Relationship Id="rId64" Type="http://schemas.openxmlformats.org/officeDocument/2006/relationships/hyperlink" Target="http://www.chem.unep.ch/irptc/sids/OECDSIDS/sidspub.html" TargetMode="External"/><Relationship Id="rId69" Type="http://schemas.microsoft.com/office/2007/relationships/stylesWithEffects" Target="stylesWithEffects.xml"/><Relationship Id="rId8" Type="http://schemas.openxmlformats.org/officeDocument/2006/relationships/hyperlink" Target="mailto:helmest@socma.com_" TargetMode="External"/><Relationship Id="rId51" Type="http://schemas.openxmlformats.org/officeDocument/2006/relationships/hyperlink" Target="http://ecb.jrc.ec.europa.eu/esis/"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footer" Target="footer2.xml"/><Relationship Id="rId38" Type="http://schemas.openxmlformats.org/officeDocument/2006/relationships/image" Target="media/image20.wmf"/><Relationship Id="rId46" Type="http://schemas.openxmlformats.org/officeDocument/2006/relationships/image" Target="media/image28.wmf"/><Relationship Id="rId59" Type="http://schemas.openxmlformats.org/officeDocument/2006/relationships/hyperlink" Target="%20%20http://www.chem.unep.ch/irptc/sids/OECDSIDS/sidspub.html" TargetMode="External"/><Relationship Id="rId20" Type="http://schemas.openxmlformats.org/officeDocument/2006/relationships/image" Target="media/image10.wmf"/><Relationship Id="rId41" Type="http://schemas.openxmlformats.org/officeDocument/2006/relationships/image" Target="media/image23.wmf"/><Relationship Id="rId54" Type="http://schemas.openxmlformats.org/officeDocument/2006/relationships/hyperlink" Target="http://www.chem.unep.ch/irptc/sids/oecdsids/7647010.pdf" TargetMode="External"/><Relationship Id="rId62" Type="http://schemas.openxmlformats.org/officeDocument/2006/relationships/hyperlink" Target="http://webnet.oecd.org/hpv/UI/Search.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2F6AD-96C9-4302-9E04-E65AE527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73</Pages>
  <Words>30012</Words>
  <Characters>169846</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COVER PAGE</vt:lpstr>
    </vt:vector>
  </TitlesOfParts>
  <Company>PPG Industries, Inc.</Company>
  <LinksUpToDate>false</LinksUpToDate>
  <CharactersWithSpaces>199460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musset</dc:creator>
  <cp:lastModifiedBy>diane_d</cp:lastModifiedBy>
  <cp:revision>5</cp:revision>
  <cp:lastPrinted>2012-01-30T21:30:00Z</cp:lastPrinted>
  <dcterms:created xsi:type="dcterms:W3CDTF">2012-08-02T08:46:00Z</dcterms:created>
  <dcterms:modified xsi:type="dcterms:W3CDTF">2012-08-02T12:10:00Z</dcterms:modified>
</cp:coreProperties>
</file>